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4CD8" w14:textId="358705C4" w:rsidR="00EB5E0B" w:rsidRPr="0000714E" w:rsidRDefault="00327811" w:rsidP="00EB5E0B">
      <w:pPr>
        <w:spacing w:before="240" w:after="240" w:line="240" w:lineRule="auto"/>
        <w:jc w:val="center"/>
        <w:rPr>
          <w:rFonts w:ascii="SDCC Display" w:hAnsi="SDCC Display" w:cstheme="minorHAnsi"/>
          <w:color w:val="8EAADB" w:themeColor="accent1" w:themeTint="99"/>
          <w:kern w:val="0"/>
          <w:lang w:val="en-GB" w:eastAsia="en-GB"/>
          <w14:ligatures w14:val="none"/>
        </w:rPr>
      </w:pPr>
      <w:r w:rsidRPr="0000714E">
        <w:rPr>
          <w:rFonts w:ascii="SDCC Display" w:hAnsi="SDCC Display"/>
          <w:noProof/>
        </w:rPr>
        <w:drawing>
          <wp:inline distT="0" distB="0" distL="0" distR="0" wp14:anchorId="17F4EE8C" wp14:editId="2A702922">
            <wp:extent cx="1680845" cy="766445"/>
            <wp:effectExtent l="0" t="0" r="0" b="0"/>
            <wp:docPr id="1" name="Picture 2" descr="sdc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dcclogo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0084" w14:textId="40B14D04" w:rsidR="00EB5E0B" w:rsidRPr="0000714E" w:rsidRDefault="004355DB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 xml:space="preserve">MINUTES </w:t>
      </w:r>
      <w:r w:rsidR="00327811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 xml:space="preserve"> Of </w:t>
      </w:r>
      <w:r w:rsidR="00EB5E0B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 xml:space="preserve"> LAND USE, PLANNING AND TRANSPORTATION</w:t>
      </w:r>
      <w:r w:rsidR="00EB5E0B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br/>
        <w:t>HYBRID STRATEGIC POLICY COMMITTEE MEETING</w:t>
      </w:r>
    </w:p>
    <w:p w14:paraId="3678A025" w14:textId="77777777" w:rsidR="00EB5E0B" w:rsidRPr="0000714E" w:rsidRDefault="00EB5E0B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</w:pPr>
    </w:p>
    <w:p w14:paraId="4CA47D43" w14:textId="55811CF8" w:rsidR="00EB5E0B" w:rsidRPr="0000714E" w:rsidRDefault="00EB5E0B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14:ligatures w14:val="none"/>
        </w:rPr>
      </w:pPr>
      <w:r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 xml:space="preserve">HELD ON </w:t>
      </w:r>
      <w:r w:rsidR="00247D42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>T</w:t>
      </w:r>
      <w:r w:rsidR="00D71437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 xml:space="preserve">HURSDAY </w:t>
      </w:r>
      <w:r w:rsidR="001B513D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>2</w:t>
      </w:r>
      <w:r w:rsidR="00327811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>6</w:t>
      </w:r>
      <w:r w:rsidR="00327811" w:rsidRPr="0000714E">
        <w:rPr>
          <w:rFonts w:ascii="SDCC Display" w:hAnsi="SDCC Display" w:cstheme="minorHAnsi"/>
          <w:b/>
          <w:kern w:val="0"/>
          <w:u w:val="single"/>
          <w:vertAlign w:val="superscript"/>
          <w:lang w:val="en-GB" w:eastAsia="en-GB"/>
          <w14:ligatures w14:val="none"/>
        </w:rPr>
        <w:t>th</w:t>
      </w:r>
      <w:r w:rsidR="00327811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proofErr w:type="spellStart"/>
      <w:r w:rsidR="00327811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>Febrary</w:t>
      </w:r>
      <w:proofErr w:type="spellEnd"/>
      <w:r w:rsidR="00327811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1B513D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>202</w:t>
      </w:r>
      <w:r w:rsidR="00327811"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>6</w:t>
      </w:r>
      <w:r w:rsidRPr="0000714E">
        <w:rPr>
          <w:rFonts w:ascii="SDCC Display" w:hAnsi="SDCC Display" w:cstheme="minorHAnsi"/>
          <w:b/>
          <w:kern w:val="0"/>
          <w:u w:val="single"/>
          <w:lang w:val="en-GB" w:eastAsia="en-GB"/>
          <w14:ligatures w14:val="none"/>
        </w:rPr>
        <w:t xml:space="preserve"> at 5.30p.m.</w:t>
      </w:r>
    </w:p>
    <w:p w14:paraId="5D665AAA" w14:textId="77777777" w:rsidR="00EB5E0B" w:rsidRPr="0000714E" w:rsidRDefault="00EB5E0B" w:rsidP="00EB5E0B">
      <w:pPr>
        <w:keepNext/>
        <w:keepLines/>
        <w:spacing w:before="200" w:after="0"/>
        <w:outlineLvl w:val="2"/>
        <w:rPr>
          <w:rFonts w:ascii="SDCC Display" w:hAnsi="SDCC Display" w:cstheme="minorHAnsi"/>
          <w:b/>
          <w:kern w:val="0"/>
          <w14:ligatures w14:val="none"/>
        </w:rPr>
      </w:pPr>
      <w:r w:rsidRPr="0000714E">
        <w:rPr>
          <w:rFonts w:ascii="SDCC Display" w:hAnsi="SDCC Display" w:cstheme="minorHAnsi"/>
          <w:b/>
          <w:kern w:val="0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EB5E0B" w:rsidRPr="0000714E" w14:paraId="3FBE41AC" w14:textId="77777777" w:rsidTr="0073683A">
        <w:tc>
          <w:tcPr>
            <w:tcW w:w="3397" w:type="dxa"/>
          </w:tcPr>
          <w:p w14:paraId="3AB1181B" w14:textId="77777777" w:rsidR="00EB5E0B" w:rsidRPr="0000714E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</w:rPr>
            </w:pPr>
            <w:r w:rsidRPr="0000714E">
              <w:rPr>
                <w:rFonts w:ascii="SDCC Display" w:hAnsi="SDCC Display" w:cstheme="minorHAnsi"/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36F69050" w14:textId="77777777" w:rsidR="00EB5E0B" w:rsidRPr="0000714E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</w:rPr>
            </w:pPr>
            <w:r w:rsidRPr="0000714E">
              <w:rPr>
                <w:rFonts w:ascii="SDCC Display" w:hAnsi="SDCC Display" w:cstheme="minorHAnsi"/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2C0B1200" w14:textId="77777777" w:rsidR="00EB5E0B" w:rsidRPr="0000714E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</w:rPr>
            </w:pPr>
          </w:p>
        </w:tc>
      </w:tr>
      <w:tr w:rsidR="00EB5E0B" w:rsidRPr="0000714E" w14:paraId="04CFBD78" w14:textId="77777777" w:rsidTr="0073683A">
        <w:tc>
          <w:tcPr>
            <w:tcW w:w="3397" w:type="dxa"/>
          </w:tcPr>
          <w:p w14:paraId="00EA3BC1" w14:textId="187E1919" w:rsidR="00EB5E0B" w:rsidRPr="0000714E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 xml:space="preserve">Cllr </w:t>
            </w:r>
            <w:r w:rsidR="00D71437" w:rsidRPr="0000714E">
              <w:rPr>
                <w:rFonts w:ascii="SDCC Display" w:hAnsi="SDCC Display" w:cstheme="minorHAnsi"/>
              </w:rPr>
              <w:t xml:space="preserve">Yvonne </w:t>
            </w:r>
            <w:r w:rsidR="00793C21" w:rsidRPr="0000714E">
              <w:rPr>
                <w:rFonts w:ascii="SDCC Display" w:hAnsi="SDCC Display" w:cstheme="minorHAnsi"/>
              </w:rPr>
              <w:t>Collins (</w:t>
            </w:r>
            <w:r w:rsidRPr="0000714E">
              <w:rPr>
                <w:rFonts w:ascii="SDCC Display" w:hAnsi="SDCC Display" w:cstheme="minorHAnsi"/>
              </w:rPr>
              <w:t>Chair)</w:t>
            </w:r>
            <w:r w:rsidR="002C4CFD" w:rsidRPr="0000714E">
              <w:rPr>
                <w:rFonts w:ascii="SDCC Display" w:hAnsi="SDCC Display" w:cstheme="minorHAnsi"/>
              </w:rPr>
              <w:t xml:space="preserve"> </w:t>
            </w:r>
          </w:p>
        </w:tc>
        <w:tc>
          <w:tcPr>
            <w:tcW w:w="2552" w:type="dxa"/>
          </w:tcPr>
          <w:p w14:paraId="35030D8B" w14:textId="29F5D895" w:rsidR="00EB5E0B" w:rsidRPr="0000714E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Eoin Burke</w:t>
            </w:r>
            <w:r w:rsidR="002C4CFD" w:rsidRPr="0000714E">
              <w:rPr>
                <w:rFonts w:ascii="SDCC Display" w:hAnsi="SDCC Display" w:cstheme="minorHAnsi"/>
              </w:rPr>
              <w:t xml:space="preserve"> </w:t>
            </w:r>
          </w:p>
        </w:tc>
        <w:tc>
          <w:tcPr>
            <w:tcW w:w="3067" w:type="dxa"/>
          </w:tcPr>
          <w:p w14:paraId="512B4A57" w14:textId="622F3D4B" w:rsidR="00EB5E0B" w:rsidRPr="0000714E" w:rsidRDefault="00F04282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Di</w:t>
            </w:r>
            <w:r w:rsidR="00EB5E0B" w:rsidRPr="0000714E">
              <w:rPr>
                <w:rFonts w:ascii="SDCC Display" w:hAnsi="SDCC Display" w:cstheme="minorHAnsi"/>
              </w:rPr>
              <w:t>rector of Services</w:t>
            </w:r>
          </w:p>
        </w:tc>
      </w:tr>
      <w:tr w:rsidR="00EB5E0B" w:rsidRPr="0000714E" w14:paraId="3D61EE12" w14:textId="77777777" w:rsidTr="0073683A">
        <w:tc>
          <w:tcPr>
            <w:tcW w:w="3397" w:type="dxa"/>
          </w:tcPr>
          <w:p w14:paraId="0185F086" w14:textId="3086FABE" w:rsidR="002C4CFD" w:rsidRPr="0000714E" w:rsidRDefault="00764827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 xml:space="preserve">Cllr </w:t>
            </w:r>
            <w:r w:rsidR="00877CCF" w:rsidRPr="0000714E">
              <w:rPr>
                <w:rFonts w:ascii="SDCC Display" w:hAnsi="SDCC Display" w:cstheme="minorHAnsi"/>
              </w:rPr>
              <w:t>Paddy Cosgrave</w:t>
            </w:r>
          </w:p>
          <w:p w14:paraId="30A455E6" w14:textId="1F6B8EE1" w:rsidR="00EB5E0B" w:rsidRPr="0000714E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  <w:tc>
          <w:tcPr>
            <w:tcW w:w="2552" w:type="dxa"/>
          </w:tcPr>
          <w:p w14:paraId="2B801FF7" w14:textId="77777777" w:rsidR="00EB5E0B" w:rsidRPr="0000714E" w:rsidRDefault="00EB5E0B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Mary Maguire</w:t>
            </w:r>
          </w:p>
        </w:tc>
        <w:tc>
          <w:tcPr>
            <w:tcW w:w="3067" w:type="dxa"/>
          </w:tcPr>
          <w:p w14:paraId="6D56FE2D" w14:textId="77777777" w:rsidR="00EB5E0B" w:rsidRPr="0000714E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Senior Executive Officer</w:t>
            </w:r>
          </w:p>
        </w:tc>
      </w:tr>
      <w:tr w:rsidR="00694A11" w:rsidRPr="0000714E" w14:paraId="7C246E0E" w14:textId="77777777" w:rsidTr="0073683A">
        <w:tc>
          <w:tcPr>
            <w:tcW w:w="3397" w:type="dxa"/>
          </w:tcPr>
          <w:p w14:paraId="6504A37C" w14:textId="437C575A" w:rsidR="00694A11" w:rsidRPr="0000714E" w:rsidRDefault="00F04282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 xml:space="preserve">Cllr Helen Farrell </w:t>
            </w:r>
          </w:p>
          <w:p w14:paraId="70F70DC4" w14:textId="454E08D7" w:rsidR="002C4CFD" w:rsidRPr="0000714E" w:rsidRDefault="002C4CFD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  <w:tc>
          <w:tcPr>
            <w:tcW w:w="2552" w:type="dxa"/>
          </w:tcPr>
          <w:p w14:paraId="50D80140" w14:textId="1752DD72" w:rsidR="00694A11" w:rsidRPr="0000714E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 xml:space="preserve">Hazel Craigie </w:t>
            </w:r>
          </w:p>
        </w:tc>
        <w:tc>
          <w:tcPr>
            <w:tcW w:w="3067" w:type="dxa"/>
          </w:tcPr>
          <w:p w14:paraId="09B4E791" w14:textId="32538B19" w:rsidR="00694A11" w:rsidRPr="0000714E" w:rsidRDefault="002C4CFD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Senior Planner</w:t>
            </w:r>
          </w:p>
        </w:tc>
      </w:tr>
      <w:tr w:rsidR="00877CCF" w:rsidRPr="0000714E" w14:paraId="7AFD3C6C" w14:textId="77777777" w:rsidTr="0073683A">
        <w:tc>
          <w:tcPr>
            <w:tcW w:w="3397" w:type="dxa"/>
          </w:tcPr>
          <w:p w14:paraId="789DA6F5" w14:textId="38FFE31E" w:rsidR="00877CCF" w:rsidRPr="0000714E" w:rsidRDefault="001B513D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Cllr Niamh Fennell</w:t>
            </w:r>
          </w:p>
        </w:tc>
        <w:tc>
          <w:tcPr>
            <w:tcW w:w="2552" w:type="dxa"/>
          </w:tcPr>
          <w:p w14:paraId="531AEB35" w14:textId="2E9B10A5" w:rsidR="00877CCF" w:rsidRPr="0000714E" w:rsidRDefault="00877CCF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 xml:space="preserve">Gary Walsh </w:t>
            </w:r>
          </w:p>
        </w:tc>
        <w:tc>
          <w:tcPr>
            <w:tcW w:w="3067" w:type="dxa"/>
          </w:tcPr>
          <w:p w14:paraId="127A4D30" w14:textId="23D3BAAF" w:rsidR="00877CCF" w:rsidRPr="0000714E" w:rsidRDefault="00877CCF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Senior Engineer</w:t>
            </w:r>
          </w:p>
          <w:p w14:paraId="4ABE20CD" w14:textId="1FD1465B" w:rsidR="00877CCF" w:rsidRPr="0000714E" w:rsidRDefault="00877CCF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</w:tr>
      <w:tr w:rsidR="002C4CFD" w:rsidRPr="0000714E" w14:paraId="21D0EA61" w14:textId="77777777" w:rsidTr="0073683A">
        <w:tc>
          <w:tcPr>
            <w:tcW w:w="3397" w:type="dxa"/>
          </w:tcPr>
          <w:p w14:paraId="6B1B99B3" w14:textId="77777777" w:rsidR="001B513D" w:rsidRPr="0000714E" w:rsidRDefault="001B513D" w:rsidP="001B513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Cllr Brian Lawlor</w:t>
            </w:r>
          </w:p>
          <w:p w14:paraId="1C9EFAC3" w14:textId="5DB5F453" w:rsidR="009815B7" w:rsidRPr="0000714E" w:rsidRDefault="009815B7" w:rsidP="001B513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  <w:tc>
          <w:tcPr>
            <w:tcW w:w="2552" w:type="dxa"/>
          </w:tcPr>
          <w:p w14:paraId="1A06BF11" w14:textId="19F8AAA0" w:rsidR="002C4CFD" w:rsidRPr="0000714E" w:rsidRDefault="00877CCF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John Hegarty</w:t>
            </w:r>
            <w:r w:rsidR="002C4CFD" w:rsidRPr="0000714E">
              <w:rPr>
                <w:rFonts w:ascii="SDCC Display" w:hAnsi="SDCC Display" w:cstheme="minorHAnsi"/>
              </w:rPr>
              <w:t xml:space="preserve"> </w:t>
            </w:r>
          </w:p>
        </w:tc>
        <w:tc>
          <w:tcPr>
            <w:tcW w:w="3067" w:type="dxa"/>
          </w:tcPr>
          <w:p w14:paraId="0FDCB9CF" w14:textId="116CDE7E" w:rsidR="002C4CFD" w:rsidRPr="0000714E" w:rsidRDefault="00914B6A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Senior E</w:t>
            </w:r>
            <w:r w:rsidR="00877CCF" w:rsidRPr="0000714E">
              <w:rPr>
                <w:rFonts w:ascii="SDCC Display" w:hAnsi="SDCC Display" w:cstheme="minorHAnsi"/>
              </w:rPr>
              <w:t>ngineer</w:t>
            </w:r>
          </w:p>
        </w:tc>
      </w:tr>
      <w:tr w:rsidR="00F04282" w:rsidRPr="0000714E" w14:paraId="711A8A02" w14:textId="77777777" w:rsidTr="0073683A">
        <w:tc>
          <w:tcPr>
            <w:tcW w:w="3397" w:type="dxa"/>
          </w:tcPr>
          <w:p w14:paraId="7A8788E0" w14:textId="30B52698" w:rsidR="009815B7" w:rsidRPr="0000714E" w:rsidRDefault="001B513D" w:rsidP="00877CCF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Cllr Jess Spear</w:t>
            </w:r>
            <w:r w:rsidR="00327811" w:rsidRPr="0000714E">
              <w:rPr>
                <w:rFonts w:ascii="SDCC Display" w:hAnsi="SDCC Display" w:cstheme="minorHAnsi"/>
              </w:rPr>
              <w:t xml:space="preserve">  </w:t>
            </w:r>
            <w:r w:rsidR="00327811" w:rsidRPr="0000714E">
              <w:rPr>
                <w:rFonts w:ascii="SDCC Display" w:hAnsi="SDCC Display" w:cstheme="minorHAnsi"/>
                <w:b/>
                <w:bCs/>
              </w:rPr>
              <w:t>APOLOGY</w:t>
            </w:r>
          </w:p>
        </w:tc>
        <w:tc>
          <w:tcPr>
            <w:tcW w:w="2552" w:type="dxa"/>
          </w:tcPr>
          <w:p w14:paraId="3C9AFC46" w14:textId="44FC3EC7" w:rsidR="00F04282" w:rsidRPr="0000714E" w:rsidRDefault="001B513D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Stephen Willoughby</w:t>
            </w:r>
          </w:p>
        </w:tc>
        <w:tc>
          <w:tcPr>
            <w:tcW w:w="3067" w:type="dxa"/>
          </w:tcPr>
          <w:p w14:paraId="20CCEFDC" w14:textId="6FEE49B5" w:rsidR="00F04282" w:rsidRPr="0000714E" w:rsidRDefault="001B513D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Senior Planner</w:t>
            </w:r>
          </w:p>
        </w:tc>
      </w:tr>
      <w:tr w:rsidR="00327811" w:rsidRPr="0000714E" w14:paraId="2EB4A4FC" w14:textId="77777777" w:rsidTr="0073683A">
        <w:tc>
          <w:tcPr>
            <w:tcW w:w="3397" w:type="dxa"/>
          </w:tcPr>
          <w:p w14:paraId="394B5276" w14:textId="77777777" w:rsidR="00327811" w:rsidRPr="0000714E" w:rsidRDefault="00327811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  <w:tc>
          <w:tcPr>
            <w:tcW w:w="2552" w:type="dxa"/>
          </w:tcPr>
          <w:p w14:paraId="19A74DEA" w14:textId="5664BF15" w:rsidR="00327811" w:rsidRPr="0000714E" w:rsidRDefault="00327811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Pa</w:t>
            </w:r>
            <w:r w:rsidR="009059D1" w:rsidRPr="0000714E">
              <w:rPr>
                <w:rFonts w:ascii="SDCC Display" w:hAnsi="SDCC Display" w:cstheme="minorHAnsi"/>
              </w:rPr>
              <w:t>d</w:t>
            </w:r>
            <w:r w:rsidRPr="0000714E">
              <w:rPr>
                <w:rFonts w:ascii="SDCC Display" w:hAnsi="SDCC Display" w:cstheme="minorHAnsi"/>
              </w:rPr>
              <w:t>raig Colline</w:t>
            </w:r>
          </w:p>
        </w:tc>
        <w:tc>
          <w:tcPr>
            <w:tcW w:w="3067" w:type="dxa"/>
          </w:tcPr>
          <w:p w14:paraId="4264C3B4" w14:textId="42C8E841" w:rsidR="00327811" w:rsidRPr="0000714E" w:rsidRDefault="00327811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Sen Exec Planner</w:t>
            </w:r>
          </w:p>
        </w:tc>
      </w:tr>
      <w:tr w:rsidR="00F04282" w:rsidRPr="0000714E" w14:paraId="76398FF2" w14:textId="77777777" w:rsidTr="0073683A">
        <w:tc>
          <w:tcPr>
            <w:tcW w:w="3397" w:type="dxa"/>
          </w:tcPr>
          <w:p w14:paraId="4AE7FD18" w14:textId="77777777" w:rsidR="00F04282" w:rsidRPr="0000714E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  <w:tc>
          <w:tcPr>
            <w:tcW w:w="2552" w:type="dxa"/>
          </w:tcPr>
          <w:p w14:paraId="40E55C62" w14:textId="22E9CF76" w:rsidR="00F04282" w:rsidRPr="0000714E" w:rsidRDefault="001B513D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 xml:space="preserve">Sue Sinclair </w:t>
            </w:r>
          </w:p>
        </w:tc>
        <w:tc>
          <w:tcPr>
            <w:tcW w:w="3067" w:type="dxa"/>
          </w:tcPr>
          <w:p w14:paraId="3A15ED33" w14:textId="40AB86ED" w:rsidR="00F04282" w:rsidRPr="0000714E" w:rsidRDefault="001B513D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Administrative Officer</w:t>
            </w:r>
          </w:p>
        </w:tc>
      </w:tr>
      <w:tr w:rsidR="00F7702A" w:rsidRPr="0000714E" w14:paraId="2D04826A" w14:textId="77777777" w:rsidTr="0073683A">
        <w:tc>
          <w:tcPr>
            <w:tcW w:w="3397" w:type="dxa"/>
          </w:tcPr>
          <w:p w14:paraId="7CDC8942" w14:textId="77777777" w:rsidR="00F7702A" w:rsidRPr="0000714E" w:rsidRDefault="00F7702A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  <w:tc>
          <w:tcPr>
            <w:tcW w:w="2552" w:type="dxa"/>
          </w:tcPr>
          <w:p w14:paraId="338A9181" w14:textId="77777777" w:rsidR="00F7702A" w:rsidRPr="0000714E" w:rsidRDefault="00F7702A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</w:p>
        </w:tc>
        <w:tc>
          <w:tcPr>
            <w:tcW w:w="3067" w:type="dxa"/>
          </w:tcPr>
          <w:p w14:paraId="65FCC453" w14:textId="77777777" w:rsidR="00F7702A" w:rsidRPr="0000714E" w:rsidRDefault="00F7702A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</w:tr>
      <w:tr w:rsidR="00F04282" w:rsidRPr="0000714E" w14:paraId="1986A939" w14:textId="77777777" w:rsidTr="0073683A">
        <w:tc>
          <w:tcPr>
            <w:tcW w:w="3397" w:type="dxa"/>
          </w:tcPr>
          <w:p w14:paraId="0E6ECC60" w14:textId="1155C6E9" w:rsidR="00F04282" w:rsidRPr="0000714E" w:rsidRDefault="00F04282" w:rsidP="001B513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  <w:tc>
          <w:tcPr>
            <w:tcW w:w="2552" w:type="dxa"/>
          </w:tcPr>
          <w:p w14:paraId="4BA345C2" w14:textId="64376214" w:rsidR="00F04282" w:rsidRPr="0000714E" w:rsidRDefault="00327811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Orlaith Maguire</w:t>
            </w:r>
          </w:p>
        </w:tc>
        <w:tc>
          <w:tcPr>
            <w:tcW w:w="3067" w:type="dxa"/>
          </w:tcPr>
          <w:p w14:paraId="51B7F6DF" w14:textId="17ECD722" w:rsidR="00F04282" w:rsidRPr="0000714E" w:rsidRDefault="00327811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Road Safety Officer</w:t>
            </w:r>
          </w:p>
        </w:tc>
      </w:tr>
      <w:tr w:rsidR="00F04282" w:rsidRPr="0000714E" w14:paraId="6C01EFB3" w14:textId="77777777" w:rsidTr="0073683A">
        <w:tc>
          <w:tcPr>
            <w:tcW w:w="3397" w:type="dxa"/>
          </w:tcPr>
          <w:p w14:paraId="02951485" w14:textId="77777777" w:rsidR="00F04282" w:rsidRPr="0000714E" w:rsidRDefault="00F04282" w:rsidP="00F04282">
            <w:pPr>
              <w:rPr>
                <w:rFonts w:ascii="SDCC Display" w:eastAsia="Times New Roman" w:hAnsi="SDCC Display" w:cstheme="minorHAnsi"/>
                <w:lang w:val="en-GB" w:eastAsia="en-US"/>
              </w:rPr>
            </w:pPr>
            <w:r w:rsidRPr="0000714E">
              <w:rPr>
                <w:rFonts w:ascii="SDCC Display" w:eastAsia="Times New Roman" w:hAnsi="SDCC Display" w:cstheme="minorHAnsi"/>
                <w:lang w:val="en-GB" w:eastAsia="en-US"/>
              </w:rPr>
              <w:t>Development / Construction</w:t>
            </w:r>
          </w:p>
          <w:p w14:paraId="66BC5D35" w14:textId="156363CC" w:rsidR="00F04282" w:rsidRPr="0000714E" w:rsidRDefault="001B513D" w:rsidP="00877CCF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Sean O’Neill</w:t>
            </w:r>
          </w:p>
        </w:tc>
        <w:tc>
          <w:tcPr>
            <w:tcW w:w="2552" w:type="dxa"/>
          </w:tcPr>
          <w:p w14:paraId="6350AF84" w14:textId="2F6FA4F4" w:rsidR="00F04282" w:rsidRPr="0000714E" w:rsidRDefault="00327811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  <w:r w:rsidRPr="0000714E">
              <w:rPr>
                <w:rFonts w:ascii="SDCC Display" w:hAnsi="SDCC Display" w:cstheme="minorHAnsi"/>
              </w:rPr>
              <w:t>Sean O’Neill</w:t>
            </w:r>
          </w:p>
        </w:tc>
        <w:tc>
          <w:tcPr>
            <w:tcW w:w="3067" w:type="dxa"/>
          </w:tcPr>
          <w:p w14:paraId="296A3F0F" w14:textId="7B5E6D16" w:rsidR="00F04282" w:rsidRPr="0000714E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</w:rPr>
            </w:pPr>
          </w:p>
        </w:tc>
      </w:tr>
    </w:tbl>
    <w:p w14:paraId="7170D0A1" w14:textId="77777777" w:rsidR="0073202C" w:rsidRPr="0000714E" w:rsidRDefault="0073202C" w:rsidP="00557DD5">
      <w:pPr>
        <w:pStyle w:val="NoSpacing"/>
        <w:rPr>
          <w:rFonts w:ascii="SDCC Display" w:hAnsi="SDCC Display" w:cstheme="minorHAnsi"/>
          <w:u w:val="single"/>
        </w:rPr>
      </w:pPr>
    </w:p>
    <w:p w14:paraId="27DCB5E6" w14:textId="77777777" w:rsidR="008061D7" w:rsidRPr="0000714E" w:rsidRDefault="008061D7" w:rsidP="0063177E">
      <w:pPr>
        <w:rPr>
          <w:rFonts w:ascii="SDCC Display" w:hAnsi="SDCC Display" w:cstheme="minorHAnsi"/>
          <w:b/>
          <w:bCs/>
        </w:rPr>
      </w:pPr>
    </w:p>
    <w:p w14:paraId="47B460B4" w14:textId="21F6B3DF" w:rsidR="009D1767" w:rsidRPr="0000714E" w:rsidRDefault="009D1767" w:rsidP="0063177E">
      <w:pPr>
        <w:rPr>
          <w:rFonts w:ascii="SDCC Display" w:hAnsi="SDCC Display" w:cstheme="minorHAnsi"/>
          <w:b/>
          <w:bCs/>
        </w:rPr>
      </w:pPr>
      <w:r w:rsidRPr="0000714E">
        <w:rPr>
          <w:rFonts w:ascii="SDCC Display" w:hAnsi="SDCC Display" w:cstheme="minorHAnsi"/>
          <w:b/>
          <w:bCs/>
        </w:rPr>
        <w:t xml:space="preserve">HI – </w:t>
      </w:r>
      <w:r w:rsidR="00327811" w:rsidRPr="0000714E">
        <w:rPr>
          <w:rFonts w:ascii="SDCC Display" w:hAnsi="SDCC Display" w:cstheme="minorHAnsi"/>
          <w:b/>
          <w:bCs/>
        </w:rPr>
        <w:t xml:space="preserve">November </w:t>
      </w:r>
      <w:r w:rsidR="00914B6A" w:rsidRPr="0000714E">
        <w:rPr>
          <w:rFonts w:ascii="SDCC Display" w:hAnsi="SDCC Display" w:cstheme="minorHAnsi"/>
          <w:b/>
          <w:bCs/>
        </w:rPr>
        <w:t xml:space="preserve"> </w:t>
      </w:r>
      <w:r w:rsidRPr="0000714E">
        <w:rPr>
          <w:rFonts w:ascii="SDCC Display" w:hAnsi="SDCC Display" w:cstheme="minorHAnsi"/>
          <w:b/>
          <w:bCs/>
        </w:rPr>
        <w:t>202</w:t>
      </w:r>
      <w:r w:rsidR="00914B6A" w:rsidRPr="0000714E">
        <w:rPr>
          <w:rFonts w:ascii="SDCC Display" w:hAnsi="SDCC Display" w:cstheme="minorHAnsi"/>
          <w:b/>
          <w:bCs/>
        </w:rPr>
        <w:t xml:space="preserve">5 </w:t>
      </w:r>
      <w:r w:rsidRPr="0000714E">
        <w:rPr>
          <w:rFonts w:ascii="SDCC Display" w:hAnsi="SDCC Display" w:cstheme="minorHAnsi"/>
          <w:b/>
          <w:bCs/>
        </w:rPr>
        <w:t>Minutes</w:t>
      </w:r>
    </w:p>
    <w:p w14:paraId="20CB012C" w14:textId="5C26DE78" w:rsidR="0063177E" w:rsidRPr="0000714E" w:rsidRDefault="0030501F" w:rsidP="0063177E">
      <w:pPr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 xml:space="preserve">The </w:t>
      </w:r>
      <w:r w:rsidR="00F04282" w:rsidRPr="0000714E">
        <w:rPr>
          <w:rFonts w:ascii="SDCC Display" w:hAnsi="SDCC Display" w:cstheme="minorHAnsi"/>
        </w:rPr>
        <w:t xml:space="preserve">Minutes of the </w:t>
      </w:r>
      <w:r w:rsidR="00327811" w:rsidRPr="0000714E">
        <w:rPr>
          <w:rFonts w:ascii="SDCC Display" w:hAnsi="SDCC Display" w:cstheme="minorHAnsi"/>
        </w:rPr>
        <w:t>November</w:t>
      </w:r>
      <w:r w:rsidR="00F04282" w:rsidRPr="0000714E">
        <w:rPr>
          <w:rFonts w:ascii="SDCC Display" w:hAnsi="SDCC Display" w:cstheme="minorHAnsi"/>
        </w:rPr>
        <w:t xml:space="preserve"> </w:t>
      </w:r>
      <w:r w:rsidR="0063177E" w:rsidRPr="0000714E">
        <w:rPr>
          <w:rFonts w:ascii="SDCC Display" w:hAnsi="SDCC Display" w:cstheme="minorHAnsi"/>
        </w:rPr>
        <w:t>SPC, held on</w:t>
      </w:r>
      <w:r w:rsidR="00914B6A" w:rsidRPr="0000714E">
        <w:rPr>
          <w:rFonts w:ascii="SDCC Display" w:hAnsi="SDCC Display" w:cstheme="minorHAnsi"/>
        </w:rPr>
        <w:t xml:space="preserve"> </w:t>
      </w:r>
      <w:r w:rsidR="00327811" w:rsidRPr="0000714E">
        <w:rPr>
          <w:rFonts w:ascii="SDCC Display" w:hAnsi="SDCC Display" w:cstheme="minorHAnsi"/>
        </w:rPr>
        <w:t>27</w:t>
      </w:r>
      <w:r w:rsidR="00327811" w:rsidRPr="0000714E">
        <w:rPr>
          <w:rFonts w:ascii="SDCC Display" w:hAnsi="SDCC Display" w:cstheme="minorHAnsi"/>
          <w:vertAlign w:val="superscript"/>
        </w:rPr>
        <w:t>th</w:t>
      </w:r>
      <w:r w:rsidR="00327811" w:rsidRPr="0000714E">
        <w:rPr>
          <w:rFonts w:ascii="SDCC Display" w:hAnsi="SDCC Display" w:cstheme="minorHAnsi"/>
        </w:rPr>
        <w:t xml:space="preserve"> November </w:t>
      </w:r>
      <w:r w:rsidR="00914B6A" w:rsidRPr="0000714E">
        <w:rPr>
          <w:rFonts w:ascii="SDCC Display" w:hAnsi="SDCC Display" w:cstheme="minorHAnsi"/>
        </w:rPr>
        <w:t>2025</w:t>
      </w:r>
      <w:r w:rsidR="00F04282" w:rsidRPr="0000714E">
        <w:rPr>
          <w:rFonts w:ascii="SDCC Display" w:hAnsi="SDCC Display" w:cstheme="minorHAnsi"/>
        </w:rPr>
        <w:t xml:space="preserve"> </w:t>
      </w:r>
      <w:r w:rsidR="00094375" w:rsidRPr="0000714E">
        <w:rPr>
          <w:rFonts w:ascii="SDCC Display" w:hAnsi="SDCC Display" w:cstheme="minorHAnsi"/>
        </w:rPr>
        <w:t>w</w:t>
      </w:r>
      <w:r w:rsidR="00D71437" w:rsidRPr="0000714E">
        <w:rPr>
          <w:rFonts w:ascii="SDCC Display" w:hAnsi="SDCC Display" w:cstheme="minorHAnsi"/>
        </w:rPr>
        <w:t xml:space="preserve">ere </w:t>
      </w:r>
      <w:r w:rsidR="00F04282" w:rsidRPr="0000714E">
        <w:rPr>
          <w:rFonts w:ascii="SDCC Display" w:hAnsi="SDCC Display" w:cstheme="minorHAnsi"/>
        </w:rPr>
        <w:t xml:space="preserve">Proposed by Cllr </w:t>
      </w:r>
      <w:r w:rsidR="001B513D" w:rsidRPr="0000714E">
        <w:rPr>
          <w:rFonts w:ascii="SDCC Display" w:hAnsi="SDCC Display" w:cstheme="minorHAnsi"/>
        </w:rPr>
        <w:t>P Cosgrave, seconded</w:t>
      </w:r>
      <w:r w:rsidR="00F04282" w:rsidRPr="0000714E">
        <w:rPr>
          <w:rFonts w:ascii="SDCC Display" w:hAnsi="SDCC Display" w:cstheme="minorHAnsi"/>
        </w:rPr>
        <w:t xml:space="preserve"> by Cllr </w:t>
      </w:r>
      <w:r w:rsidR="001B513D" w:rsidRPr="0000714E">
        <w:rPr>
          <w:rFonts w:ascii="SDCC Display" w:hAnsi="SDCC Display" w:cstheme="minorHAnsi"/>
        </w:rPr>
        <w:t>Y Collins</w:t>
      </w:r>
      <w:r w:rsidR="009D1767" w:rsidRPr="0000714E">
        <w:rPr>
          <w:rFonts w:ascii="SDCC Display" w:hAnsi="SDCC Display" w:cstheme="minorHAnsi"/>
        </w:rPr>
        <w:t xml:space="preserve"> and</w:t>
      </w:r>
      <w:r w:rsidR="009D1767" w:rsidRPr="0000714E">
        <w:rPr>
          <w:rFonts w:ascii="SDCC Display" w:hAnsi="SDCC Display" w:cstheme="minorHAnsi"/>
          <w:b/>
          <w:bCs/>
        </w:rPr>
        <w:t xml:space="preserve"> AGREED</w:t>
      </w:r>
      <w:r w:rsidR="0000260A" w:rsidRPr="0000714E">
        <w:rPr>
          <w:rFonts w:ascii="SDCC Display" w:hAnsi="SDCC Display" w:cstheme="minorHAnsi"/>
          <w:b/>
          <w:bCs/>
        </w:rPr>
        <w:t>.</w:t>
      </w:r>
    </w:p>
    <w:p w14:paraId="34DB982A" w14:textId="77777777" w:rsidR="0000714E" w:rsidRDefault="0000714E" w:rsidP="00557DD5">
      <w:pPr>
        <w:pStyle w:val="NoSpacing"/>
        <w:rPr>
          <w:rFonts w:ascii="SDCC Display" w:hAnsi="SDCC Display" w:cstheme="minorHAnsi"/>
          <w:b/>
          <w:bCs/>
        </w:rPr>
      </w:pPr>
    </w:p>
    <w:p w14:paraId="08A2060E" w14:textId="7EA5AC9A" w:rsidR="00557DD5" w:rsidRPr="0000714E" w:rsidRDefault="00EB5E0B" w:rsidP="00557DD5">
      <w:pPr>
        <w:pStyle w:val="NoSpacing"/>
        <w:rPr>
          <w:rFonts w:ascii="SDCC Display" w:hAnsi="SDCC Display" w:cstheme="minorHAnsi"/>
          <w:b/>
          <w:bCs/>
        </w:rPr>
      </w:pPr>
      <w:r w:rsidRPr="0000714E">
        <w:rPr>
          <w:rFonts w:ascii="SDCC Display" w:hAnsi="SDCC Display" w:cstheme="minorHAnsi"/>
          <w:b/>
          <w:bCs/>
        </w:rPr>
        <w:lastRenderedPageBreak/>
        <w:t>H2</w:t>
      </w:r>
      <w:r w:rsidR="0063177E" w:rsidRPr="0000714E">
        <w:rPr>
          <w:rFonts w:ascii="SDCC Display" w:hAnsi="SDCC Display" w:cstheme="minorHAnsi"/>
          <w:b/>
          <w:bCs/>
        </w:rPr>
        <w:t xml:space="preserve">– </w:t>
      </w:r>
      <w:r w:rsidR="00327811" w:rsidRPr="0000714E">
        <w:rPr>
          <w:rFonts w:ascii="SDCC Display" w:hAnsi="SDCC Display" w:cstheme="minorHAnsi"/>
          <w:b/>
          <w:bCs/>
        </w:rPr>
        <w:t xml:space="preserve">Planning &amp; Development Act 2024 </w:t>
      </w:r>
    </w:p>
    <w:p w14:paraId="0D2BBD80" w14:textId="77777777" w:rsidR="00C6022E" w:rsidRPr="0000714E" w:rsidRDefault="00C6022E" w:rsidP="00557DD5">
      <w:pPr>
        <w:pStyle w:val="NoSpacing"/>
        <w:rPr>
          <w:rFonts w:ascii="SDCC Display" w:hAnsi="SDCC Display" w:cstheme="minorHAnsi"/>
          <w:b/>
          <w:bCs/>
        </w:rPr>
      </w:pPr>
    </w:p>
    <w:p w14:paraId="708DF917" w14:textId="47BE7B61" w:rsidR="0030501F" w:rsidRPr="0000714E" w:rsidRDefault="0063177E">
      <w:pPr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 xml:space="preserve">The report as circulated was presented by </w:t>
      </w:r>
      <w:r w:rsidR="009D1767" w:rsidRPr="0000714E">
        <w:rPr>
          <w:rFonts w:ascii="SDCC Display" w:hAnsi="SDCC Display" w:cstheme="minorHAnsi"/>
        </w:rPr>
        <w:t>M</w:t>
      </w:r>
      <w:r w:rsidR="004223AA" w:rsidRPr="0000714E">
        <w:rPr>
          <w:rFonts w:ascii="SDCC Display" w:hAnsi="SDCC Display" w:cstheme="minorHAnsi"/>
        </w:rPr>
        <w:t xml:space="preserve">r </w:t>
      </w:r>
      <w:r w:rsidR="009059D1" w:rsidRPr="0000714E">
        <w:rPr>
          <w:rFonts w:ascii="SDCC Display" w:hAnsi="SDCC Display" w:cstheme="minorHAnsi"/>
        </w:rPr>
        <w:t>P Collins</w:t>
      </w:r>
      <w:r w:rsidR="00327811" w:rsidRPr="0000714E">
        <w:rPr>
          <w:rFonts w:ascii="SDCC Display" w:hAnsi="SDCC Display" w:cstheme="minorHAnsi"/>
        </w:rPr>
        <w:t xml:space="preserve">, Senior </w:t>
      </w:r>
      <w:r w:rsidR="009059D1" w:rsidRPr="0000714E">
        <w:rPr>
          <w:rFonts w:ascii="SDCC Display" w:hAnsi="SDCC Display" w:cstheme="minorHAnsi"/>
        </w:rPr>
        <w:t xml:space="preserve">Exec </w:t>
      </w:r>
      <w:r w:rsidR="00327811" w:rsidRPr="0000714E">
        <w:rPr>
          <w:rFonts w:ascii="SDCC Display" w:hAnsi="SDCC Display" w:cstheme="minorHAnsi"/>
        </w:rPr>
        <w:t>Planner</w:t>
      </w:r>
      <w:r w:rsidR="009059D1" w:rsidRPr="0000714E">
        <w:rPr>
          <w:rFonts w:ascii="SDCC Display" w:hAnsi="SDCC Display" w:cstheme="minorHAnsi"/>
        </w:rPr>
        <w:t>.</w:t>
      </w:r>
      <w:r w:rsidR="009D1767" w:rsidRPr="0000714E">
        <w:rPr>
          <w:rFonts w:ascii="SDCC Display" w:hAnsi="SDCC Display" w:cstheme="minorHAnsi"/>
        </w:rPr>
        <w:t xml:space="preserve"> </w:t>
      </w:r>
    </w:p>
    <w:p w14:paraId="2736B61B" w14:textId="5E6D4C2B" w:rsidR="001B513D" w:rsidRPr="0000714E" w:rsidRDefault="001B513D" w:rsidP="001B513D">
      <w:pPr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>The report focused on:</w:t>
      </w:r>
    </w:p>
    <w:p w14:paraId="4DFE824A" w14:textId="22AD3CD8" w:rsidR="009059D1" w:rsidRPr="0000714E" w:rsidRDefault="009059D1" w:rsidP="00F7702A">
      <w:pPr>
        <w:pStyle w:val="ListParagraph"/>
        <w:numPr>
          <w:ilvl w:val="1"/>
          <w:numId w:val="10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theme="minorHAnsi"/>
        </w:rPr>
        <w:t xml:space="preserve">Background to Planning Framework – 1963 to 2024 </w:t>
      </w:r>
      <w:proofErr w:type="spellStart"/>
      <w:r w:rsidRPr="0000714E">
        <w:rPr>
          <w:rFonts w:ascii="SDCC Display" w:hAnsi="SDCC Display" w:cstheme="minorHAnsi"/>
        </w:rPr>
        <w:t>incl</w:t>
      </w:r>
      <w:proofErr w:type="spellEnd"/>
    </w:p>
    <w:p w14:paraId="021057F5" w14:textId="676965C9" w:rsidR="009059D1" w:rsidRPr="0000714E" w:rsidRDefault="009059D1" w:rsidP="00F7702A">
      <w:pPr>
        <w:pStyle w:val="ListParagraph"/>
        <w:numPr>
          <w:ilvl w:val="1"/>
          <w:numId w:val="10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theme="minorHAnsi"/>
        </w:rPr>
        <w:t>PDA 2024, overview of commencement of sections to date</w:t>
      </w:r>
    </w:p>
    <w:p w14:paraId="075620DB" w14:textId="01DD03ED" w:rsidR="009059D1" w:rsidRPr="0000714E" w:rsidRDefault="009059D1" w:rsidP="00F7702A">
      <w:pPr>
        <w:pStyle w:val="ListParagraph"/>
        <w:numPr>
          <w:ilvl w:val="1"/>
          <w:numId w:val="10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eastAsia="Times New Roman" w:hAnsi="SDCC Display" w:cs="Times New Roman"/>
          <w:kern w:val="0"/>
          <w14:ligatures w14:val="none"/>
        </w:rPr>
        <w:t>Commencements to date – supporting Circular letters</w:t>
      </w:r>
    </w:p>
    <w:p w14:paraId="023BD2D5" w14:textId="6169F9DC" w:rsidR="009059D1" w:rsidRPr="0000714E" w:rsidRDefault="009059D1" w:rsidP="0000714E">
      <w:pPr>
        <w:pStyle w:val="ListParagraph"/>
        <w:numPr>
          <w:ilvl w:val="2"/>
          <w:numId w:val="22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eastAsia="Arial" w:hAnsi="SDCC Display" w:cs="Arial"/>
          <w:lang w:val="en-GB"/>
        </w:rPr>
        <w:t>Chapters 1 and 2 of Part 22- UDZs</w:t>
      </w:r>
    </w:p>
    <w:p w14:paraId="7282FCA9" w14:textId="32128C69" w:rsidR="009059D1" w:rsidRPr="0000714E" w:rsidRDefault="009059D1" w:rsidP="0000714E">
      <w:pPr>
        <w:pStyle w:val="ListParagraph"/>
        <w:numPr>
          <w:ilvl w:val="2"/>
          <w:numId w:val="22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="Arial"/>
          <w:lang w:val="en-GB"/>
        </w:rPr>
        <w:t>Commencement of Part 17 – ACP</w:t>
      </w:r>
    </w:p>
    <w:p w14:paraId="2A7CC78B" w14:textId="4D5572C0" w:rsidR="009059D1" w:rsidRPr="0000714E" w:rsidRDefault="009059D1" w:rsidP="0000714E">
      <w:pPr>
        <w:pStyle w:val="ListParagraph"/>
        <w:numPr>
          <w:ilvl w:val="2"/>
          <w:numId w:val="22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="Arial"/>
          <w:lang w:val="en-GB"/>
        </w:rPr>
        <w:t>Chapter 1 of Part 9 – JRs</w:t>
      </w:r>
    </w:p>
    <w:p w14:paraId="0B88F7E0" w14:textId="5E22C448" w:rsidR="009059D1" w:rsidRPr="0000714E" w:rsidRDefault="009059D1" w:rsidP="0000714E">
      <w:pPr>
        <w:pStyle w:val="ListParagraph"/>
        <w:numPr>
          <w:ilvl w:val="2"/>
          <w:numId w:val="22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="Arial"/>
          <w:lang w:val="en-GB"/>
        </w:rPr>
        <w:t>Chapters 1 to 4 of Part 3 and Chapters 1 and 2 of Part 6 - NPF, RSES and National Planning statements</w:t>
      </w:r>
    </w:p>
    <w:p w14:paraId="2D4C94F6" w14:textId="485412F5" w:rsidR="009059D1" w:rsidRPr="0000714E" w:rsidRDefault="009059D1" w:rsidP="0000714E">
      <w:pPr>
        <w:pStyle w:val="ListParagraph"/>
        <w:numPr>
          <w:ilvl w:val="2"/>
          <w:numId w:val="22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="Arial"/>
          <w:lang w:val="en-GB"/>
        </w:rPr>
        <w:t>Part 16 – Fairground equipment</w:t>
      </w:r>
    </w:p>
    <w:p w14:paraId="213F3D9E" w14:textId="54853369" w:rsidR="009059D1" w:rsidRPr="0000714E" w:rsidRDefault="009059D1" w:rsidP="0000714E">
      <w:pPr>
        <w:pStyle w:val="ListParagraph"/>
        <w:numPr>
          <w:ilvl w:val="2"/>
          <w:numId w:val="22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eastAsia="Arial" w:hAnsi="SDCC Display" w:cs="Arial"/>
          <w:lang w:val="en-GB"/>
        </w:rPr>
        <w:t>Chapters 5 and 6 of Part 3 and Chapter 1 of Part 7</w:t>
      </w:r>
      <w:r w:rsidR="00F7702A" w:rsidRPr="0000714E">
        <w:rPr>
          <w:rFonts w:ascii="SDCC Display" w:eastAsia="Arial" w:hAnsi="SDCC Display" w:cs="Arial"/>
          <w:lang w:val="en-GB"/>
        </w:rPr>
        <w:t>- urban area plans, priority area plans and coordinated area plans</w:t>
      </w:r>
    </w:p>
    <w:p w14:paraId="782AAF76" w14:textId="29A183E3" w:rsidR="00F7702A" w:rsidRPr="0000714E" w:rsidRDefault="00F7702A" w:rsidP="0000714E">
      <w:pPr>
        <w:pStyle w:val="ListParagraph"/>
        <w:numPr>
          <w:ilvl w:val="2"/>
          <w:numId w:val="22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eastAsia="Arial" w:hAnsi="SDCC Display" w:cs="Arial"/>
          <w:lang w:val="en-GB"/>
        </w:rPr>
        <w:t>Part 18 – OPR and duties</w:t>
      </w:r>
    </w:p>
    <w:p w14:paraId="7A4FF5E9" w14:textId="77777777" w:rsidR="0000714E" w:rsidRPr="0000714E" w:rsidRDefault="0000714E" w:rsidP="0000714E">
      <w:pPr>
        <w:pStyle w:val="ListParagraph"/>
        <w:ind w:left="2160"/>
        <w:rPr>
          <w:rFonts w:ascii="SDCC Display" w:eastAsia="Times New Roman" w:hAnsi="SDCC Display" w:cs="Times New Roman"/>
          <w:kern w:val="0"/>
          <w14:ligatures w14:val="none"/>
        </w:rPr>
      </w:pPr>
    </w:p>
    <w:p w14:paraId="3BD915D2" w14:textId="77777777" w:rsidR="0000714E" w:rsidRPr="0000714E" w:rsidRDefault="0000714E" w:rsidP="0000714E">
      <w:pPr>
        <w:pStyle w:val="ListParagraph"/>
        <w:numPr>
          <w:ilvl w:val="1"/>
          <w:numId w:val="10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theme="minorHAnsi"/>
        </w:rPr>
        <w:t>2025 Implementation Plan for over 120 transitional provisions over three (3) phases</w:t>
      </w:r>
    </w:p>
    <w:p w14:paraId="0BF8609B" w14:textId="26F89E3C" w:rsidR="00F7702A" w:rsidRPr="0000714E" w:rsidRDefault="00F7702A" w:rsidP="00F7702A">
      <w:pPr>
        <w:pStyle w:val="ListParagraph"/>
        <w:numPr>
          <w:ilvl w:val="1"/>
          <w:numId w:val="10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theme="minorHAnsi"/>
        </w:rPr>
        <w:t>Part 4 – Development Management to commence  Summer 2026</w:t>
      </w:r>
    </w:p>
    <w:p w14:paraId="75A87BED" w14:textId="14319B85" w:rsidR="00F7702A" w:rsidRPr="0000714E" w:rsidRDefault="00F7702A" w:rsidP="00F7702A">
      <w:pPr>
        <w:pStyle w:val="ListParagraph"/>
        <w:numPr>
          <w:ilvl w:val="1"/>
          <w:numId w:val="10"/>
        </w:numPr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theme="minorHAnsi"/>
        </w:rPr>
        <w:t xml:space="preserve">Full informative website  updated by </w:t>
      </w:r>
      <w:r w:rsidRPr="0000714E">
        <w:rPr>
          <w:rFonts w:ascii="SDCC Display" w:hAnsi="SDCC Display" w:cs="Arial"/>
          <w:lang w:val="en-GB"/>
        </w:rPr>
        <w:t>DHLGH.</w:t>
      </w:r>
    </w:p>
    <w:p w14:paraId="640E6E98" w14:textId="7911AFB5" w:rsidR="00F7702A" w:rsidRPr="0000714E" w:rsidRDefault="00F7702A" w:rsidP="00F7702A">
      <w:pPr>
        <w:pStyle w:val="ListParagraph"/>
        <w:numPr>
          <w:ilvl w:val="1"/>
          <w:numId w:val="10"/>
        </w:numPr>
        <w:spacing w:after="218"/>
        <w:rPr>
          <w:rFonts w:ascii="SDCC Display" w:hAnsi="SDCC Display"/>
          <w14:ligatures w14:val="none"/>
        </w:rPr>
      </w:pPr>
      <w:r w:rsidRPr="0000714E">
        <w:rPr>
          <w:rFonts w:ascii="SDCC Display" w:hAnsi="SDCC Display" w:cs="Arial"/>
          <w:lang w:val="en-GB"/>
        </w:rPr>
        <w:t>C</w:t>
      </w:r>
      <w:r w:rsidRPr="00F7702A">
        <w:rPr>
          <w:rFonts w:ascii="SDCC Display" w:eastAsia="Times New Roman" w:hAnsi="SDCC Display" w:cs="Times New Roman"/>
          <w:kern w:val="0"/>
          <w:lang w:val="en-GB"/>
          <w14:ligatures w14:val="none"/>
        </w:rPr>
        <w:t>ircular: 2025/06</w:t>
      </w:r>
      <w:r w:rsidRPr="0000714E">
        <w:rPr>
          <w:rFonts w:ascii="SDCC Display" w:eastAsia="Times New Roman" w:hAnsi="SDCC Display" w:cs="Times New Roman"/>
          <w:kern w:val="0"/>
          <w:lang w:val="en-GB"/>
          <w14:ligatures w14:val="none"/>
        </w:rPr>
        <w:t xml:space="preserve"> December 2025</w:t>
      </w:r>
      <w:r w:rsidRPr="0000714E">
        <w:rPr>
          <w:rFonts w:ascii="SDCC Display" w:hAnsi="SDCC Display" w:cs="Arial"/>
          <w:lang w:val="en-GB"/>
        </w:rPr>
        <w:t xml:space="preserve"> </w:t>
      </w:r>
      <w:r w:rsidRPr="0000714E">
        <w:rPr>
          <w:rFonts w:ascii="SDCC Display" w:hAnsi="SDCC Display" w:cs="Arial"/>
          <w:lang w:val="en-GB"/>
          <w14:ligatures w14:val="none"/>
        </w:rPr>
        <w:t xml:space="preserve">Continuation in force of pre-commencement development plan </w:t>
      </w:r>
    </w:p>
    <w:p w14:paraId="5CB64131" w14:textId="6A595174" w:rsidR="00F7702A" w:rsidRPr="0000714E" w:rsidRDefault="00F7702A" w:rsidP="00F7702A">
      <w:pPr>
        <w:pStyle w:val="ListParagraph"/>
        <w:numPr>
          <w:ilvl w:val="1"/>
          <w:numId w:val="10"/>
        </w:numPr>
        <w:spacing w:after="0" w:line="240" w:lineRule="auto"/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hAnsi="SDCC Display" w:cs="Arial"/>
          <w:lang w:val="en-GB"/>
          <w14:ligatures w14:val="none"/>
        </w:rPr>
        <w:t xml:space="preserve">County </w:t>
      </w:r>
      <w:r w:rsidR="0000714E">
        <w:rPr>
          <w:rFonts w:ascii="SDCC Display" w:hAnsi="SDCC Display" w:cs="Arial"/>
          <w:lang w:val="en-GB"/>
          <w14:ligatures w14:val="none"/>
        </w:rPr>
        <w:t>D</w:t>
      </w:r>
      <w:r w:rsidRPr="0000714E">
        <w:rPr>
          <w:rFonts w:ascii="SDCC Display" w:hAnsi="SDCC Display" w:cs="Arial"/>
          <w:lang w:val="en-GB"/>
          <w14:ligatures w14:val="none"/>
        </w:rPr>
        <w:t xml:space="preserve">evelopment Plans - </w:t>
      </w:r>
      <w:r w:rsidRPr="0000714E">
        <w:rPr>
          <w:rFonts w:ascii="SDCC Display" w:eastAsia="Times New Roman" w:hAnsi="SDCC Display" w:cs="Times New Roman"/>
          <w:kern w:val="0"/>
          <w14:ligatures w14:val="none"/>
        </w:rPr>
        <w:t>10 years - m</w:t>
      </w:r>
      <w:r w:rsidRPr="00F7702A">
        <w:rPr>
          <w:rFonts w:ascii="SDCC Display" w:hAnsi="SDCC Display" w:cs="Arial"/>
          <w:kern w:val="0"/>
          <w:lang w:val="en-GB"/>
          <w14:ligatures w14:val="none"/>
        </w:rPr>
        <w:t>ore strategic in nature, aligning with National and Regional Plans</w:t>
      </w:r>
      <w:r w:rsidRPr="0000714E">
        <w:rPr>
          <w:rFonts w:ascii="SDCC Display" w:hAnsi="SDCC Display" w:cs="Arial"/>
          <w:kern w:val="0"/>
          <w:lang w:val="en-GB"/>
          <w14:ligatures w14:val="none"/>
        </w:rPr>
        <w:t xml:space="preserve"> – main differences </w:t>
      </w:r>
    </w:p>
    <w:p w14:paraId="14F68759" w14:textId="73CF8AE8" w:rsidR="00F7702A" w:rsidRPr="00F7702A" w:rsidRDefault="00697A16" w:rsidP="0000714E">
      <w:pPr>
        <w:pStyle w:val="ListParagraph"/>
        <w:numPr>
          <w:ilvl w:val="1"/>
          <w:numId w:val="1"/>
        </w:numPr>
        <w:spacing w:after="0" w:line="240" w:lineRule="auto"/>
        <w:rPr>
          <w:rFonts w:ascii="SDCC Display" w:eastAsia="Times New Roman" w:hAnsi="SDCC Display" w:cs="Times New Roman"/>
          <w:kern w:val="0"/>
          <w14:ligatures w14:val="none"/>
        </w:rPr>
      </w:pPr>
      <w:r w:rsidRPr="0000714E">
        <w:rPr>
          <w:rFonts w:ascii="SDCC Display" w:eastAsia="Times New Roman" w:hAnsi="SDCC Display" w:cs="Times New Roman"/>
          <w:kern w:val="0"/>
          <w14:ligatures w14:val="none"/>
        </w:rPr>
        <w:t xml:space="preserve">Implications for Development Management – awaiting new regulations </w:t>
      </w:r>
    </w:p>
    <w:p w14:paraId="2F55B592" w14:textId="77777777" w:rsidR="00697A16" w:rsidRPr="0000714E" w:rsidRDefault="00697A16" w:rsidP="005415D2">
      <w:pPr>
        <w:ind w:left="567"/>
        <w:rPr>
          <w:rFonts w:ascii="SDCC Display" w:hAnsi="SDCC Display" w:cstheme="minorHAnsi"/>
        </w:rPr>
      </w:pPr>
    </w:p>
    <w:p w14:paraId="4F3826C2" w14:textId="5415F2C0" w:rsidR="00950693" w:rsidRPr="0000714E" w:rsidRDefault="00BA08B7" w:rsidP="005415D2">
      <w:pPr>
        <w:ind w:left="567"/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>M</w:t>
      </w:r>
      <w:r w:rsidR="00BE7074" w:rsidRPr="0000714E">
        <w:rPr>
          <w:rFonts w:ascii="SDCC Display" w:hAnsi="SDCC Display" w:cstheme="minorHAnsi"/>
        </w:rPr>
        <w:t xml:space="preserve">r </w:t>
      </w:r>
      <w:r w:rsidR="00697A16" w:rsidRPr="0000714E">
        <w:rPr>
          <w:rFonts w:ascii="SDCC Display" w:hAnsi="SDCC Display" w:cstheme="minorHAnsi"/>
        </w:rPr>
        <w:t xml:space="preserve">Collins </w:t>
      </w:r>
      <w:r w:rsidR="005415D2" w:rsidRPr="0000714E">
        <w:rPr>
          <w:rFonts w:ascii="SDCC Display" w:hAnsi="SDCC Display" w:cstheme="minorHAnsi"/>
        </w:rPr>
        <w:t xml:space="preserve">responded to </w:t>
      </w:r>
      <w:r w:rsidR="00950693" w:rsidRPr="0000714E">
        <w:rPr>
          <w:rFonts w:ascii="SDCC Display" w:hAnsi="SDCC Display" w:cstheme="minorHAnsi"/>
        </w:rPr>
        <w:t xml:space="preserve">contributions and </w:t>
      </w:r>
      <w:r w:rsidR="005415D2" w:rsidRPr="0000714E">
        <w:rPr>
          <w:rFonts w:ascii="SDCC Display" w:hAnsi="SDCC Display" w:cstheme="minorHAnsi"/>
        </w:rPr>
        <w:t xml:space="preserve">queries </w:t>
      </w:r>
      <w:r w:rsidR="00950693" w:rsidRPr="0000714E">
        <w:rPr>
          <w:rFonts w:ascii="SDCC Display" w:hAnsi="SDCC Display" w:cstheme="minorHAnsi"/>
        </w:rPr>
        <w:t xml:space="preserve">from </w:t>
      </w:r>
      <w:r w:rsidR="005415D2" w:rsidRPr="0000714E">
        <w:rPr>
          <w:rFonts w:ascii="SDCC Display" w:hAnsi="SDCC Display" w:cstheme="minorHAnsi"/>
        </w:rPr>
        <w:t>Cllr</w:t>
      </w:r>
      <w:r w:rsidR="00697A16" w:rsidRPr="0000714E">
        <w:rPr>
          <w:rFonts w:ascii="SDCC Display" w:hAnsi="SDCC Display" w:cstheme="minorHAnsi"/>
        </w:rPr>
        <w:t xml:space="preserve"> Cos</w:t>
      </w:r>
      <w:r w:rsidR="005415D2" w:rsidRPr="0000714E">
        <w:rPr>
          <w:rFonts w:ascii="SDCC Display" w:hAnsi="SDCC Display" w:cstheme="minorHAnsi"/>
        </w:rPr>
        <w:t xml:space="preserve">grave, </w:t>
      </w:r>
      <w:r w:rsidR="00A62DAF" w:rsidRPr="0000714E">
        <w:rPr>
          <w:rFonts w:ascii="SDCC Display" w:hAnsi="SDCC Display" w:cstheme="minorHAnsi"/>
        </w:rPr>
        <w:t>relating</w:t>
      </w:r>
      <w:r w:rsidR="00375B19" w:rsidRPr="0000714E">
        <w:rPr>
          <w:rFonts w:ascii="SDCC Display" w:hAnsi="SDCC Display" w:cstheme="minorHAnsi"/>
        </w:rPr>
        <w:t xml:space="preserve"> to </w:t>
      </w:r>
      <w:r w:rsidR="00697A16" w:rsidRPr="0000714E">
        <w:rPr>
          <w:rFonts w:ascii="SDCC Display" w:hAnsi="SDCC Display" w:cstheme="minorHAnsi"/>
        </w:rPr>
        <w:t>Section 5s now S10, JRs limited to landowners or have consent</w:t>
      </w:r>
    </w:p>
    <w:p w14:paraId="4E2AF9E0" w14:textId="627F5B85" w:rsidR="0065407E" w:rsidRPr="0000714E" w:rsidRDefault="00EB5E0B" w:rsidP="000652AC">
      <w:pPr>
        <w:pStyle w:val="Heading3"/>
        <w:rPr>
          <w:rFonts w:ascii="SDCC Display" w:eastAsiaTheme="majorEastAsia" w:hAnsi="SDCC Display" w:cstheme="minorHAnsi"/>
          <w:b/>
          <w:bCs/>
          <w:color w:val="000000" w:themeColor="text1"/>
          <w:kern w:val="24"/>
          <w:u w:val="single"/>
          <w:lang w:val="en-GB"/>
        </w:rPr>
      </w:pPr>
      <w:r w:rsidRPr="0000714E">
        <w:rPr>
          <w:rFonts w:ascii="SDCC Display" w:hAnsi="SDCC Display" w:cstheme="minorHAnsi"/>
          <w:b/>
        </w:rPr>
        <w:t>H3</w:t>
      </w:r>
      <w:r w:rsidR="00C6576E" w:rsidRPr="0000714E">
        <w:rPr>
          <w:rFonts w:ascii="SDCC Display" w:hAnsi="SDCC Display" w:cstheme="minorHAnsi"/>
          <w:b/>
        </w:rPr>
        <w:t xml:space="preserve"> </w:t>
      </w:r>
      <w:r w:rsidR="000D5C99" w:rsidRPr="0000714E">
        <w:rPr>
          <w:rFonts w:ascii="SDCC Display" w:hAnsi="SDCC Display" w:cstheme="minorHAnsi"/>
          <w:b/>
        </w:rPr>
        <w:t xml:space="preserve">– </w:t>
      </w:r>
      <w:r w:rsidR="00697A16" w:rsidRPr="0000714E">
        <w:rPr>
          <w:rFonts w:ascii="SDCC Display" w:hAnsi="SDCC Display" w:cstheme="minorHAnsi"/>
          <w:b/>
        </w:rPr>
        <w:t>Revised National Planning Framework</w:t>
      </w:r>
      <w:r w:rsidR="006A7C16" w:rsidRPr="0000714E">
        <w:rPr>
          <w:rFonts w:ascii="SDCC Display" w:hAnsi="SDCC Display" w:cstheme="minorHAnsi"/>
          <w:b/>
        </w:rPr>
        <w:t xml:space="preserve"> </w:t>
      </w:r>
      <w:r w:rsidR="004223AA" w:rsidRPr="0000714E">
        <w:rPr>
          <w:rFonts w:ascii="SDCC Display" w:hAnsi="SDCC Display" w:cstheme="minorHAnsi"/>
          <w:b/>
        </w:rPr>
        <w:t xml:space="preserve"> </w:t>
      </w:r>
      <w:r w:rsidR="00BA08B7" w:rsidRPr="0000714E">
        <w:rPr>
          <w:rFonts w:ascii="SDCC Display" w:hAnsi="SDCC Display" w:cstheme="minorHAnsi"/>
          <w:b/>
        </w:rPr>
        <w:t>Update</w:t>
      </w:r>
    </w:p>
    <w:p w14:paraId="74F40227" w14:textId="26D22430" w:rsidR="00155C0C" w:rsidRPr="0000714E" w:rsidRDefault="00211673" w:rsidP="004946BC">
      <w:pPr>
        <w:spacing w:after="0" w:line="216" w:lineRule="auto"/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 xml:space="preserve">The report as circulated </w:t>
      </w:r>
      <w:r w:rsidR="000A006D" w:rsidRPr="0000714E">
        <w:rPr>
          <w:rFonts w:ascii="SDCC Display" w:hAnsi="SDCC Display" w:cstheme="minorHAnsi"/>
        </w:rPr>
        <w:t xml:space="preserve">and </w:t>
      </w:r>
      <w:r w:rsidRPr="0000714E">
        <w:rPr>
          <w:rFonts w:ascii="SDCC Display" w:hAnsi="SDCC Display" w:cstheme="minorHAnsi"/>
        </w:rPr>
        <w:t xml:space="preserve">presented by </w:t>
      </w:r>
      <w:r w:rsidR="00AE0301" w:rsidRPr="0000714E">
        <w:rPr>
          <w:rFonts w:ascii="SDCC Display" w:hAnsi="SDCC Display" w:cstheme="minorHAnsi"/>
        </w:rPr>
        <w:t>M</w:t>
      </w:r>
      <w:r w:rsidR="00FB401B" w:rsidRPr="0000714E">
        <w:rPr>
          <w:rFonts w:ascii="SDCC Display" w:hAnsi="SDCC Display" w:cstheme="minorHAnsi"/>
        </w:rPr>
        <w:t>s Hazel Craigie, Senior Planner</w:t>
      </w:r>
      <w:r w:rsidR="006A7C16" w:rsidRPr="0000714E">
        <w:rPr>
          <w:rFonts w:ascii="SDCC Display" w:hAnsi="SDCC Display" w:cstheme="minorHAnsi"/>
        </w:rPr>
        <w:t>.</w:t>
      </w:r>
      <w:r w:rsidR="00BA08B7" w:rsidRPr="0000714E">
        <w:rPr>
          <w:rFonts w:ascii="SDCC Display" w:hAnsi="SDCC Display" w:cstheme="minorHAnsi"/>
        </w:rPr>
        <w:t xml:space="preserve"> </w:t>
      </w:r>
    </w:p>
    <w:p w14:paraId="334141C6" w14:textId="77777777" w:rsidR="00155C0C" w:rsidRPr="0000714E" w:rsidRDefault="00155C0C" w:rsidP="004946BC">
      <w:pPr>
        <w:spacing w:after="0" w:line="216" w:lineRule="auto"/>
        <w:rPr>
          <w:rFonts w:ascii="SDCC Display" w:hAnsi="SDCC Display" w:cstheme="minorHAnsi"/>
        </w:rPr>
      </w:pPr>
    </w:p>
    <w:p w14:paraId="3B5D0E49" w14:textId="1E1D8DEE" w:rsidR="008B05A6" w:rsidRPr="0000714E" w:rsidRDefault="00155C0C" w:rsidP="004946BC">
      <w:pPr>
        <w:spacing w:after="0" w:line="216" w:lineRule="auto"/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 xml:space="preserve">The presentation focused on: </w:t>
      </w:r>
      <w:r w:rsidR="0065407E" w:rsidRPr="0000714E">
        <w:rPr>
          <w:rFonts w:ascii="SDCC Display" w:hAnsi="SDCC Display" w:cstheme="minorHAnsi"/>
        </w:rPr>
        <w:t xml:space="preserve"> </w:t>
      </w:r>
    </w:p>
    <w:p w14:paraId="1999D059" w14:textId="2950FE0C" w:rsidR="00D1393B" w:rsidRPr="0000714E" w:rsidRDefault="00697A16" w:rsidP="00697A16">
      <w:pPr>
        <w:pStyle w:val="ListParagraph"/>
        <w:numPr>
          <w:ilvl w:val="0"/>
          <w:numId w:val="11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lang w:val="en-US"/>
          <w14:ligatures w14:val="none"/>
        </w:rPr>
      </w:pPr>
      <w:r w:rsidRPr="0000714E">
        <w:rPr>
          <w:rFonts w:ascii="SDCC Display" w:eastAsiaTheme="majorEastAsia" w:hAnsi="SDCC Display" w:cs="Arial"/>
          <w:lang w:val="en-US"/>
        </w:rPr>
        <w:t>Recap – NPF Revised Housing Targets</w:t>
      </w:r>
    </w:p>
    <w:p w14:paraId="09C994ED" w14:textId="346834EE" w:rsidR="005931D6" w:rsidRPr="0000714E" w:rsidRDefault="00697A16" w:rsidP="00697A16">
      <w:pPr>
        <w:pStyle w:val="ListParagraph"/>
        <w:numPr>
          <w:ilvl w:val="0"/>
          <w:numId w:val="11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  <w:color w:val="000000" w:themeColor="text1"/>
          <w:kern w:val="24"/>
          <w:lang w:val="en-US"/>
          <w14:ligatures w14:val="none"/>
        </w:rPr>
        <w:t xml:space="preserve">Recap SDCC </w:t>
      </w:r>
      <w:r w:rsidR="005931D6" w:rsidRPr="0000714E">
        <w:rPr>
          <w:rFonts w:ascii="SDCC Display" w:hAnsi="SDCC Display" w:cstheme="minorHAnsi"/>
          <w:color w:val="000000" w:themeColor="text1"/>
          <w:kern w:val="24"/>
          <w:lang w:val="en-US"/>
          <w14:ligatures w14:val="none"/>
        </w:rPr>
        <w:t>approach</w:t>
      </w:r>
      <w:r w:rsidRPr="0000714E">
        <w:rPr>
          <w:rFonts w:ascii="SDCC Display" w:hAnsi="SDCC Display" w:cstheme="minorHAnsi"/>
          <w:color w:val="000000" w:themeColor="text1"/>
          <w:kern w:val="24"/>
          <w:lang w:val="en-US"/>
          <w14:ligatures w14:val="none"/>
        </w:rPr>
        <w:t xml:space="preserve"> </w:t>
      </w:r>
    </w:p>
    <w:p w14:paraId="5628E03D" w14:textId="38F65F7E" w:rsidR="00697A16" w:rsidRPr="0000714E" w:rsidRDefault="00697A16" w:rsidP="005931D6">
      <w:pPr>
        <w:pStyle w:val="ListParagraph"/>
        <w:numPr>
          <w:ilvl w:val="1"/>
          <w:numId w:val="11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  <w:kern w:val="24"/>
          <w:lang w:val="en-US"/>
          <w14:ligatures w14:val="none"/>
        </w:rPr>
        <w:t xml:space="preserve"> </w:t>
      </w:r>
      <w:r w:rsidR="0000714E" w:rsidRPr="0000714E">
        <w:rPr>
          <w:rFonts w:ascii="SDCC Display" w:hAnsi="SDCC Display" w:cstheme="minorHAnsi"/>
          <w:kern w:val="24"/>
          <w:lang w:val="en-US"/>
          <w14:ligatures w14:val="none"/>
        </w:rPr>
        <w:t>rezoning</w:t>
      </w:r>
      <w:r w:rsidRPr="0000714E">
        <w:rPr>
          <w:rFonts w:ascii="SDCC Display" w:hAnsi="SDCC Display" w:cstheme="minorHAnsi"/>
          <w:kern w:val="24"/>
          <w:lang w:val="en-US"/>
          <w14:ligatures w14:val="none"/>
        </w:rPr>
        <w:t xml:space="preserve"> required for </w:t>
      </w:r>
      <w:r w:rsidR="005931D6" w:rsidRPr="0000714E">
        <w:rPr>
          <w:rFonts w:ascii="SDCC Display" w:hAnsi="SDCC Display" w:cstheme="minorHAnsi"/>
          <w:kern w:val="24"/>
          <w:lang w:val="en-US"/>
          <w14:ligatures w14:val="none"/>
        </w:rPr>
        <w:t>equiv. 7,900 homes</w:t>
      </w:r>
    </w:p>
    <w:p w14:paraId="11D88263" w14:textId="04C6BCDA" w:rsidR="005931D6" w:rsidRPr="0000714E" w:rsidRDefault="005931D6" w:rsidP="005931D6">
      <w:pPr>
        <w:pStyle w:val="ListParagraph"/>
        <w:numPr>
          <w:ilvl w:val="1"/>
          <w:numId w:val="11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="Arial"/>
          <w:lang w:val="en-GB"/>
        </w:rPr>
        <w:t>Non-statutory consultation “call for lands”</w:t>
      </w:r>
    </w:p>
    <w:p w14:paraId="72A50314" w14:textId="62E04A9E" w:rsidR="005931D6" w:rsidRPr="0000714E" w:rsidRDefault="005931D6" w:rsidP="005931D6">
      <w:pPr>
        <w:pStyle w:val="ListParagraph"/>
        <w:numPr>
          <w:ilvl w:val="1"/>
          <w:numId w:val="11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="Arial"/>
          <w:lang w:val="en-GB"/>
        </w:rPr>
        <w:t>Continue activation of brownfield land &amp; delivery of long-term zoned potential</w:t>
      </w:r>
    </w:p>
    <w:p w14:paraId="771FC238" w14:textId="2E2826CB" w:rsidR="00D1393B" w:rsidRPr="0000714E" w:rsidRDefault="005931D6" w:rsidP="00D1393B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="Arial"/>
          <w:lang w:val="en-GB"/>
        </w:rPr>
        <w:t>Long-term planning to 2040</w:t>
      </w:r>
    </w:p>
    <w:p w14:paraId="291A96BD" w14:textId="77777777" w:rsidR="00D1393B" w:rsidRPr="0000714E" w:rsidRDefault="00D1393B" w:rsidP="00D1393B">
      <w:pPr>
        <w:pStyle w:val="ListParagraph"/>
        <w:spacing w:after="0" w:line="216" w:lineRule="auto"/>
        <w:ind w:left="1800"/>
        <w:rPr>
          <w:rFonts w:ascii="SDCC Display" w:hAnsi="SDCC Display" w:cstheme="minorHAnsi"/>
          <w:color w:val="000000" w:themeColor="text1"/>
          <w:kern w:val="24"/>
          <w:lang w:val="en-US"/>
          <w14:ligatures w14:val="none"/>
        </w:rPr>
      </w:pPr>
    </w:p>
    <w:p w14:paraId="29DED4F7" w14:textId="412DDA68" w:rsidR="00D1393B" w:rsidRPr="0000714E" w:rsidRDefault="005931D6" w:rsidP="005931D6">
      <w:pPr>
        <w:pStyle w:val="ListParagraph"/>
        <w:numPr>
          <w:ilvl w:val="0"/>
          <w:numId w:val="12"/>
        </w:numPr>
        <w:spacing w:after="0"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>Summary of Proposed Variation</w:t>
      </w:r>
    </w:p>
    <w:p w14:paraId="17B181A4" w14:textId="77777777" w:rsidR="005931D6" w:rsidRPr="005931D6" w:rsidRDefault="005931D6" w:rsidP="005931D6">
      <w:pPr>
        <w:pStyle w:val="ListParagraph"/>
        <w:numPr>
          <w:ilvl w:val="1"/>
          <w:numId w:val="12"/>
        </w:numPr>
        <w:spacing w:line="216" w:lineRule="auto"/>
        <w:rPr>
          <w:rFonts w:ascii="SDCC Display" w:hAnsi="SDCC Display" w:cstheme="minorHAnsi"/>
        </w:rPr>
      </w:pPr>
      <w:r w:rsidRPr="005931D6">
        <w:rPr>
          <w:rFonts w:ascii="SDCC Display" w:hAnsi="SDCC Display" w:cstheme="minorHAnsi"/>
          <w:lang w:val="en-GB"/>
        </w:rPr>
        <w:t>Changes to existing land capacity details since Development Plan was adopted</w:t>
      </w:r>
    </w:p>
    <w:p w14:paraId="1BE6671F" w14:textId="77777777" w:rsidR="005931D6" w:rsidRPr="005931D6" w:rsidRDefault="005931D6" w:rsidP="005931D6">
      <w:pPr>
        <w:pStyle w:val="ListParagraph"/>
        <w:numPr>
          <w:ilvl w:val="1"/>
          <w:numId w:val="12"/>
        </w:numPr>
        <w:spacing w:line="216" w:lineRule="auto"/>
        <w:rPr>
          <w:rFonts w:ascii="SDCC Display" w:hAnsi="SDCC Display" w:cstheme="minorHAnsi"/>
        </w:rPr>
      </w:pPr>
      <w:r w:rsidRPr="005931D6">
        <w:rPr>
          <w:rFonts w:ascii="SDCC Display" w:hAnsi="SDCC Display" w:cstheme="minorHAnsi"/>
          <w:lang w:val="en-GB"/>
        </w:rPr>
        <w:lastRenderedPageBreak/>
        <w:t>Changing the zoning objective of lands to allow for residential development</w:t>
      </w:r>
    </w:p>
    <w:p w14:paraId="57921D34" w14:textId="7A0136C3" w:rsidR="005931D6" w:rsidRPr="0000714E" w:rsidRDefault="005931D6" w:rsidP="005931D6">
      <w:pPr>
        <w:pStyle w:val="ListParagraph"/>
        <w:numPr>
          <w:ilvl w:val="1"/>
          <w:numId w:val="12"/>
        </w:numPr>
        <w:spacing w:after="0" w:line="216" w:lineRule="auto"/>
        <w:rPr>
          <w:rFonts w:ascii="SDCC Display" w:hAnsi="SDCC Display" w:cstheme="minorHAnsi"/>
        </w:rPr>
      </w:pPr>
      <w:r w:rsidRPr="0000714E">
        <w:rPr>
          <w:rFonts w:ascii="SDCC Display" w:hAnsi="SDCC Display"/>
          <w:lang w:val="en-GB"/>
        </w:rPr>
        <w:t>Designation of Future Strategic Long-Term Development Areas</w:t>
      </w:r>
    </w:p>
    <w:p w14:paraId="3A5C2382" w14:textId="77777777" w:rsidR="005931D6" w:rsidRPr="0000714E" w:rsidRDefault="005931D6" w:rsidP="005931D6">
      <w:pPr>
        <w:pStyle w:val="ListParagraph"/>
        <w:numPr>
          <w:ilvl w:val="1"/>
          <w:numId w:val="12"/>
        </w:numPr>
        <w:spacing w:line="216" w:lineRule="auto"/>
        <w:rPr>
          <w:rFonts w:ascii="SDCC Display" w:hAnsi="SDCC Display" w:cstheme="minorHAnsi"/>
        </w:rPr>
      </w:pPr>
      <w:r w:rsidRPr="005931D6">
        <w:rPr>
          <w:rFonts w:ascii="SDCC Display" w:hAnsi="SDCC Display" w:cstheme="minorHAnsi"/>
          <w:lang w:val="en-GB"/>
        </w:rPr>
        <w:t>Compact Settlement Guidelines</w:t>
      </w:r>
    </w:p>
    <w:p w14:paraId="6B3733FF" w14:textId="77777777" w:rsidR="005931D6" w:rsidRPr="0000714E" w:rsidRDefault="005931D6" w:rsidP="005931D6">
      <w:pPr>
        <w:pStyle w:val="ListParagraph"/>
        <w:numPr>
          <w:ilvl w:val="1"/>
          <w:numId w:val="12"/>
        </w:numPr>
        <w:spacing w:line="216" w:lineRule="auto"/>
        <w:rPr>
          <w:rFonts w:ascii="SDCC Display" w:hAnsi="SDCC Display" w:cstheme="minorHAnsi"/>
        </w:rPr>
      </w:pPr>
      <w:r w:rsidRPr="005931D6">
        <w:rPr>
          <w:rFonts w:ascii="SDCC Display" w:hAnsi="SDCC Display" w:cstheme="minorHAnsi"/>
          <w:lang w:val="en-GB"/>
        </w:rPr>
        <w:t>Additional measures to facilitate unlocking of existing residential zoned lands</w:t>
      </w:r>
    </w:p>
    <w:p w14:paraId="23EBC1AE" w14:textId="77777777" w:rsidR="005931D6" w:rsidRPr="005931D6" w:rsidRDefault="005931D6" w:rsidP="005931D6">
      <w:pPr>
        <w:pStyle w:val="ListParagraph"/>
        <w:spacing w:line="216" w:lineRule="auto"/>
        <w:ind w:left="1800"/>
        <w:rPr>
          <w:rFonts w:ascii="SDCC Display" w:hAnsi="SDCC Display" w:cstheme="minorHAnsi"/>
        </w:rPr>
      </w:pPr>
    </w:p>
    <w:p w14:paraId="47676D85" w14:textId="5053477C" w:rsidR="005931D6" w:rsidRPr="0000714E" w:rsidRDefault="005931D6" w:rsidP="005931D6">
      <w:pPr>
        <w:pStyle w:val="ListParagraph"/>
        <w:numPr>
          <w:ilvl w:val="0"/>
          <w:numId w:val="12"/>
        </w:numPr>
        <w:spacing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 xml:space="preserve">Changes to </w:t>
      </w:r>
      <w:r w:rsidR="0000714E">
        <w:rPr>
          <w:rFonts w:ascii="SDCC Display" w:eastAsiaTheme="majorEastAsia" w:hAnsi="SDCC Display" w:cs="Arial"/>
          <w:lang w:val="en-US"/>
        </w:rPr>
        <w:t>t</w:t>
      </w:r>
      <w:r w:rsidRPr="0000714E">
        <w:rPr>
          <w:rFonts w:ascii="SDCC Display" w:eastAsiaTheme="majorEastAsia" w:hAnsi="SDCC Display" w:cs="Arial"/>
          <w:lang w:val="en-US"/>
        </w:rPr>
        <w:t xml:space="preserve">ext </w:t>
      </w:r>
      <w:r w:rsidR="0000714E">
        <w:rPr>
          <w:rFonts w:ascii="SDCC Display" w:eastAsiaTheme="majorEastAsia" w:hAnsi="SDCC Display" w:cs="Arial"/>
          <w:lang w:val="en-US"/>
        </w:rPr>
        <w:t>t</w:t>
      </w:r>
      <w:r w:rsidRPr="0000714E">
        <w:rPr>
          <w:rFonts w:ascii="SDCC Display" w:eastAsiaTheme="majorEastAsia" w:hAnsi="SDCC Display" w:cs="Arial"/>
          <w:lang w:val="en-US"/>
        </w:rPr>
        <w:t xml:space="preserve">hroughout </w:t>
      </w:r>
      <w:r w:rsidR="0000714E">
        <w:rPr>
          <w:rFonts w:ascii="SDCC Display" w:eastAsiaTheme="majorEastAsia" w:hAnsi="SDCC Display" w:cs="Arial"/>
          <w:lang w:val="en-US"/>
        </w:rPr>
        <w:t>the Development Plan</w:t>
      </w:r>
    </w:p>
    <w:p w14:paraId="7B1E9E43" w14:textId="43F26AD0" w:rsidR="005931D6" w:rsidRPr="0000714E" w:rsidRDefault="005931D6" w:rsidP="005931D6">
      <w:pPr>
        <w:pStyle w:val="ListParagraph"/>
        <w:numPr>
          <w:ilvl w:val="0"/>
          <w:numId w:val="12"/>
        </w:numPr>
        <w:spacing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>Additional zoned land capacity – key changes to meet targets</w:t>
      </w:r>
    </w:p>
    <w:p w14:paraId="6952B8E4" w14:textId="5D17BA20" w:rsidR="005931D6" w:rsidRPr="0000714E" w:rsidRDefault="005931D6" w:rsidP="005931D6">
      <w:pPr>
        <w:pStyle w:val="ListParagraph"/>
        <w:numPr>
          <w:ilvl w:val="0"/>
          <w:numId w:val="12"/>
        </w:numPr>
        <w:spacing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>Future Strategic Longterm Development Areas</w:t>
      </w:r>
    </w:p>
    <w:p w14:paraId="74B8B6B4" w14:textId="11A83C77" w:rsidR="005931D6" w:rsidRPr="0000714E" w:rsidRDefault="005931D6" w:rsidP="005931D6">
      <w:pPr>
        <w:pStyle w:val="ListParagraph"/>
        <w:numPr>
          <w:ilvl w:val="0"/>
          <w:numId w:val="12"/>
        </w:numPr>
        <w:spacing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>Additional Measures for public consultation to deliver lands</w:t>
      </w:r>
    </w:p>
    <w:p w14:paraId="516B2597" w14:textId="099DF1A8" w:rsidR="005931D6" w:rsidRPr="0000714E" w:rsidRDefault="005931D6" w:rsidP="005931D6">
      <w:pPr>
        <w:pStyle w:val="ListParagraph"/>
        <w:numPr>
          <w:ilvl w:val="0"/>
          <w:numId w:val="12"/>
        </w:numPr>
        <w:spacing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>Next Steps – proposed variation</w:t>
      </w:r>
    </w:p>
    <w:p w14:paraId="1105E3E4" w14:textId="0B52C029" w:rsidR="005931D6" w:rsidRPr="0000714E" w:rsidRDefault="005931D6" w:rsidP="005931D6">
      <w:pPr>
        <w:pStyle w:val="ListParagraph"/>
        <w:numPr>
          <w:ilvl w:val="1"/>
          <w:numId w:val="12"/>
        </w:numPr>
        <w:spacing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 xml:space="preserve">Public consultation </w:t>
      </w:r>
      <w:r w:rsidR="006464E5">
        <w:rPr>
          <w:rFonts w:ascii="SDCC Display" w:eastAsiaTheme="majorEastAsia" w:hAnsi="SDCC Display" w:cs="Arial"/>
          <w:lang w:val="en-US"/>
        </w:rPr>
        <w:t xml:space="preserve">- </w:t>
      </w:r>
      <w:r w:rsidRPr="0000714E">
        <w:rPr>
          <w:rFonts w:ascii="SDCC Display" w:eastAsiaTheme="majorEastAsia" w:hAnsi="SDCC Display" w:cs="Arial"/>
          <w:lang w:val="en-US"/>
        </w:rPr>
        <w:t xml:space="preserve">4 week </w:t>
      </w:r>
      <w:r w:rsidR="006464E5" w:rsidRPr="006464E5">
        <w:rPr>
          <w:rFonts w:ascii="SDCC Sans" w:eastAsia="Times New Roman" w:hAnsi="SDCC Sans"/>
          <w:lang w:val="en-US"/>
        </w:rPr>
        <w:t>ending 13</w:t>
      </w:r>
      <w:r w:rsidR="006464E5" w:rsidRPr="006464E5">
        <w:rPr>
          <w:rFonts w:ascii="SDCC Sans" w:eastAsia="Times New Roman" w:hAnsi="SDCC Sans"/>
          <w:vertAlign w:val="superscript"/>
          <w:lang w:val="en-US"/>
        </w:rPr>
        <w:t>th</w:t>
      </w:r>
      <w:r w:rsidR="006464E5" w:rsidRPr="006464E5">
        <w:rPr>
          <w:rFonts w:ascii="SDCC Sans" w:eastAsia="Times New Roman" w:hAnsi="SDCC Sans"/>
          <w:lang w:val="en-US"/>
        </w:rPr>
        <w:t xml:space="preserve"> March</w:t>
      </w:r>
    </w:p>
    <w:p w14:paraId="5EBCC201" w14:textId="36B89470" w:rsidR="005931D6" w:rsidRPr="0000714E" w:rsidRDefault="00FB401B" w:rsidP="005931D6">
      <w:pPr>
        <w:pStyle w:val="ListParagraph"/>
        <w:numPr>
          <w:ilvl w:val="1"/>
          <w:numId w:val="12"/>
        </w:numPr>
        <w:spacing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>Special Council Meeting end of May</w:t>
      </w:r>
      <w:r w:rsidR="006464E5">
        <w:rPr>
          <w:rFonts w:ascii="SDCC Display" w:eastAsiaTheme="majorEastAsia" w:hAnsi="SDCC Display" w:cs="Arial"/>
          <w:lang w:val="en-US"/>
        </w:rPr>
        <w:t>/ June 2026</w:t>
      </w:r>
    </w:p>
    <w:p w14:paraId="1F44E6DE" w14:textId="1789AC8B" w:rsidR="00FB401B" w:rsidRPr="0000714E" w:rsidRDefault="00FB401B" w:rsidP="005931D6">
      <w:pPr>
        <w:pStyle w:val="ListParagraph"/>
        <w:numPr>
          <w:ilvl w:val="1"/>
          <w:numId w:val="12"/>
        </w:numPr>
        <w:spacing w:line="216" w:lineRule="auto"/>
        <w:rPr>
          <w:rFonts w:ascii="SDCC Display" w:hAnsi="SDCC Display" w:cstheme="minorHAnsi"/>
        </w:rPr>
      </w:pPr>
      <w:r w:rsidRPr="0000714E">
        <w:rPr>
          <w:rFonts w:ascii="SDCC Display" w:eastAsiaTheme="majorEastAsia" w:hAnsi="SDCC Display" w:cs="Arial"/>
          <w:lang w:val="en-US"/>
        </w:rPr>
        <w:t>Any material alterations will require further consultation</w:t>
      </w:r>
    </w:p>
    <w:p w14:paraId="2FAB07CA" w14:textId="77777777" w:rsidR="00FB401B" w:rsidRPr="0000714E" w:rsidRDefault="00FB401B" w:rsidP="00FB401B">
      <w:pPr>
        <w:pStyle w:val="ListParagraph"/>
        <w:spacing w:line="216" w:lineRule="auto"/>
        <w:ind w:left="1800"/>
        <w:rPr>
          <w:rFonts w:ascii="SDCC Display" w:hAnsi="SDCC Display" w:cstheme="minorHAnsi"/>
        </w:rPr>
      </w:pPr>
    </w:p>
    <w:p w14:paraId="2AB7D1DB" w14:textId="77777777" w:rsidR="005931D6" w:rsidRPr="0000714E" w:rsidRDefault="005931D6" w:rsidP="00FB401B">
      <w:pPr>
        <w:pStyle w:val="ListParagraph"/>
        <w:spacing w:after="0" w:line="216" w:lineRule="auto"/>
        <w:ind w:left="1800"/>
        <w:rPr>
          <w:rFonts w:ascii="SDCC Display" w:hAnsi="SDCC Display" w:cstheme="minorHAnsi"/>
        </w:rPr>
      </w:pPr>
    </w:p>
    <w:p w14:paraId="3FD2A79A" w14:textId="4167E2BE" w:rsidR="004E7D72" w:rsidRPr="0000714E" w:rsidRDefault="004E7D72" w:rsidP="004E7D72">
      <w:pPr>
        <w:pStyle w:val="ListParagraph"/>
        <w:spacing w:after="0" w:line="216" w:lineRule="auto"/>
        <w:ind w:left="0"/>
        <w:rPr>
          <w:rFonts w:ascii="SDCC Display" w:hAnsi="SDCC Display" w:cstheme="minorHAnsi"/>
          <w:color w:val="000000" w:themeColor="text1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</w:rPr>
        <w:t>M</w:t>
      </w:r>
      <w:r w:rsidR="00FB401B" w:rsidRPr="0000714E">
        <w:rPr>
          <w:rFonts w:ascii="SDCC Display" w:hAnsi="SDCC Display" w:cstheme="minorHAnsi"/>
        </w:rPr>
        <w:t xml:space="preserve">s Craigie and Mr Burke responded to queries </w:t>
      </w:r>
      <w:r w:rsidRPr="0000714E">
        <w:rPr>
          <w:rFonts w:ascii="SDCC Display" w:hAnsi="SDCC Display" w:cstheme="minorHAnsi"/>
        </w:rPr>
        <w:t>raised by Cllrs</w:t>
      </w:r>
      <w:r w:rsidR="00D1393B" w:rsidRPr="0000714E">
        <w:rPr>
          <w:rFonts w:ascii="SDCC Display" w:hAnsi="SDCC Display" w:cstheme="minorHAnsi"/>
        </w:rPr>
        <w:t xml:space="preserve">, Farrell, Fennell, </w:t>
      </w:r>
      <w:r w:rsidR="00FB401B" w:rsidRPr="0000714E">
        <w:rPr>
          <w:rFonts w:ascii="SDCC Display" w:hAnsi="SDCC Display" w:cstheme="minorHAnsi"/>
        </w:rPr>
        <w:t xml:space="preserve">and </w:t>
      </w:r>
      <w:r w:rsidR="00D1393B" w:rsidRPr="0000714E">
        <w:rPr>
          <w:rFonts w:ascii="SDCC Display" w:hAnsi="SDCC Display" w:cstheme="minorHAnsi"/>
        </w:rPr>
        <w:t xml:space="preserve">Collins </w:t>
      </w:r>
      <w:r w:rsidR="003C34B6" w:rsidRPr="0000714E">
        <w:rPr>
          <w:rFonts w:ascii="SDCC Display" w:hAnsi="SDCC Display" w:cstheme="minorHAnsi"/>
        </w:rPr>
        <w:t xml:space="preserve">which included </w:t>
      </w:r>
      <w:r w:rsidR="00FB401B" w:rsidRPr="0000714E">
        <w:rPr>
          <w:rFonts w:ascii="SDCC Display" w:hAnsi="SDCC Display" w:cstheme="minorHAnsi"/>
        </w:rPr>
        <w:t>potential impact on transport, education and childcare facilities,  suitable route for Metro, and the shortfall of trades to deliver units</w:t>
      </w:r>
      <w:r w:rsidR="003C34B6" w:rsidRPr="0000714E">
        <w:rPr>
          <w:rFonts w:ascii="SDCC Display" w:hAnsi="SDCC Display" w:cstheme="minorHAnsi"/>
        </w:rPr>
        <w:t xml:space="preserve">. </w:t>
      </w:r>
    </w:p>
    <w:p w14:paraId="6B124F12" w14:textId="77777777" w:rsidR="00BA08B7" w:rsidRPr="0000714E" w:rsidRDefault="00BA08B7" w:rsidP="00BA08B7">
      <w:pPr>
        <w:pStyle w:val="ListParagraph"/>
        <w:spacing w:after="0" w:line="216" w:lineRule="auto"/>
        <w:ind w:left="1800"/>
        <w:rPr>
          <w:rFonts w:ascii="SDCC Display" w:hAnsi="SDCC Display" w:cstheme="minorHAnsi"/>
        </w:rPr>
      </w:pPr>
    </w:p>
    <w:p w14:paraId="0EF21560" w14:textId="79CBA514" w:rsidR="004223AA" w:rsidRPr="0000714E" w:rsidRDefault="00682FB7" w:rsidP="00CB0B0B">
      <w:pPr>
        <w:rPr>
          <w:rFonts w:ascii="SDCC Display" w:hAnsi="SDCC Display" w:cstheme="minorHAnsi"/>
          <w:b/>
        </w:rPr>
      </w:pPr>
      <w:bookmarkStart w:id="0" w:name="_Hlk161052652"/>
      <w:r w:rsidRPr="0000714E">
        <w:rPr>
          <w:rFonts w:ascii="SDCC Display" w:hAnsi="SDCC Display" w:cstheme="minorHAnsi"/>
          <w:b/>
        </w:rPr>
        <w:t>H</w:t>
      </w:r>
      <w:r w:rsidR="008926CD" w:rsidRPr="0000714E">
        <w:rPr>
          <w:rFonts w:ascii="SDCC Display" w:hAnsi="SDCC Display" w:cstheme="minorHAnsi"/>
          <w:b/>
        </w:rPr>
        <w:t>4</w:t>
      </w:r>
      <w:r w:rsidR="00375B19" w:rsidRPr="0000714E">
        <w:rPr>
          <w:rFonts w:ascii="SDCC Display" w:hAnsi="SDCC Display" w:cstheme="minorHAnsi"/>
          <w:b/>
        </w:rPr>
        <w:t xml:space="preserve"> </w:t>
      </w:r>
      <w:r w:rsidR="004223AA" w:rsidRPr="0000714E">
        <w:rPr>
          <w:rFonts w:ascii="SDCC Display" w:hAnsi="SDCC Display" w:cstheme="minorHAnsi"/>
          <w:b/>
        </w:rPr>
        <w:t>–</w:t>
      </w:r>
      <w:r w:rsidR="00794C38" w:rsidRPr="0000714E">
        <w:rPr>
          <w:rFonts w:ascii="SDCC Display" w:hAnsi="SDCC Display" w:cstheme="minorHAnsi"/>
          <w:b/>
        </w:rPr>
        <w:t xml:space="preserve"> </w:t>
      </w:r>
      <w:r w:rsidR="00FB401B" w:rsidRPr="0000714E">
        <w:rPr>
          <w:rFonts w:ascii="SDCC Display" w:hAnsi="SDCC Display" w:cstheme="minorHAnsi"/>
          <w:b/>
        </w:rPr>
        <w:t xml:space="preserve">Road Safety Strategy 2026-2030 </w:t>
      </w:r>
      <w:r w:rsidR="004223AA" w:rsidRPr="0000714E">
        <w:rPr>
          <w:rFonts w:ascii="SDCC Display" w:hAnsi="SDCC Display" w:cstheme="minorHAnsi"/>
          <w:b/>
        </w:rPr>
        <w:t>Update</w:t>
      </w:r>
      <w:bookmarkEnd w:id="0"/>
    </w:p>
    <w:p w14:paraId="077CFCE3" w14:textId="420B9B30" w:rsidR="00155C0C" w:rsidRPr="0000714E" w:rsidRDefault="008926CD" w:rsidP="00CB0B0B">
      <w:pPr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 xml:space="preserve">The report as circulated was presented by </w:t>
      </w:r>
      <w:r w:rsidR="00AE0301" w:rsidRPr="0000714E">
        <w:rPr>
          <w:rFonts w:ascii="SDCC Display" w:hAnsi="SDCC Display" w:cstheme="minorHAnsi"/>
        </w:rPr>
        <w:t>M</w:t>
      </w:r>
      <w:r w:rsidR="003C34B6" w:rsidRPr="0000714E">
        <w:rPr>
          <w:rFonts w:ascii="SDCC Display" w:hAnsi="SDCC Display" w:cstheme="minorHAnsi"/>
        </w:rPr>
        <w:t xml:space="preserve">s </w:t>
      </w:r>
      <w:r w:rsidR="00FB401B" w:rsidRPr="0000714E">
        <w:rPr>
          <w:rFonts w:ascii="SDCC Display" w:hAnsi="SDCC Display" w:cstheme="minorHAnsi"/>
        </w:rPr>
        <w:t>Orlaith Maguire</w:t>
      </w:r>
      <w:r w:rsidR="003C34B6" w:rsidRPr="0000714E">
        <w:rPr>
          <w:rFonts w:ascii="SDCC Display" w:hAnsi="SDCC Display" w:cstheme="minorHAnsi"/>
        </w:rPr>
        <w:t>,</w:t>
      </w:r>
      <w:r w:rsidR="00FB401B" w:rsidRPr="0000714E">
        <w:rPr>
          <w:rFonts w:ascii="SDCC Display" w:hAnsi="SDCC Display" w:cstheme="minorHAnsi"/>
        </w:rPr>
        <w:t xml:space="preserve">  Road Safety Officer</w:t>
      </w:r>
      <w:r w:rsidR="006B25A4" w:rsidRPr="0000714E">
        <w:rPr>
          <w:rFonts w:ascii="SDCC Display" w:hAnsi="SDCC Display" w:cstheme="minorHAnsi"/>
        </w:rPr>
        <w:t>.</w:t>
      </w:r>
    </w:p>
    <w:p w14:paraId="13F1B834" w14:textId="4D9571B6" w:rsidR="00155C0C" w:rsidRPr="0000714E" w:rsidRDefault="00155C0C" w:rsidP="00CB0B0B">
      <w:pPr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>The presentation focused on the following:</w:t>
      </w:r>
    </w:p>
    <w:p w14:paraId="488F7C26" w14:textId="1B262B37" w:rsidR="006B25A4" w:rsidRPr="0000714E" w:rsidRDefault="00357901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</w:rPr>
        <w:t xml:space="preserve">Government’s Road Safety Strategy – Phase 2 Action Plan </w:t>
      </w:r>
    </w:p>
    <w:p w14:paraId="47BF8D36" w14:textId="652E3BD4" w:rsidR="00357901" w:rsidRPr="0000714E" w:rsidRDefault="00357901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</w:rPr>
        <w:t>Safe Systems Approach – 15 Safety PIs / 7 pillars /12 primary actions</w:t>
      </w:r>
    </w:p>
    <w:p w14:paraId="32F44DBF" w14:textId="0E429D4D" w:rsidR="00357901" w:rsidRPr="0000714E" w:rsidRDefault="00C229A4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</w:rPr>
        <w:t>Profile of South Dublin</w:t>
      </w:r>
    </w:p>
    <w:p w14:paraId="12A013E1" w14:textId="40139C73" w:rsidR="00C229A4" w:rsidRPr="0000714E" w:rsidRDefault="00C229A4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</w:rPr>
        <w:t>Collision and casualty trends</w:t>
      </w:r>
    </w:p>
    <w:p w14:paraId="19FB197D" w14:textId="296EC9E6" w:rsidR="00C229A4" w:rsidRPr="0000714E" w:rsidRDefault="00C229A4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</w:rPr>
        <w:t>Review of SDCC RSS 2022-2024</w:t>
      </w:r>
    </w:p>
    <w:p w14:paraId="49EFBB28" w14:textId="5CA8E548" w:rsidR="00C229A4" w:rsidRPr="0000714E" w:rsidRDefault="00C229A4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</w:rPr>
        <w:t>SDCC RSWTG: membership, roles and responsibilities</w:t>
      </w:r>
    </w:p>
    <w:p w14:paraId="37648297" w14:textId="788CE71B" w:rsidR="00C229A4" w:rsidRPr="0000714E" w:rsidRDefault="00C229A4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  <w:kern w:val="24"/>
          <w:lang w:val="en-US"/>
          <w14:ligatures w14:val="none"/>
        </w:rPr>
        <w:t>Plan for 2026-2030 – aims and objectives – 4 Es</w:t>
      </w:r>
    </w:p>
    <w:p w14:paraId="6D51F8BE" w14:textId="7C3A8D8C" w:rsidR="00C229A4" w:rsidRPr="0000714E" w:rsidRDefault="00C229A4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  <w:kern w:val="24"/>
          <w:lang w:val="en-US"/>
          <w14:ligatures w14:val="none"/>
        </w:rPr>
        <w:t>SDCC targets from 12 primary actions</w:t>
      </w:r>
    </w:p>
    <w:p w14:paraId="761799DF" w14:textId="257F2DDB" w:rsidR="00C229A4" w:rsidRPr="0000714E" w:rsidRDefault="00C229A4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  <w:kern w:val="24"/>
          <w:lang w:val="en-US"/>
          <w14:ligatures w14:val="none"/>
        </w:rPr>
        <w:t xml:space="preserve">Critical Success </w:t>
      </w:r>
      <w:r w:rsidR="0000714E" w:rsidRPr="0000714E">
        <w:rPr>
          <w:rFonts w:ascii="SDCC Display" w:hAnsi="SDCC Display" w:cstheme="minorHAnsi"/>
          <w:kern w:val="24"/>
          <w:lang w:val="en-US"/>
          <w14:ligatures w14:val="none"/>
        </w:rPr>
        <w:t>Factors</w:t>
      </w:r>
    </w:p>
    <w:p w14:paraId="357600B5" w14:textId="1F51E70C" w:rsidR="00C229A4" w:rsidRPr="0000714E" w:rsidRDefault="00C229A4" w:rsidP="00C229A4">
      <w:pPr>
        <w:pStyle w:val="ListParagraph"/>
        <w:numPr>
          <w:ilvl w:val="0"/>
          <w:numId w:val="17"/>
        </w:numPr>
        <w:spacing w:after="0" w:line="216" w:lineRule="auto"/>
        <w:rPr>
          <w:rFonts w:ascii="SDCC Display" w:hAnsi="SDCC Display" w:cstheme="minorHAnsi"/>
          <w:kern w:val="24"/>
          <w:lang w:val="en-US"/>
          <w14:ligatures w14:val="none"/>
        </w:rPr>
      </w:pPr>
      <w:r w:rsidRPr="0000714E">
        <w:rPr>
          <w:rFonts w:ascii="SDCC Display" w:hAnsi="SDCC Display" w:cstheme="minorHAnsi"/>
          <w:kern w:val="24"/>
          <w:lang w:val="en-US"/>
          <w14:ligatures w14:val="none"/>
        </w:rPr>
        <w:t xml:space="preserve">Monitoring and evaluation </w:t>
      </w:r>
    </w:p>
    <w:p w14:paraId="2FDD85BB" w14:textId="77777777" w:rsidR="00C229A4" w:rsidRPr="0000714E" w:rsidRDefault="00C229A4" w:rsidP="00B2489A">
      <w:pPr>
        <w:pStyle w:val="ListParagraph"/>
        <w:spacing w:after="0" w:line="216" w:lineRule="auto"/>
        <w:ind w:left="1080"/>
        <w:rPr>
          <w:rFonts w:ascii="SDCC Display" w:hAnsi="SDCC Display" w:cstheme="minorHAnsi"/>
          <w:kern w:val="24"/>
          <w:lang w:val="en-US"/>
          <w14:ligatures w14:val="none"/>
        </w:rPr>
      </w:pPr>
    </w:p>
    <w:p w14:paraId="75A27154" w14:textId="76EA29A7" w:rsidR="00AE4AA7" w:rsidRPr="0000714E" w:rsidRDefault="00C229A4" w:rsidP="00E94551">
      <w:pPr>
        <w:spacing w:line="256" w:lineRule="auto"/>
        <w:rPr>
          <w:rFonts w:ascii="SDCC Display" w:eastAsia="Calibri" w:hAnsi="SDCC Display" w:cstheme="minorHAnsi"/>
          <w:color w:val="000000"/>
          <w:kern w:val="24"/>
          <w:lang w:val="en-GB"/>
          <w14:ligatures w14:val="none"/>
        </w:rPr>
      </w:pPr>
      <w:r w:rsidRPr="0000714E">
        <w:rPr>
          <w:rFonts w:ascii="SDCC Display" w:eastAsia="Calibri" w:hAnsi="SDCC Display" w:cstheme="minorHAnsi"/>
          <w:color w:val="000000"/>
          <w:kern w:val="24"/>
          <w:lang w:val="en-GB"/>
          <w14:ligatures w14:val="none"/>
        </w:rPr>
        <w:t xml:space="preserve">Ms Maguire responded to query from </w:t>
      </w:r>
      <w:r w:rsidR="009F1325" w:rsidRPr="0000714E">
        <w:rPr>
          <w:rFonts w:ascii="SDCC Display" w:eastAsia="Calibri" w:hAnsi="SDCC Display" w:cstheme="minorHAnsi"/>
          <w:color w:val="000000"/>
          <w:kern w:val="24"/>
          <w:lang w:val="en-GB"/>
          <w14:ligatures w14:val="none"/>
        </w:rPr>
        <w:t>Cllr Collins</w:t>
      </w:r>
      <w:r w:rsidR="00AE4AA7" w:rsidRPr="0000714E">
        <w:rPr>
          <w:rFonts w:ascii="SDCC Display" w:eastAsia="Calibri" w:hAnsi="SDCC Display" w:cstheme="minorHAnsi"/>
          <w:color w:val="000000"/>
          <w:kern w:val="24"/>
          <w:lang w:val="en-GB"/>
          <w14:ligatures w14:val="none"/>
        </w:rPr>
        <w:t xml:space="preserve"> </w:t>
      </w:r>
      <w:r w:rsidRPr="0000714E">
        <w:rPr>
          <w:rFonts w:ascii="SDCC Display" w:eastAsia="Calibri" w:hAnsi="SDCC Display" w:cstheme="minorHAnsi"/>
          <w:color w:val="000000"/>
          <w:kern w:val="24"/>
          <w:lang w:val="en-GB"/>
          <w14:ligatures w14:val="none"/>
        </w:rPr>
        <w:t>regarding funding and legislation</w:t>
      </w:r>
      <w:r w:rsidR="00AE4AA7" w:rsidRPr="0000714E">
        <w:rPr>
          <w:rFonts w:ascii="SDCC Display" w:eastAsia="Calibri" w:hAnsi="SDCC Display" w:cstheme="minorHAnsi"/>
          <w:color w:val="000000"/>
          <w:kern w:val="24"/>
          <w:lang w:val="en-GB"/>
          <w14:ligatures w14:val="none"/>
        </w:rPr>
        <w:t>.</w:t>
      </w:r>
    </w:p>
    <w:p w14:paraId="55195F51" w14:textId="52C5D9F0" w:rsidR="004075FE" w:rsidRPr="0000714E" w:rsidRDefault="004075FE" w:rsidP="004075FE">
      <w:pPr>
        <w:pStyle w:val="Heading3"/>
        <w:rPr>
          <w:rFonts w:ascii="SDCC Display" w:hAnsi="SDCC Display" w:cstheme="minorHAnsi"/>
          <w:b/>
        </w:rPr>
      </w:pPr>
      <w:r w:rsidRPr="0000714E">
        <w:rPr>
          <w:rFonts w:ascii="SDCC Display" w:hAnsi="SDCC Display" w:cstheme="minorHAnsi"/>
          <w:b/>
        </w:rPr>
        <w:t>H5</w:t>
      </w:r>
      <w:r w:rsidR="00794C38" w:rsidRPr="0000714E">
        <w:rPr>
          <w:rFonts w:ascii="SDCC Display" w:hAnsi="SDCC Display" w:cstheme="minorHAnsi"/>
          <w:b/>
        </w:rPr>
        <w:t xml:space="preserve"> </w:t>
      </w:r>
      <w:r w:rsidR="004223AA" w:rsidRPr="0000714E">
        <w:rPr>
          <w:rFonts w:ascii="SDCC Display" w:hAnsi="SDCC Display" w:cstheme="minorHAnsi"/>
          <w:b/>
        </w:rPr>
        <w:t>–</w:t>
      </w:r>
      <w:r w:rsidR="00B72565" w:rsidRPr="0000714E">
        <w:rPr>
          <w:rFonts w:ascii="SDCC Display" w:hAnsi="SDCC Display" w:cstheme="minorHAnsi"/>
          <w:b/>
        </w:rPr>
        <w:t xml:space="preserve"> </w:t>
      </w:r>
      <w:r w:rsidR="00C229A4" w:rsidRPr="0000714E">
        <w:rPr>
          <w:rFonts w:ascii="SDCC Display" w:hAnsi="SDCC Display" w:cstheme="minorHAnsi"/>
          <w:b/>
        </w:rPr>
        <w:t>Variation NO 1 to C</w:t>
      </w:r>
      <w:r w:rsidR="0000714E">
        <w:rPr>
          <w:rFonts w:ascii="SDCC Display" w:hAnsi="SDCC Display" w:cstheme="minorHAnsi"/>
          <w:b/>
        </w:rPr>
        <w:t xml:space="preserve">ounty </w:t>
      </w:r>
      <w:r w:rsidR="00C229A4" w:rsidRPr="0000714E">
        <w:rPr>
          <w:rFonts w:ascii="SDCC Display" w:hAnsi="SDCC Display" w:cstheme="minorHAnsi"/>
          <w:b/>
        </w:rPr>
        <w:t>D</w:t>
      </w:r>
      <w:r w:rsidR="0000714E">
        <w:rPr>
          <w:rFonts w:ascii="SDCC Display" w:hAnsi="SDCC Display" w:cstheme="minorHAnsi"/>
          <w:b/>
        </w:rPr>
        <w:t xml:space="preserve">evelopment </w:t>
      </w:r>
      <w:r w:rsidR="00C229A4" w:rsidRPr="0000714E">
        <w:rPr>
          <w:rFonts w:ascii="SDCC Display" w:hAnsi="SDCC Display" w:cstheme="minorHAnsi"/>
          <w:b/>
        </w:rPr>
        <w:t>P</w:t>
      </w:r>
      <w:r w:rsidR="0000714E">
        <w:rPr>
          <w:rFonts w:ascii="SDCC Display" w:hAnsi="SDCC Display" w:cstheme="minorHAnsi"/>
          <w:b/>
        </w:rPr>
        <w:t>lan</w:t>
      </w:r>
      <w:r w:rsidR="00C229A4" w:rsidRPr="0000714E">
        <w:rPr>
          <w:rFonts w:ascii="SDCC Display" w:hAnsi="SDCC Display" w:cstheme="minorHAnsi"/>
          <w:b/>
        </w:rPr>
        <w:t xml:space="preserve">  - Clondalkin Local Planning </w:t>
      </w:r>
      <w:r w:rsidR="0000714E" w:rsidRPr="0000714E">
        <w:rPr>
          <w:rFonts w:ascii="SDCC Display" w:hAnsi="SDCC Display" w:cstheme="minorHAnsi"/>
          <w:b/>
        </w:rPr>
        <w:t>Framework</w:t>
      </w:r>
    </w:p>
    <w:p w14:paraId="3D69D1F0" w14:textId="567662F1" w:rsidR="0035297A" w:rsidRPr="0000714E" w:rsidRDefault="006F2C5A" w:rsidP="00B15FB3">
      <w:pPr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>The report as circulated was presented by M</w:t>
      </w:r>
      <w:r w:rsidR="00C229A4" w:rsidRPr="0000714E">
        <w:rPr>
          <w:rFonts w:ascii="SDCC Display" w:hAnsi="SDCC Display" w:cstheme="minorHAnsi"/>
        </w:rPr>
        <w:t>s Hazel Craigie, Senior Planner</w:t>
      </w:r>
      <w:r w:rsidR="0000260A" w:rsidRPr="0000714E">
        <w:rPr>
          <w:rFonts w:ascii="SDCC Display" w:hAnsi="SDCC Display" w:cstheme="minorHAnsi"/>
        </w:rPr>
        <w:t>.</w:t>
      </w:r>
      <w:r w:rsidR="000D710E" w:rsidRPr="0000714E">
        <w:rPr>
          <w:rFonts w:ascii="SDCC Display" w:hAnsi="SDCC Display" w:cstheme="minorHAnsi"/>
        </w:rPr>
        <w:t xml:space="preserve"> </w:t>
      </w:r>
    </w:p>
    <w:p w14:paraId="01FB6EF9" w14:textId="42D850CF" w:rsidR="00C229A4" w:rsidRPr="0000714E" w:rsidRDefault="0035297A" w:rsidP="00C229A4">
      <w:pPr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 xml:space="preserve">The presentation focused on </w:t>
      </w:r>
      <w:bookmarkStart w:id="1" w:name="_Hlk199914031"/>
      <w:r w:rsidR="00C229A4" w:rsidRPr="0000714E">
        <w:rPr>
          <w:rFonts w:ascii="SDCC Display" w:hAnsi="SDCC Display" w:cstheme="minorHAnsi"/>
        </w:rPr>
        <w:t>context of the proposed variation and decision t</w:t>
      </w:r>
      <w:r w:rsidR="00977852" w:rsidRPr="0000714E">
        <w:rPr>
          <w:rFonts w:ascii="SDCC Display" w:hAnsi="SDCC Display" w:cstheme="minorHAnsi"/>
        </w:rPr>
        <w:t>aken at December 2025 Council Meeting t</w:t>
      </w:r>
      <w:r w:rsidR="00C229A4" w:rsidRPr="0000714E">
        <w:rPr>
          <w:rFonts w:ascii="SDCC Display" w:hAnsi="SDCC Display" w:cstheme="minorHAnsi"/>
        </w:rPr>
        <w:t xml:space="preserve">o proposed material alterations </w:t>
      </w:r>
    </w:p>
    <w:p w14:paraId="1E55BDF4" w14:textId="77777777" w:rsidR="00977852" w:rsidRPr="0000714E" w:rsidRDefault="00977852" w:rsidP="0097785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00714E">
        <w:rPr>
          <w:rFonts w:ascii="SDCC Display" w:hAnsi="SDCC Display" w:cs="Arial"/>
          <w:color w:val="000000" w:themeColor="text1"/>
          <w:lang w:val="en-GB"/>
        </w:rPr>
        <w:t xml:space="preserve">Public Consultation - Thursday 18th December 2025 to Monday 26th January 2026 inclusive. </w:t>
      </w:r>
    </w:p>
    <w:p w14:paraId="13B7B53D" w14:textId="77777777" w:rsidR="00977852" w:rsidRPr="0000714E" w:rsidRDefault="00977852" w:rsidP="0097785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00714E">
        <w:rPr>
          <w:rFonts w:ascii="SDCC Display" w:hAnsi="SDCC Display" w:cs="Arial"/>
          <w:color w:val="000000" w:themeColor="text1"/>
          <w:lang w:val="en-GB"/>
        </w:rPr>
        <w:t>Screening proposed alterations</w:t>
      </w:r>
    </w:p>
    <w:p w14:paraId="4D4A4894" w14:textId="77777777" w:rsidR="00977852" w:rsidRPr="0000714E" w:rsidRDefault="00977852" w:rsidP="0097785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00714E">
        <w:rPr>
          <w:rFonts w:ascii="SDCC Display" w:hAnsi="SDCC Display" w:cs="Arial"/>
          <w:color w:val="000000" w:themeColor="text1"/>
          <w:lang w:val="en-GB"/>
        </w:rPr>
        <w:t>Public information drop in</w:t>
      </w:r>
    </w:p>
    <w:p w14:paraId="2580F1C0" w14:textId="2DE5389F" w:rsidR="00977852" w:rsidRPr="0000714E" w:rsidRDefault="00977852" w:rsidP="0097785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00714E">
        <w:rPr>
          <w:rFonts w:ascii="SDCC Display" w:hAnsi="SDCC Display" w:cs="Arial"/>
          <w:color w:val="000000" w:themeColor="text1"/>
          <w:lang w:val="en-GB"/>
        </w:rPr>
        <w:t xml:space="preserve">12 </w:t>
      </w:r>
      <w:r w:rsidR="00793C21" w:rsidRPr="0000714E">
        <w:rPr>
          <w:rFonts w:ascii="SDCC Display" w:hAnsi="SDCC Display"/>
        </w:rPr>
        <w:t>Submission</w:t>
      </w:r>
      <w:r w:rsidRPr="0000714E">
        <w:rPr>
          <w:rFonts w:ascii="SDCC Display" w:hAnsi="SDCC Display"/>
        </w:rPr>
        <w:t xml:space="preserve">s </w:t>
      </w:r>
      <w:r w:rsidR="0000714E" w:rsidRPr="0000714E">
        <w:rPr>
          <w:rFonts w:ascii="SDCC Display" w:hAnsi="SDCC Display"/>
        </w:rPr>
        <w:t>received -</w:t>
      </w:r>
      <w:r w:rsidRPr="0000714E">
        <w:rPr>
          <w:rFonts w:ascii="SDCC Display" w:hAnsi="SDCC Display"/>
        </w:rPr>
        <w:t xml:space="preserve"> 9 from organisations, 3 from individuals</w:t>
      </w:r>
    </w:p>
    <w:p w14:paraId="314858DD" w14:textId="66FDE38F" w:rsidR="00977852" w:rsidRPr="0000714E" w:rsidRDefault="00977852" w:rsidP="0097785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00714E">
        <w:rPr>
          <w:rFonts w:ascii="SDCC Display" w:hAnsi="SDCC Display" w:cs="Arial"/>
          <w:color w:val="000000" w:themeColor="text1"/>
          <w:lang w:val="en-GB"/>
        </w:rPr>
        <w:t xml:space="preserve">CE report circulated </w:t>
      </w:r>
    </w:p>
    <w:p w14:paraId="3D63E003" w14:textId="09A83FC8" w:rsidR="00977852" w:rsidRPr="0000714E" w:rsidRDefault="00977852" w:rsidP="0097785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00714E">
        <w:rPr>
          <w:rFonts w:ascii="SDCC Display" w:hAnsi="SDCC Display" w:cs="Arial"/>
          <w:color w:val="000000" w:themeColor="text1"/>
          <w:lang w:val="en-GB"/>
        </w:rPr>
        <w:t>Overview of submissions received</w:t>
      </w:r>
    </w:p>
    <w:p w14:paraId="30FC7F53" w14:textId="4030E9A4" w:rsidR="00977852" w:rsidRPr="0000714E" w:rsidRDefault="00977852" w:rsidP="0097785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00714E">
        <w:rPr>
          <w:rFonts w:ascii="SDCC Display" w:hAnsi="SDCC Display" w:cs="Arial"/>
          <w:color w:val="000000" w:themeColor="text1"/>
          <w:lang w:val="en-GB"/>
        </w:rPr>
        <w:lastRenderedPageBreak/>
        <w:t>Guide to reading the CE report</w:t>
      </w:r>
    </w:p>
    <w:p w14:paraId="5F804258" w14:textId="610FFDEB" w:rsidR="00977852" w:rsidRPr="0000714E" w:rsidRDefault="00977852" w:rsidP="0097785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00714E">
        <w:rPr>
          <w:rFonts w:ascii="SDCC Display" w:hAnsi="SDCC Display" w:cs="Arial"/>
          <w:color w:val="000000" w:themeColor="text1"/>
          <w:lang w:val="en-GB"/>
        </w:rPr>
        <w:t>Variation process to conclude at Council Meeting 9</w:t>
      </w:r>
      <w:r w:rsidRPr="0000714E">
        <w:rPr>
          <w:rFonts w:ascii="SDCC Display" w:hAnsi="SDCC Display" w:cs="Arial"/>
          <w:color w:val="000000" w:themeColor="text1"/>
          <w:vertAlign w:val="superscript"/>
          <w:lang w:val="en-GB"/>
        </w:rPr>
        <w:t>th</w:t>
      </w:r>
      <w:r w:rsidRPr="0000714E">
        <w:rPr>
          <w:rFonts w:ascii="SDCC Display" w:hAnsi="SDCC Display" w:cs="Arial"/>
          <w:color w:val="000000" w:themeColor="text1"/>
          <w:lang w:val="en-GB"/>
        </w:rPr>
        <w:t xml:space="preserve"> March </w:t>
      </w:r>
    </w:p>
    <w:p w14:paraId="3CFA5A8E" w14:textId="113279A6" w:rsidR="00977852" w:rsidRPr="00DC1EA4" w:rsidRDefault="00977852" w:rsidP="000B60E2">
      <w:pPr>
        <w:pStyle w:val="ListParagraph"/>
        <w:numPr>
          <w:ilvl w:val="0"/>
          <w:numId w:val="19"/>
        </w:numPr>
        <w:spacing w:after="0" w:line="216" w:lineRule="auto"/>
        <w:rPr>
          <w:rFonts w:ascii="SDCC Display" w:eastAsia="Times New Roman" w:hAnsi="SDCC Display" w:cstheme="minorHAnsi"/>
          <w:kern w:val="0"/>
          <w14:ligatures w14:val="none"/>
        </w:rPr>
      </w:pPr>
      <w:r w:rsidRPr="00DC1EA4">
        <w:rPr>
          <w:rFonts w:ascii="SDCC Display" w:hAnsi="SDCC Display" w:cs="Arial"/>
          <w:color w:val="000000" w:themeColor="text1"/>
          <w:lang w:val="en-GB"/>
        </w:rPr>
        <w:t xml:space="preserve">Framework effective immediately </w:t>
      </w:r>
      <w:r w:rsidR="0000714E" w:rsidRPr="00DC1EA4">
        <w:rPr>
          <w:rFonts w:ascii="SDCC Display" w:hAnsi="SDCC Display" w:cs="Arial"/>
          <w:color w:val="000000" w:themeColor="text1"/>
          <w:lang w:val="en-GB"/>
        </w:rPr>
        <w:t>thereafter</w:t>
      </w:r>
    </w:p>
    <w:bookmarkEnd w:id="1"/>
    <w:p w14:paraId="615EA781" w14:textId="456B1F72" w:rsidR="00977852" w:rsidRPr="0000714E" w:rsidRDefault="00A075C1" w:rsidP="00A075C1">
      <w:pPr>
        <w:spacing w:before="100" w:beforeAutospacing="1" w:after="100" w:afterAutospacing="1" w:line="240" w:lineRule="auto"/>
        <w:rPr>
          <w:rFonts w:ascii="SDCC Display" w:hAnsi="SDCC Display" w:cstheme="minorHAnsi"/>
          <w:b/>
        </w:rPr>
      </w:pPr>
      <w:r w:rsidRPr="0000714E">
        <w:rPr>
          <w:rFonts w:ascii="Cambria" w:eastAsia="Times New Roman" w:hAnsi="Cambria" w:cs="Cambria"/>
          <w:color w:val="000000"/>
          <w:kern w:val="0"/>
          <w14:ligatures w14:val="none"/>
        </w:rPr>
        <w:t> </w:t>
      </w:r>
      <w:r w:rsidR="00FC28ED" w:rsidRPr="0000714E">
        <w:rPr>
          <w:rFonts w:ascii="SDCC Display" w:hAnsi="SDCC Display" w:cstheme="minorHAnsi"/>
          <w:b/>
        </w:rPr>
        <w:t>H</w:t>
      </w:r>
      <w:r w:rsidR="00977852" w:rsidRPr="0000714E">
        <w:rPr>
          <w:rFonts w:ascii="SDCC Display" w:hAnsi="SDCC Display" w:cstheme="minorHAnsi"/>
          <w:b/>
        </w:rPr>
        <w:t>6</w:t>
      </w:r>
      <w:r w:rsidR="00FC28ED" w:rsidRPr="0000714E">
        <w:rPr>
          <w:rFonts w:ascii="SDCC Display" w:hAnsi="SDCC Display" w:cstheme="minorHAnsi"/>
          <w:b/>
        </w:rPr>
        <w:t xml:space="preserve"> – </w:t>
      </w:r>
      <w:r w:rsidR="00977852" w:rsidRPr="0000714E">
        <w:rPr>
          <w:rFonts w:ascii="SDCC Display" w:hAnsi="SDCC Display" w:cstheme="minorHAnsi"/>
          <w:b/>
        </w:rPr>
        <w:t xml:space="preserve">Tallaght </w:t>
      </w:r>
      <w:r w:rsidR="00B2489A" w:rsidRPr="0000714E">
        <w:rPr>
          <w:rFonts w:ascii="SDCC Display" w:hAnsi="SDCC Display" w:cstheme="minorHAnsi"/>
          <w:b/>
        </w:rPr>
        <w:t xml:space="preserve">Village </w:t>
      </w:r>
      <w:r w:rsidR="00977852" w:rsidRPr="0000714E">
        <w:rPr>
          <w:rFonts w:ascii="SDCC Display" w:hAnsi="SDCC Display" w:cstheme="minorHAnsi"/>
          <w:b/>
        </w:rPr>
        <w:t>Enhancement Scheme</w:t>
      </w:r>
    </w:p>
    <w:p w14:paraId="7513DCC6" w14:textId="0447A850" w:rsidR="00977852" w:rsidRPr="0000714E" w:rsidRDefault="00977852" w:rsidP="00A075C1">
      <w:pPr>
        <w:spacing w:before="100" w:beforeAutospacing="1" w:after="100" w:afterAutospacing="1" w:line="240" w:lineRule="auto"/>
        <w:rPr>
          <w:rFonts w:ascii="SDCC Display" w:hAnsi="SDCC Display" w:cstheme="minorHAnsi"/>
        </w:rPr>
      </w:pPr>
      <w:r w:rsidRPr="0000714E">
        <w:rPr>
          <w:rFonts w:ascii="SDCC Display" w:hAnsi="SDCC Display" w:cstheme="minorHAnsi"/>
        </w:rPr>
        <w:t>The report as circulated was presented by Mr Gary Walsh, Senior Engineer</w:t>
      </w:r>
      <w:r w:rsidR="00872007">
        <w:rPr>
          <w:rFonts w:ascii="SDCC Display" w:hAnsi="SDCC Display" w:cstheme="minorHAnsi"/>
        </w:rPr>
        <w:t xml:space="preserve">.  </w:t>
      </w:r>
      <w:r w:rsidRPr="0000714E">
        <w:rPr>
          <w:rFonts w:ascii="SDCC Display" w:hAnsi="SDCC Display" w:cstheme="minorHAnsi"/>
        </w:rPr>
        <w:t xml:space="preserve">The presentation focused on </w:t>
      </w:r>
    </w:p>
    <w:p w14:paraId="0DB2512E" w14:textId="1385ADC5" w:rsidR="00977852" w:rsidRPr="0000714E" w:rsidRDefault="00977852" w:rsidP="0097785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Consultations 1 &amp; 2 – October / November 2025</w:t>
      </w:r>
    </w:p>
    <w:p w14:paraId="5934F761" w14:textId="55B624A2" w:rsidR="00977852" w:rsidRPr="0000714E" w:rsidRDefault="00977852" w:rsidP="0097785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 xml:space="preserve">Critical Success factors </w:t>
      </w:r>
    </w:p>
    <w:p w14:paraId="1AE61CE1" w14:textId="5091A2FD" w:rsidR="00977852" w:rsidRPr="0000714E" w:rsidRDefault="00977852" w:rsidP="0097785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Part V111 Layout</w:t>
      </w:r>
    </w:p>
    <w:p w14:paraId="29A42A41" w14:textId="4ED0D4D6" w:rsidR="00977852" w:rsidRPr="0000714E" w:rsidRDefault="00977852" w:rsidP="0097785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 xml:space="preserve">Assessment of </w:t>
      </w:r>
      <w:r w:rsidR="0000714E" w:rsidRPr="0000714E">
        <w:rPr>
          <w:rFonts w:ascii="SDCC Display" w:hAnsi="SDCC Display" w:cstheme="minorHAnsi"/>
          <w:bCs/>
        </w:rPr>
        <w:t>junctions -</w:t>
      </w:r>
      <w:r w:rsidRPr="0000714E">
        <w:rPr>
          <w:rFonts w:ascii="SDCC Display" w:hAnsi="SDCC Display" w:cstheme="minorHAnsi"/>
          <w:bCs/>
        </w:rPr>
        <w:t xml:space="preserve"> two distinct concepts emerging</w:t>
      </w:r>
      <w:r w:rsidR="00B2489A" w:rsidRPr="0000714E">
        <w:rPr>
          <w:rFonts w:ascii="SDCC Display" w:hAnsi="SDCC Display" w:cstheme="minorHAnsi"/>
          <w:bCs/>
        </w:rPr>
        <w:t xml:space="preserve"> for </w:t>
      </w:r>
      <w:r w:rsidR="0000714E">
        <w:rPr>
          <w:rFonts w:ascii="SDCC Display" w:hAnsi="SDCC Display" w:cstheme="minorHAnsi"/>
          <w:bCs/>
        </w:rPr>
        <w:t xml:space="preserve">potential </w:t>
      </w:r>
      <w:r w:rsidR="00B2489A" w:rsidRPr="0000714E">
        <w:rPr>
          <w:rFonts w:ascii="SDCC Display" w:hAnsi="SDCC Display" w:cstheme="minorHAnsi"/>
          <w:bCs/>
        </w:rPr>
        <w:t>redesign of main street</w:t>
      </w:r>
    </w:p>
    <w:p w14:paraId="7E2307BB" w14:textId="5CF7107C" w:rsidR="00B2489A" w:rsidRPr="0000714E" w:rsidRDefault="00B2489A" w:rsidP="0097785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Placemaking concepts</w:t>
      </w:r>
    </w:p>
    <w:p w14:paraId="38F0865B" w14:textId="0C9343BA" w:rsidR="00B2489A" w:rsidRPr="0000714E" w:rsidRDefault="00B2489A" w:rsidP="0097785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 xml:space="preserve">Heritage and cultural </w:t>
      </w:r>
    </w:p>
    <w:p w14:paraId="1D216318" w14:textId="2D3B3C94" w:rsidR="00977852" w:rsidRPr="0000714E" w:rsidRDefault="00B2489A" w:rsidP="00B2489A">
      <w:p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</w:rPr>
        <w:t>Mr Walsh s responded to queries raised by Cllrs Cosgrave and Fennell regarding the former “Esso Site”, the Priory and voices of younger Tallaght school going citizens.</w:t>
      </w:r>
    </w:p>
    <w:p w14:paraId="2A3E0E63" w14:textId="1AA9A587" w:rsidR="00977852" w:rsidRPr="0000714E" w:rsidRDefault="00B2489A" w:rsidP="00B2489A">
      <w:p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Cambria" w:eastAsia="Times New Roman" w:hAnsi="Cambria" w:cs="Cambria"/>
          <w:color w:val="000000"/>
          <w:kern w:val="0"/>
          <w14:ligatures w14:val="none"/>
        </w:rPr>
        <w:t> </w:t>
      </w:r>
      <w:r w:rsidRPr="0000714E">
        <w:rPr>
          <w:rFonts w:ascii="SDCC Display" w:hAnsi="SDCC Display" w:cstheme="minorHAnsi"/>
          <w:b/>
        </w:rPr>
        <w:t>H7 – City Edge Update</w:t>
      </w:r>
    </w:p>
    <w:p w14:paraId="72395B6A" w14:textId="5D5474E0" w:rsidR="00977852" w:rsidRPr="0000714E" w:rsidRDefault="00B2489A" w:rsidP="00872007">
      <w:pPr>
        <w:keepNext/>
        <w:keepLines/>
        <w:spacing w:before="200"/>
        <w:outlineLvl w:val="2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</w:rPr>
        <w:t xml:space="preserve">The report as circulated was presented by Mr Stephen Willoughby, </w:t>
      </w:r>
      <w:r w:rsidR="00DC1EA4">
        <w:rPr>
          <w:rFonts w:ascii="SDCC Display" w:hAnsi="SDCC Display" w:cstheme="minorHAnsi"/>
        </w:rPr>
        <w:t>S</w:t>
      </w:r>
      <w:r w:rsidRPr="0000714E">
        <w:rPr>
          <w:rFonts w:ascii="SDCC Display" w:hAnsi="SDCC Display" w:cstheme="minorHAnsi"/>
        </w:rPr>
        <w:t>enior Planner</w:t>
      </w:r>
      <w:r w:rsidR="00872007">
        <w:rPr>
          <w:rFonts w:ascii="SDCC Display" w:hAnsi="SDCC Display" w:cstheme="minorHAnsi"/>
        </w:rPr>
        <w:t xml:space="preserve">.  </w:t>
      </w:r>
      <w:r w:rsidRPr="0000714E">
        <w:rPr>
          <w:rFonts w:ascii="SDCC Display" w:hAnsi="SDCC Display" w:cstheme="minorHAnsi"/>
          <w:bCs/>
        </w:rPr>
        <w:t>The presentation focused on:</w:t>
      </w:r>
    </w:p>
    <w:p w14:paraId="69AED535" w14:textId="2D62D95E" w:rsidR="00B2489A" w:rsidRPr="0000714E" w:rsidRDefault="00B2489A" w:rsidP="00B2489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Recap – SDCC &amp; DCC joint venture / 700 ha / Strategic Objectives</w:t>
      </w:r>
    </w:p>
    <w:p w14:paraId="2A00C582" w14:textId="6A8A2788" w:rsidR="00B2489A" w:rsidRPr="0000714E" w:rsidRDefault="00B2489A" w:rsidP="00B2489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Progress since last update</w:t>
      </w:r>
    </w:p>
    <w:p w14:paraId="24FFFB9C" w14:textId="3686E0C0" w:rsidR="00B2489A" w:rsidRPr="0000714E" w:rsidRDefault="00B2489A" w:rsidP="00B2489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The current situation –new Planning &amp; Development Act did not commence as expected</w:t>
      </w:r>
    </w:p>
    <w:p w14:paraId="279592E3" w14:textId="368635C4" w:rsidR="00B2489A" w:rsidRPr="0000714E" w:rsidRDefault="00B2489A" w:rsidP="00B2489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SDCC approach / next steps – progressing with Strategic Urban Regeneration Framework</w:t>
      </w:r>
    </w:p>
    <w:p w14:paraId="039A2620" w14:textId="6CCFB06A" w:rsidR="00B2489A" w:rsidRPr="0000714E" w:rsidRDefault="00BD4B0D" w:rsidP="00BD4B0D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Consultation strategy being finalised</w:t>
      </w:r>
    </w:p>
    <w:p w14:paraId="4E03322D" w14:textId="12E9A9B6" w:rsidR="00BD4B0D" w:rsidRPr="0000714E" w:rsidRDefault="00BD4B0D" w:rsidP="00BD4B0D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Public Consultation commencing April 2026</w:t>
      </w:r>
    </w:p>
    <w:p w14:paraId="5B43EE98" w14:textId="16E849CC" w:rsidR="00BD4B0D" w:rsidRPr="0000714E" w:rsidRDefault="00BD4B0D" w:rsidP="00BD4B0D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  <w:bCs/>
        </w:rPr>
        <w:t>CE Report – to be considered by Council at July 2026 meeting</w:t>
      </w:r>
    </w:p>
    <w:p w14:paraId="3B5ED16C" w14:textId="66CDA52D" w:rsidR="0000714E" w:rsidRPr="0000714E" w:rsidRDefault="0000714E" w:rsidP="0000714E">
      <w:pPr>
        <w:spacing w:before="100" w:beforeAutospacing="1" w:after="100" w:afterAutospacing="1" w:line="240" w:lineRule="auto"/>
        <w:rPr>
          <w:rFonts w:ascii="SDCC Display" w:eastAsia="Times New Roman" w:hAnsi="SDCC Display" w:cs="Segoe UI"/>
          <w:kern w:val="0"/>
          <w14:ligatures w14:val="none"/>
        </w:rPr>
      </w:pPr>
      <w:r w:rsidRPr="0000714E">
        <w:rPr>
          <w:rFonts w:ascii="SDCC Display" w:hAnsi="SDCC Display" w:cstheme="minorHAnsi"/>
          <w:bCs/>
        </w:rPr>
        <w:t xml:space="preserve">Mr Willoughby responded to queries raised by Cllr Cosgrave, Cllr Collins and Mr O’Neill </w:t>
      </w:r>
      <w:r w:rsidRPr="0000714E">
        <w:rPr>
          <w:rFonts w:ascii="SDCC Display" w:eastAsia="Times New Roman" w:hAnsi="SDCC Display" w:cs="Segoe UI"/>
          <w:kern w:val="0"/>
          <w14:ligatures w14:val="none"/>
        </w:rPr>
        <w:t>concerning the commencement process across both local authorities, as well as the matter of certain entities expressing a willingness to relocate, and to where such relocation might occur."</w:t>
      </w:r>
    </w:p>
    <w:p w14:paraId="47D82D3C" w14:textId="74C8C837" w:rsidR="00DC1EA4" w:rsidRPr="0000714E" w:rsidRDefault="00DC1EA4" w:rsidP="00DC1EA4">
      <w:p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00714E">
        <w:rPr>
          <w:rFonts w:ascii="Cambria" w:eastAsia="Times New Roman" w:hAnsi="Cambria" w:cs="Cambria"/>
          <w:color w:val="000000"/>
          <w:kern w:val="0"/>
          <w14:ligatures w14:val="none"/>
        </w:rPr>
        <w:t> </w:t>
      </w:r>
      <w:r w:rsidRPr="0000714E">
        <w:rPr>
          <w:rFonts w:ascii="SDCC Display" w:hAnsi="SDCC Display" w:cstheme="minorHAnsi"/>
          <w:b/>
        </w:rPr>
        <w:t>H</w:t>
      </w:r>
      <w:r>
        <w:rPr>
          <w:rFonts w:ascii="SDCC Display" w:hAnsi="SDCC Display" w:cstheme="minorHAnsi"/>
          <w:b/>
        </w:rPr>
        <w:t>8</w:t>
      </w:r>
      <w:r w:rsidRPr="0000714E">
        <w:rPr>
          <w:rFonts w:ascii="SDCC Display" w:hAnsi="SDCC Display" w:cstheme="minorHAnsi"/>
          <w:b/>
        </w:rPr>
        <w:t xml:space="preserve"> – </w:t>
      </w:r>
      <w:r>
        <w:rPr>
          <w:rFonts w:ascii="SDCC Display" w:hAnsi="SDCC Display" w:cstheme="minorHAnsi"/>
          <w:b/>
        </w:rPr>
        <w:t xml:space="preserve">HGV Weight Restriction </w:t>
      </w:r>
      <w:r w:rsidR="00872007">
        <w:rPr>
          <w:rFonts w:ascii="SDCC Display" w:hAnsi="SDCC Display" w:cstheme="minorHAnsi"/>
          <w:b/>
        </w:rPr>
        <w:t xml:space="preserve">Review </w:t>
      </w:r>
      <w:r w:rsidR="00872007" w:rsidRPr="0000714E">
        <w:rPr>
          <w:rFonts w:ascii="SDCC Display" w:hAnsi="SDCC Display" w:cstheme="minorHAnsi"/>
          <w:b/>
        </w:rPr>
        <w:t>Update</w:t>
      </w:r>
    </w:p>
    <w:p w14:paraId="78D31655" w14:textId="2985ECA5" w:rsidR="00DC1EA4" w:rsidRDefault="00DC1EA4" w:rsidP="00872007">
      <w:pPr>
        <w:keepNext/>
        <w:keepLines/>
        <w:spacing w:before="200"/>
        <w:outlineLvl w:val="2"/>
        <w:rPr>
          <w:rFonts w:ascii="SDCC Display" w:hAnsi="SDCC Display" w:cstheme="minorHAnsi"/>
          <w:bCs/>
        </w:rPr>
      </w:pPr>
      <w:r w:rsidRPr="0000714E">
        <w:rPr>
          <w:rFonts w:ascii="SDCC Display" w:hAnsi="SDCC Display" w:cstheme="minorHAnsi"/>
        </w:rPr>
        <w:t xml:space="preserve">The report as circulated was presented by Mr </w:t>
      </w:r>
      <w:r>
        <w:rPr>
          <w:rFonts w:ascii="SDCC Display" w:hAnsi="SDCC Display" w:cstheme="minorHAnsi"/>
        </w:rPr>
        <w:t>John Hegarty, S</w:t>
      </w:r>
      <w:r w:rsidRPr="0000714E">
        <w:rPr>
          <w:rFonts w:ascii="SDCC Display" w:hAnsi="SDCC Display" w:cstheme="minorHAnsi"/>
        </w:rPr>
        <w:t xml:space="preserve">enior </w:t>
      </w:r>
      <w:r>
        <w:rPr>
          <w:rFonts w:ascii="SDCC Display" w:hAnsi="SDCC Display" w:cstheme="minorHAnsi"/>
        </w:rPr>
        <w:t>Engineer.</w:t>
      </w:r>
      <w:r w:rsidR="00872007">
        <w:rPr>
          <w:rFonts w:ascii="SDCC Display" w:hAnsi="SDCC Display" w:cstheme="minorHAnsi"/>
        </w:rPr>
        <w:t xml:space="preserve">  </w:t>
      </w:r>
      <w:r w:rsidRPr="0000714E">
        <w:rPr>
          <w:rFonts w:ascii="SDCC Display" w:hAnsi="SDCC Display" w:cstheme="minorHAnsi"/>
          <w:bCs/>
        </w:rPr>
        <w:t>The presentation focused on:</w:t>
      </w:r>
    </w:p>
    <w:p w14:paraId="177C481D" w14:textId="760F9E35" w:rsidR="00DC1EA4" w:rsidRDefault="00DC1EA4" w:rsidP="00DC1EA4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Definition of HGV</w:t>
      </w:r>
    </w:p>
    <w:p w14:paraId="28801FCE" w14:textId="4A60C1F4" w:rsidR="00DC1EA4" w:rsidRDefault="00DC1EA4" w:rsidP="00DC1EA4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The sign boards</w:t>
      </w:r>
    </w:p>
    <w:p w14:paraId="276292EA" w14:textId="7702497E" w:rsidR="00DC1EA4" w:rsidRDefault="00DC1EA4" w:rsidP="00DC1EA4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HGV designation assessment criteria</w:t>
      </w:r>
    </w:p>
    <w:p w14:paraId="1E27561C" w14:textId="4EA20C62" w:rsidR="00DC1EA4" w:rsidRDefault="00DC1EA4" w:rsidP="00DC1EA4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lastRenderedPageBreak/>
        <w:t xml:space="preserve">Where and why </w:t>
      </w:r>
      <w:r w:rsidR="00FC5607">
        <w:rPr>
          <w:rFonts w:ascii="SDCC Display" w:hAnsi="SDCC Display" w:cstheme="minorHAnsi"/>
          <w:bCs/>
        </w:rPr>
        <w:t>HGV weight restrictions</w:t>
      </w:r>
      <w:r>
        <w:rPr>
          <w:rFonts w:ascii="SDCC Display" w:hAnsi="SDCC Display" w:cstheme="minorHAnsi"/>
          <w:bCs/>
        </w:rPr>
        <w:t xml:space="preserve"> apply</w:t>
      </w:r>
      <w:r w:rsidR="00FC5607">
        <w:rPr>
          <w:rFonts w:ascii="SDCC Display" w:hAnsi="SDCC Display" w:cstheme="minorHAnsi"/>
          <w:bCs/>
        </w:rPr>
        <w:t xml:space="preserve"> /</w:t>
      </w:r>
      <w:r>
        <w:rPr>
          <w:rFonts w:ascii="SDCC Display" w:hAnsi="SDCC Display" w:cstheme="minorHAnsi"/>
          <w:bCs/>
        </w:rPr>
        <w:t xml:space="preserve"> areas to be avoided</w:t>
      </w:r>
    </w:p>
    <w:p w14:paraId="0DE38C0A" w14:textId="173F702B" w:rsidR="00DC1EA4" w:rsidRDefault="00DC1EA4" w:rsidP="00DC1EA4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Current HGV routes (2014)</w:t>
      </w:r>
    </w:p>
    <w:p w14:paraId="717D352C" w14:textId="23B37E96" w:rsidR="00DC1EA4" w:rsidRDefault="00DC1EA4" w:rsidP="00DC1EA4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Draft Proposals for new restrictions</w:t>
      </w:r>
    </w:p>
    <w:p w14:paraId="40306505" w14:textId="43CDFC32" w:rsidR="00DC1EA4" w:rsidRDefault="00DC1EA4" w:rsidP="00DC1EA4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The process to date – Cllr engagement</w:t>
      </w:r>
    </w:p>
    <w:p w14:paraId="18DE1425" w14:textId="77777777" w:rsidR="00DC1EA4" w:rsidRDefault="00DC1EA4" w:rsidP="00DC1EA4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Next steps</w:t>
      </w:r>
    </w:p>
    <w:p w14:paraId="4888D01C" w14:textId="3AB758A6" w:rsidR="00DC1EA4" w:rsidRDefault="00DC1EA4" w:rsidP="00DC1EA4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public consultation commencing 11</w:t>
      </w:r>
      <w:r w:rsidRPr="00DC1EA4">
        <w:rPr>
          <w:rFonts w:ascii="SDCC Display" w:hAnsi="SDCC Display" w:cstheme="minorHAnsi"/>
          <w:bCs/>
          <w:vertAlign w:val="superscript"/>
        </w:rPr>
        <w:t>th</w:t>
      </w:r>
      <w:r>
        <w:rPr>
          <w:rFonts w:ascii="SDCC Display" w:hAnsi="SDCC Display" w:cstheme="minorHAnsi"/>
          <w:bCs/>
        </w:rPr>
        <w:t xml:space="preserve"> March 2026</w:t>
      </w:r>
    </w:p>
    <w:p w14:paraId="213445CB" w14:textId="30117FF1" w:rsidR="00DC1EA4" w:rsidRDefault="00DC1EA4" w:rsidP="00DC1EA4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Proposals to be reviewed by AGS</w:t>
      </w:r>
    </w:p>
    <w:p w14:paraId="2B9791EC" w14:textId="3DDC9A08" w:rsidR="00DC1EA4" w:rsidRDefault="00DC1EA4" w:rsidP="00DC1EA4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Council meeting for noting  (Not Reserved Function)</w:t>
      </w:r>
    </w:p>
    <w:p w14:paraId="5A857BF9" w14:textId="3982D471" w:rsidR="00DC1EA4" w:rsidRDefault="00DC1EA4" w:rsidP="00DC1EA4">
      <w:pPr>
        <w:pStyle w:val="ListParagraph"/>
        <w:numPr>
          <w:ilvl w:val="1"/>
          <w:numId w:val="23"/>
        </w:num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>
        <w:rPr>
          <w:rFonts w:ascii="SDCC Display" w:hAnsi="SDCC Display" w:cstheme="minorHAnsi"/>
          <w:bCs/>
        </w:rPr>
        <w:t>Implementation</w:t>
      </w:r>
    </w:p>
    <w:p w14:paraId="482D92CA" w14:textId="77777777" w:rsidR="00DC1EA4" w:rsidRDefault="00DC1EA4" w:rsidP="00872007">
      <w:pPr>
        <w:pStyle w:val="ListParagraph"/>
        <w:spacing w:before="100" w:beforeAutospacing="1" w:after="100" w:afterAutospacing="1" w:line="240" w:lineRule="auto"/>
        <w:ind w:left="1440"/>
        <w:rPr>
          <w:rFonts w:ascii="SDCC Display" w:hAnsi="SDCC Display" w:cstheme="minorHAnsi"/>
          <w:bCs/>
        </w:rPr>
      </w:pPr>
    </w:p>
    <w:p w14:paraId="7A35B8E2" w14:textId="338EA7AB" w:rsidR="00DC1EA4" w:rsidRPr="00872007" w:rsidRDefault="00872007" w:rsidP="00872007">
      <w:pPr>
        <w:spacing w:before="100" w:beforeAutospacing="1" w:after="100" w:afterAutospacing="1" w:line="240" w:lineRule="auto"/>
        <w:rPr>
          <w:rFonts w:ascii="SDCC Display" w:hAnsi="SDCC Display" w:cstheme="minorHAnsi"/>
          <w:bCs/>
        </w:rPr>
      </w:pPr>
      <w:r w:rsidRPr="00872007">
        <w:rPr>
          <w:rFonts w:ascii="SDCC Display" w:hAnsi="SDCC Display" w:cstheme="minorHAnsi"/>
          <w:bCs/>
        </w:rPr>
        <w:t xml:space="preserve">Mr </w:t>
      </w:r>
      <w:r>
        <w:rPr>
          <w:rFonts w:ascii="SDCC Display" w:hAnsi="SDCC Display" w:cstheme="minorHAnsi"/>
          <w:bCs/>
        </w:rPr>
        <w:t xml:space="preserve">Hegarty </w:t>
      </w:r>
      <w:r w:rsidRPr="00872007">
        <w:rPr>
          <w:rFonts w:ascii="SDCC Display" w:hAnsi="SDCC Display" w:cstheme="minorHAnsi"/>
          <w:bCs/>
        </w:rPr>
        <w:t>responded to queries raised by</w:t>
      </w:r>
      <w:r>
        <w:rPr>
          <w:rFonts w:ascii="SDCC Display" w:hAnsi="SDCC Display" w:cstheme="minorHAnsi"/>
          <w:bCs/>
        </w:rPr>
        <w:t xml:space="preserve"> Cllrs Cosgrave, Farrell, Fennell and Collins regarding delivery lorries at Rosemount Shopping Centre</w:t>
      </w:r>
      <w:r w:rsidR="00FC5607">
        <w:rPr>
          <w:rFonts w:ascii="SDCC Display" w:hAnsi="SDCC Display" w:cstheme="minorHAnsi"/>
          <w:bCs/>
        </w:rPr>
        <w:t xml:space="preserve"> and </w:t>
      </w:r>
      <w:r>
        <w:rPr>
          <w:rFonts w:ascii="SDCC Display" w:hAnsi="SDCC Display" w:cstheme="minorHAnsi"/>
          <w:bCs/>
        </w:rPr>
        <w:t>enforcement incl</w:t>
      </w:r>
      <w:r w:rsidR="00924945">
        <w:rPr>
          <w:rFonts w:ascii="SDCC Display" w:hAnsi="SDCC Display" w:cstheme="minorHAnsi"/>
          <w:bCs/>
        </w:rPr>
        <w:t>.</w:t>
      </w:r>
      <w:r>
        <w:rPr>
          <w:rFonts w:ascii="SDCC Display" w:hAnsi="SDCC Display" w:cstheme="minorHAnsi"/>
          <w:bCs/>
        </w:rPr>
        <w:t xml:space="preserve"> anomaly </w:t>
      </w:r>
      <w:r w:rsidR="00924945">
        <w:rPr>
          <w:rFonts w:ascii="SDCC Display" w:hAnsi="SDCC Display" w:cstheme="minorHAnsi"/>
          <w:bCs/>
        </w:rPr>
        <w:t>at Kennelsfort</w:t>
      </w:r>
      <w:r>
        <w:rPr>
          <w:rFonts w:ascii="SDCC Display" w:hAnsi="SDCC Display" w:cstheme="minorHAnsi"/>
          <w:bCs/>
        </w:rPr>
        <w:t xml:space="preserve"> Road</w:t>
      </w:r>
      <w:r w:rsidR="00924945">
        <w:rPr>
          <w:rFonts w:ascii="SDCC Display" w:hAnsi="SDCC Display" w:cstheme="minorHAnsi"/>
          <w:bCs/>
        </w:rPr>
        <w:t>.</w:t>
      </w:r>
    </w:p>
    <w:p w14:paraId="1A0C1B6D" w14:textId="6FC7A855" w:rsidR="00A075C1" w:rsidRPr="0000714E" w:rsidRDefault="00094375" w:rsidP="00A075C1">
      <w:pPr>
        <w:spacing w:before="100" w:beforeAutospacing="1" w:after="100" w:afterAutospacing="1" w:line="240" w:lineRule="auto"/>
        <w:rPr>
          <w:rFonts w:ascii="SDCC Display" w:eastAsia="Times New Roman" w:hAnsi="SDCC Display" w:cstheme="minorHAnsi"/>
          <w:color w:val="000000"/>
          <w:kern w:val="0"/>
          <w14:ligatures w14:val="none"/>
        </w:rPr>
      </w:pPr>
      <w:r w:rsidRPr="0000714E">
        <w:rPr>
          <w:rFonts w:ascii="SDCC Display" w:eastAsia="Times New Roman" w:hAnsi="SDCC Display" w:cstheme="minorHAnsi"/>
          <w:color w:val="000000"/>
          <w:kern w:val="0"/>
          <w14:ligatures w14:val="none"/>
        </w:rPr>
        <w:t>The meeting concluded at 7.</w:t>
      </w:r>
      <w:r w:rsidR="00CD78E0" w:rsidRPr="0000714E">
        <w:rPr>
          <w:rFonts w:ascii="SDCC Display" w:eastAsia="Times New Roman" w:hAnsi="SDCC Display" w:cstheme="minorHAnsi"/>
          <w:color w:val="000000"/>
          <w:kern w:val="0"/>
          <w14:ligatures w14:val="none"/>
        </w:rPr>
        <w:t>00</w:t>
      </w:r>
      <w:r w:rsidRPr="0000714E">
        <w:rPr>
          <w:rFonts w:ascii="SDCC Display" w:eastAsia="Times New Roman" w:hAnsi="SDCC Display" w:cstheme="minorHAnsi"/>
          <w:color w:val="000000"/>
          <w:kern w:val="0"/>
          <w14:ligatures w14:val="none"/>
        </w:rPr>
        <w:t>pm</w:t>
      </w:r>
      <w:r w:rsidR="00554CCE" w:rsidRPr="0000714E">
        <w:rPr>
          <w:rFonts w:ascii="SDCC Display" w:eastAsia="Times New Roman" w:hAnsi="SDCC Display" w:cstheme="minorHAnsi"/>
          <w:color w:val="000000"/>
          <w:kern w:val="0"/>
          <w14:ligatures w14:val="none"/>
        </w:rPr>
        <w:t>.</w:t>
      </w:r>
    </w:p>
    <w:p w14:paraId="78FE376E" w14:textId="77777777" w:rsidR="00A075C1" w:rsidRPr="00A075C1" w:rsidRDefault="00A075C1" w:rsidP="00A075C1">
      <w:pPr>
        <w:pStyle w:val="Heading3"/>
        <w:rPr>
          <w:rFonts w:cstheme="minorHAnsi"/>
          <w:b/>
          <w:u w:val="single"/>
        </w:rPr>
      </w:pPr>
    </w:p>
    <w:p w14:paraId="07CD5878" w14:textId="77777777" w:rsidR="00A075C1" w:rsidRPr="00AE0301" w:rsidRDefault="00A075C1">
      <w:pPr>
        <w:rPr>
          <w:rFonts w:cstheme="minorHAnsi"/>
          <w:sz w:val="24"/>
          <w:szCs w:val="24"/>
        </w:rPr>
      </w:pPr>
    </w:p>
    <w:sectPr w:rsidR="00A075C1" w:rsidRPr="00AE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DCC Display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SDCC San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7C3C"/>
    <w:multiLevelType w:val="hybridMultilevel"/>
    <w:tmpl w:val="D25CC454"/>
    <w:lvl w:ilvl="0" w:tplc="4E72C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8A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22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EC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CA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22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60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A5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A8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B92E06"/>
    <w:multiLevelType w:val="hybridMultilevel"/>
    <w:tmpl w:val="0E1A724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65C19"/>
    <w:multiLevelType w:val="hybridMultilevel"/>
    <w:tmpl w:val="6F1044E2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7664F"/>
    <w:multiLevelType w:val="hybridMultilevel"/>
    <w:tmpl w:val="803A8DD4"/>
    <w:lvl w:ilvl="0" w:tplc="8BD4D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4B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52E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25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8A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8F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E48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45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324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46A99"/>
    <w:multiLevelType w:val="hybridMultilevel"/>
    <w:tmpl w:val="6ABACC00"/>
    <w:lvl w:ilvl="0" w:tplc="96FCA5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1C07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F67C8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22AE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91EB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26D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DCD20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DAD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666F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21446A19"/>
    <w:multiLevelType w:val="hybridMultilevel"/>
    <w:tmpl w:val="036ED87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3D9"/>
    <w:multiLevelType w:val="hybridMultilevel"/>
    <w:tmpl w:val="954041FC"/>
    <w:lvl w:ilvl="0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3D5AC2"/>
    <w:multiLevelType w:val="hybridMultilevel"/>
    <w:tmpl w:val="22125F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73AE4"/>
    <w:multiLevelType w:val="hybridMultilevel"/>
    <w:tmpl w:val="049C483E"/>
    <w:lvl w:ilvl="0" w:tplc="C12A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4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B492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A2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0F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C2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205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3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AE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86B31"/>
    <w:multiLevelType w:val="hybridMultilevel"/>
    <w:tmpl w:val="EC22857C"/>
    <w:lvl w:ilvl="0" w:tplc="60A4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9A3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84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81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4A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CF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4A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AA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0A6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435B8"/>
    <w:multiLevelType w:val="hybridMultilevel"/>
    <w:tmpl w:val="49BE6B96"/>
    <w:lvl w:ilvl="0" w:tplc="EAA43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64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04D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47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0FC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F47C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B26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A0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617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A3174"/>
    <w:multiLevelType w:val="hybridMultilevel"/>
    <w:tmpl w:val="BFE2FC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314D8"/>
    <w:multiLevelType w:val="hybridMultilevel"/>
    <w:tmpl w:val="A600C1C6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23F2"/>
    <w:multiLevelType w:val="hybridMultilevel"/>
    <w:tmpl w:val="8272B83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1363"/>
    <w:multiLevelType w:val="hybridMultilevel"/>
    <w:tmpl w:val="0396F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61920"/>
    <w:multiLevelType w:val="hybridMultilevel"/>
    <w:tmpl w:val="3158556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83B34"/>
    <w:multiLevelType w:val="hybridMultilevel"/>
    <w:tmpl w:val="BF56E7C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9971DC"/>
    <w:multiLevelType w:val="hybridMultilevel"/>
    <w:tmpl w:val="2006D65C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8405BB"/>
    <w:multiLevelType w:val="hybridMultilevel"/>
    <w:tmpl w:val="1B32B630"/>
    <w:lvl w:ilvl="0" w:tplc="1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7F7452"/>
    <w:multiLevelType w:val="hybridMultilevel"/>
    <w:tmpl w:val="73F26F9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B4F9A"/>
    <w:multiLevelType w:val="hybridMultilevel"/>
    <w:tmpl w:val="0ED2E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324D2"/>
    <w:multiLevelType w:val="hybridMultilevel"/>
    <w:tmpl w:val="9360754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A51ED"/>
    <w:multiLevelType w:val="hybridMultilevel"/>
    <w:tmpl w:val="4E2EB4A8"/>
    <w:lvl w:ilvl="0" w:tplc="98521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CD4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6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E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5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0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22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E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6194357">
    <w:abstractNumId w:val="12"/>
  </w:num>
  <w:num w:numId="2" w16cid:durableId="1612083771">
    <w:abstractNumId w:val="1"/>
  </w:num>
  <w:num w:numId="3" w16cid:durableId="2146507187">
    <w:abstractNumId w:val="22"/>
  </w:num>
  <w:num w:numId="4" w16cid:durableId="1896618264">
    <w:abstractNumId w:val="20"/>
  </w:num>
  <w:num w:numId="5" w16cid:durableId="1188562788">
    <w:abstractNumId w:val="14"/>
  </w:num>
  <w:num w:numId="6" w16cid:durableId="2054229510">
    <w:abstractNumId w:val="7"/>
  </w:num>
  <w:num w:numId="7" w16cid:durableId="2119567945">
    <w:abstractNumId w:val="4"/>
  </w:num>
  <w:num w:numId="8" w16cid:durableId="1734237899">
    <w:abstractNumId w:val="18"/>
  </w:num>
  <w:num w:numId="9" w16cid:durableId="376971326">
    <w:abstractNumId w:val="0"/>
  </w:num>
  <w:num w:numId="10" w16cid:durableId="1725593959">
    <w:abstractNumId w:val="13"/>
  </w:num>
  <w:num w:numId="11" w16cid:durableId="2071075313">
    <w:abstractNumId w:val="16"/>
  </w:num>
  <w:num w:numId="12" w16cid:durableId="1681808846">
    <w:abstractNumId w:val="2"/>
  </w:num>
  <w:num w:numId="13" w16cid:durableId="1186212581">
    <w:abstractNumId w:val="3"/>
  </w:num>
  <w:num w:numId="14" w16cid:durableId="1766686613">
    <w:abstractNumId w:val="9"/>
  </w:num>
  <w:num w:numId="15" w16cid:durableId="1582258254">
    <w:abstractNumId w:val="10"/>
  </w:num>
  <w:num w:numId="16" w16cid:durableId="287861385">
    <w:abstractNumId w:val="8"/>
  </w:num>
  <w:num w:numId="17" w16cid:durableId="1577471157">
    <w:abstractNumId w:val="17"/>
  </w:num>
  <w:num w:numId="18" w16cid:durableId="735974591">
    <w:abstractNumId w:val="6"/>
  </w:num>
  <w:num w:numId="19" w16cid:durableId="722173608">
    <w:abstractNumId w:val="15"/>
  </w:num>
  <w:num w:numId="20" w16cid:durableId="1464738291">
    <w:abstractNumId w:val="5"/>
  </w:num>
  <w:num w:numId="21" w16cid:durableId="1735082821">
    <w:abstractNumId w:val="21"/>
  </w:num>
  <w:num w:numId="22" w16cid:durableId="1327779813">
    <w:abstractNumId w:val="11"/>
  </w:num>
  <w:num w:numId="23" w16cid:durableId="176864860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4"/>
    <w:rsid w:val="000006AF"/>
    <w:rsid w:val="0000260A"/>
    <w:rsid w:val="000031E3"/>
    <w:rsid w:val="0000714E"/>
    <w:rsid w:val="00007241"/>
    <w:rsid w:val="000205AF"/>
    <w:rsid w:val="00024F4C"/>
    <w:rsid w:val="00027836"/>
    <w:rsid w:val="00033DC3"/>
    <w:rsid w:val="0004256C"/>
    <w:rsid w:val="00046542"/>
    <w:rsid w:val="000652AC"/>
    <w:rsid w:val="00067A12"/>
    <w:rsid w:val="00077006"/>
    <w:rsid w:val="00094375"/>
    <w:rsid w:val="000A006D"/>
    <w:rsid w:val="000A429B"/>
    <w:rsid w:val="000B03EF"/>
    <w:rsid w:val="000B76AF"/>
    <w:rsid w:val="000D5C99"/>
    <w:rsid w:val="000D5F18"/>
    <w:rsid w:val="000D710E"/>
    <w:rsid w:val="001175D5"/>
    <w:rsid w:val="00121993"/>
    <w:rsid w:val="00122FA0"/>
    <w:rsid w:val="00134043"/>
    <w:rsid w:val="001500B2"/>
    <w:rsid w:val="001500DB"/>
    <w:rsid w:val="00150838"/>
    <w:rsid w:val="00155C0C"/>
    <w:rsid w:val="00167040"/>
    <w:rsid w:val="0018311E"/>
    <w:rsid w:val="00191AE8"/>
    <w:rsid w:val="00191FAF"/>
    <w:rsid w:val="001A07E7"/>
    <w:rsid w:val="001B513D"/>
    <w:rsid w:val="001E51A8"/>
    <w:rsid w:val="001F7EAC"/>
    <w:rsid w:val="00204D3B"/>
    <w:rsid w:val="0020511F"/>
    <w:rsid w:val="00211673"/>
    <w:rsid w:val="00247D42"/>
    <w:rsid w:val="002611E2"/>
    <w:rsid w:val="00272B3F"/>
    <w:rsid w:val="00294D80"/>
    <w:rsid w:val="0029764D"/>
    <w:rsid w:val="002C4CFD"/>
    <w:rsid w:val="002E5B7C"/>
    <w:rsid w:val="002F05C5"/>
    <w:rsid w:val="002F2F87"/>
    <w:rsid w:val="00304D5A"/>
    <w:rsid w:val="0030501F"/>
    <w:rsid w:val="00307CEC"/>
    <w:rsid w:val="00327811"/>
    <w:rsid w:val="00345C64"/>
    <w:rsid w:val="003508CC"/>
    <w:rsid w:val="0035297A"/>
    <w:rsid w:val="00357901"/>
    <w:rsid w:val="003606ED"/>
    <w:rsid w:val="00375B19"/>
    <w:rsid w:val="003A4DDB"/>
    <w:rsid w:val="003B28D6"/>
    <w:rsid w:val="003B64E8"/>
    <w:rsid w:val="003B6510"/>
    <w:rsid w:val="003B6B8D"/>
    <w:rsid w:val="003C34B6"/>
    <w:rsid w:val="003D5D00"/>
    <w:rsid w:val="00401E5B"/>
    <w:rsid w:val="004056F8"/>
    <w:rsid w:val="004075FE"/>
    <w:rsid w:val="00412825"/>
    <w:rsid w:val="004223AA"/>
    <w:rsid w:val="004355DB"/>
    <w:rsid w:val="004356F7"/>
    <w:rsid w:val="00440D47"/>
    <w:rsid w:val="00462F62"/>
    <w:rsid w:val="004776C6"/>
    <w:rsid w:val="004946BC"/>
    <w:rsid w:val="004A3F7A"/>
    <w:rsid w:val="004A44C3"/>
    <w:rsid w:val="004A71AD"/>
    <w:rsid w:val="004C0D2B"/>
    <w:rsid w:val="004C1724"/>
    <w:rsid w:val="004E4A18"/>
    <w:rsid w:val="004E7D72"/>
    <w:rsid w:val="00534F5F"/>
    <w:rsid w:val="00535BFD"/>
    <w:rsid w:val="005415D2"/>
    <w:rsid w:val="00544235"/>
    <w:rsid w:val="00554CCE"/>
    <w:rsid w:val="00557DD5"/>
    <w:rsid w:val="00560403"/>
    <w:rsid w:val="005931D6"/>
    <w:rsid w:val="005B0CA1"/>
    <w:rsid w:val="005B7EEE"/>
    <w:rsid w:val="00601CC7"/>
    <w:rsid w:val="0060355B"/>
    <w:rsid w:val="00613115"/>
    <w:rsid w:val="006208F3"/>
    <w:rsid w:val="0063177E"/>
    <w:rsid w:val="006377A1"/>
    <w:rsid w:val="00637B23"/>
    <w:rsid w:val="006464E5"/>
    <w:rsid w:val="00652D2D"/>
    <w:rsid w:val="0065407E"/>
    <w:rsid w:val="00654207"/>
    <w:rsid w:val="00682FB7"/>
    <w:rsid w:val="006924A8"/>
    <w:rsid w:val="00694A11"/>
    <w:rsid w:val="00697A16"/>
    <w:rsid w:val="006A1B70"/>
    <w:rsid w:val="006A5E86"/>
    <w:rsid w:val="006A7C16"/>
    <w:rsid w:val="006B25A4"/>
    <w:rsid w:val="006B3984"/>
    <w:rsid w:val="006B74A9"/>
    <w:rsid w:val="006C3CE4"/>
    <w:rsid w:val="006C53F2"/>
    <w:rsid w:val="006D378B"/>
    <w:rsid w:val="006D6B18"/>
    <w:rsid w:val="006E05AA"/>
    <w:rsid w:val="006E39DA"/>
    <w:rsid w:val="006F2C5A"/>
    <w:rsid w:val="006F4D18"/>
    <w:rsid w:val="00717D73"/>
    <w:rsid w:val="0073202C"/>
    <w:rsid w:val="0073683A"/>
    <w:rsid w:val="00742F97"/>
    <w:rsid w:val="00760D8F"/>
    <w:rsid w:val="00764827"/>
    <w:rsid w:val="0076705A"/>
    <w:rsid w:val="007866AB"/>
    <w:rsid w:val="00793C21"/>
    <w:rsid w:val="00794C38"/>
    <w:rsid w:val="007A455A"/>
    <w:rsid w:val="007F2114"/>
    <w:rsid w:val="00803C25"/>
    <w:rsid w:val="008061D7"/>
    <w:rsid w:val="008147D7"/>
    <w:rsid w:val="00846254"/>
    <w:rsid w:val="00846748"/>
    <w:rsid w:val="00851141"/>
    <w:rsid w:val="008540D5"/>
    <w:rsid w:val="0086341E"/>
    <w:rsid w:val="00871087"/>
    <w:rsid w:val="00872007"/>
    <w:rsid w:val="00877CCF"/>
    <w:rsid w:val="00881440"/>
    <w:rsid w:val="008926CD"/>
    <w:rsid w:val="008B05A6"/>
    <w:rsid w:val="008C02C6"/>
    <w:rsid w:val="008C042D"/>
    <w:rsid w:val="008D2C3E"/>
    <w:rsid w:val="008D5030"/>
    <w:rsid w:val="008F70BD"/>
    <w:rsid w:val="0090262E"/>
    <w:rsid w:val="00904B79"/>
    <w:rsid w:val="009059D1"/>
    <w:rsid w:val="009101CF"/>
    <w:rsid w:val="00914B6A"/>
    <w:rsid w:val="00921B98"/>
    <w:rsid w:val="00924945"/>
    <w:rsid w:val="00946C41"/>
    <w:rsid w:val="00950693"/>
    <w:rsid w:val="009515F0"/>
    <w:rsid w:val="00962145"/>
    <w:rsid w:val="0097744E"/>
    <w:rsid w:val="00977852"/>
    <w:rsid w:val="009815B7"/>
    <w:rsid w:val="0099590B"/>
    <w:rsid w:val="009A1CF0"/>
    <w:rsid w:val="009A5135"/>
    <w:rsid w:val="009B00EF"/>
    <w:rsid w:val="009B6AC6"/>
    <w:rsid w:val="009D1767"/>
    <w:rsid w:val="009F1325"/>
    <w:rsid w:val="009F16FE"/>
    <w:rsid w:val="009F1F17"/>
    <w:rsid w:val="009F59D1"/>
    <w:rsid w:val="00A059F1"/>
    <w:rsid w:val="00A075C1"/>
    <w:rsid w:val="00A11D3A"/>
    <w:rsid w:val="00A25FA5"/>
    <w:rsid w:val="00A33BF4"/>
    <w:rsid w:val="00A35A9A"/>
    <w:rsid w:val="00A4635C"/>
    <w:rsid w:val="00A4768D"/>
    <w:rsid w:val="00A52BE7"/>
    <w:rsid w:val="00A62DAF"/>
    <w:rsid w:val="00A86333"/>
    <w:rsid w:val="00A94B60"/>
    <w:rsid w:val="00A9607E"/>
    <w:rsid w:val="00AA18E1"/>
    <w:rsid w:val="00AB070E"/>
    <w:rsid w:val="00AB5887"/>
    <w:rsid w:val="00AC3B3A"/>
    <w:rsid w:val="00AE0301"/>
    <w:rsid w:val="00AE4AA7"/>
    <w:rsid w:val="00AF3676"/>
    <w:rsid w:val="00AF63F7"/>
    <w:rsid w:val="00AF7E6C"/>
    <w:rsid w:val="00AF7FD9"/>
    <w:rsid w:val="00B15FB3"/>
    <w:rsid w:val="00B22F24"/>
    <w:rsid w:val="00B2489A"/>
    <w:rsid w:val="00B25F62"/>
    <w:rsid w:val="00B329DA"/>
    <w:rsid w:val="00B36A11"/>
    <w:rsid w:val="00B5646C"/>
    <w:rsid w:val="00B72565"/>
    <w:rsid w:val="00B912F4"/>
    <w:rsid w:val="00B9617B"/>
    <w:rsid w:val="00BA08B7"/>
    <w:rsid w:val="00BA591D"/>
    <w:rsid w:val="00BB19D7"/>
    <w:rsid w:val="00BB750B"/>
    <w:rsid w:val="00BD2EAE"/>
    <w:rsid w:val="00BD4B0D"/>
    <w:rsid w:val="00BE7074"/>
    <w:rsid w:val="00BF12D8"/>
    <w:rsid w:val="00BF1875"/>
    <w:rsid w:val="00C14C3B"/>
    <w:rsid w:val="00C229A4"/>
    <w:rsid w:val="00C31757"/>
    <w:rsid w:val="00C47217"/>
    <w:rsid w:val="00C5287F"/>
    <w:rsid w:val="00C57AE9"/>
    <w:rsid w:val="00C6022E"/>
    <w:rsid w:val="00C6113B"/>
    <w:rsid w:val="00C6576E"/>
    <w:rsid w:val="00C7369F"/>
    <w:rsid w:val="00C77EB7"/>
    <w:rsid w:val="00C85419"/>
    <w:rsid w:val="00CA1386"/>
    <w:rsid w:val="00CA753B"/>
    <w:rsid w:val="00CA75D9"/>
    <w:rsid w:val="00CB0B0B"/>
    <w:rsid w:val="00CC1720"/>
    <w:rsid w:val="00CD08FA"/>
    <w:rsid w:val="00CD0C73"/>
    <w:rsid w:val="00CD78E0"/>
    <w:rsid w:val="00CE2759"/>
    <w:rsid w:val="00CE5101"/>
    <w:rsid w:val="00CE548B"/>
    <w:rsid w:val="00CF4C7B"/>
    <w:rsid w:val="00D113BF"/>
    <w:rsid w:val="00D1393B"/>
    <w:rsid w:val="00D15A9C"/>
    <w:rsid w:val="00D1785D"/>
    <w:rsid w:val="00D41F0D"/>
    <w:rsid w:val="00D450E0"/>
    <w:rsid w:val="00D71437"/>
    <w:rsid w:val="00D9330F"/>
    <w:rsid w:val="00DA28B4"/>
    <w:rsid w:val="00DB1F72"/>
    <w:rsid w:val="00DC1EA4"/>
    <w:rsid w:val="00DD2D23"/>
    <w:rsid w:val="00DD2F6F"/>
    <w:rsid w:val="00DD46EC"/>
    <w:rsid w:val="00DD537B"/>
    <w:rsid w:val="00DF0A2C"/>
    <w:rsid w:val="00E154D9"/>
    <w:rsid w:val="00E3285E"/>
    <w:rsid w:val="00E33B0D"/>
    <w:rsid w:val="00E35FCF"/>
    <w:rsid w:val="00E52150"/>
    <w:rsid w:val="00E637EE"/>
    <w:rsid w:val="00E94551"/>
    <w:rsid w:val="00E9731C"/>
    <w:rsid w:val="00EB5E0B"/>
    <w:rsid w:val="00ED0200"/>
    <w:rsid w:val="00F0144F"/>
    <w:rsid w:val="00F0350C"/>
    <w:rsid w:val="00F04282"/>
    <w:rsid w:val="00F12F9C"/>
    <w:rsid w:val="00F4298E"/>
    <w:rsid w:val="00F46406"/>
    <w:rsid w:val="00F60998"/>
    <w:rsid w:val="00F62A70"/>
    <w:rsid w:val="00F7111C"/>
    <w:rsid w:val="00F7702A"/>
    <w:rsid w:val="00F85AE4"/>
    <w:rsid w:val="00FA2216"/>
    <w:rsid w:val="00FB401B"/>
    <w:rsid w:val="00FB6432"/>
    <w:rsid w:val="00FC278F"/>
    <w:rsid w:val="00FC28ED"/>
    <w:rsid w:val="00FC4F5A"/>
    <w:rsid w:val="00FC5607"/>
    <w:rsid w:val="00FD5194"/>
    <w:rsid w:val="00FE3909"/>
    <w:rsid w:val="00FE4F80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FB7"/>
  <w15:docId w15:val="{CC80D87D-046D-4F09-B894-4933220D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E0B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F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5C99"/>
    <w:rPr>
      <w:b/>
      <w:bCs/>
    </w:rPr>
  </w:style>
  <w:style w:type="paragraph" w:styleId="NormalWeb">
    <w:name w:val="Normal (Web)"/>
    <w:basedOn w:val="Normal"/>
    <w:uiPriority w:val="99"/>
    <w:unhideWhenUsed/>
    <w:rsid w:val="000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5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7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92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8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715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646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219">
          <w:marLeft w:val="562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09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564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116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Mary Maguire</cp:lastModifiedBy>
  <cp:revision>10</cp:revision>
  <dcterms:created xsi:type="dcterms:W3CDTF">2026-03-09T12:01:00Z</dcterms:created>
  <dcterms:modified xsi:type="dcterms:W3CDTF">2026-04-23T15:22:00Z</dcterms:modified>
</cp:coreProperties>
</file>