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627B" w14:textId="77777777" w:rsidR="00662AAC" w:rsidRPr="00665244" w:rsidRDefault="00662AAC" w:rsidP="00662AAC">
      <w:pPr>
        <w:jc w:val="center"/>
        <w:rPr>
          <w:b/>
          <w:bCs/>
        </w:rPr>
      </w:pPr>
      <w:r w:rsidRPr="00665244">
        <w:rPr>
          <w:b/>
          <w:bCs/>
          <w:u w:val="single"/>
        </w:rPr>
        <w:t>COMHAIRLE CONTAE ÁTHA CLIATH THEAS</w:t>
      </w:r>
      <w:r w:rsidRPr="00665244">
        <w:rPr>
          <w:b/>
          <w:bCs/>
          <w:u w:val="single"/>
        </w:rPr>
        <w:br/>
        <w:t>SOUTH DUBLIN COUNTY COUNCIL</w:t>
      </w:r>
    </w:p>
    <w:p w14:paraId="5A46F0FC" w14:textId="77777777" w:rsidR="00662AAC" w:rsidRPr="00665244" w:rsidRDefault="00662AAC" w:rsidP="00662AAC">
      <w:pPr>
        <w:jc w:val="center"/>
      </w:pPr>
      <w:r w:rsidRPr="00665244">
        <w:drawing>
          <wp:inline distT="0" distB="0" distL="0" distR="0" wp14:anchorId="7C5F460D" wp14:editId="6E0F57EE">
            <wp:extent cx="952500" cy="1162050"/>
            <wp:effectExtent l="0" t="0" r="0" b="0"/>
            <wp:docPr id="470731794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cCrest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C764" w14:textId="77777777" w:rsidR="00662AAC" w:rsidRPr="00665244" w:rsidRDefault="00662AAC" w:rsidP="00662AAC">
      <w:pPr>
        <w:jc w:val="center"/>
        <w:rPr>
          <w:b/>
          <w:bCs/>
        </w:rPr>
      </w:pPr>
      <w:r w:rsidRPr="00665244">
        <w:rPr>
          <w:b/>
          <w:bCs/>
          <w:u w:val="single"/>
        </w:rPr>
        <w:t>MEETING OF SOUTH DUBLIN COUNTY COUNCIL</w:t>
      </w:r>
    </w:p>
    <w:p w14:paraId="4FC92AFB" w14:textId="77777777" w:rsidR="00662AAC" w:rsidRPr="00665244" w:rsidRDefault="00662AAC" w:rsidP="00662AAC">
      <w:pPr>
        <w:jc w:val="center"/>
        <w:rPr>
          <w:b/>
          <w:bCs/>
        </w:rPr>
      </w:pPr>
      <w:r w:rsidRPr="00665244">
        <w:rPr>
          <w:b/>
          <w:bCs/>
          <w:u w:val="single"/>
        </w:rPr>
        <w:t>Monday, March 09, 2026</w:t>
      </w:r>
    </w:p>
    <w:p w14:paraId="7382CF80" w14:textId="1836A5F8" w:rsidR="00662AAC" w:rsidRPr="00665244" w:rsidRDefault="00662AAC" w:rsidP="00662AAC">
      <w:pPr>
        <w:jc w:val="center"/>
        <w:rPr>
          <w:b/>
          <w:bCs/>
        </w:rPr>
      </w:pPr>
      <w:r w:rsidRPr="00665244">
        <w:rPr>
          <w:b/>
          <w:bCs/>
          <w:u w:val="single"/>
        </w:rPr>
        <w:t xml:space="preserve">HEADED ITEM NO. </w:t>
      </w:r>
      <w:r>
        <w:rPr>
          <w:b/>
          <w:bCs/>
          <w:u w:val="single"/>
        </w:rPr>
        <w:t>11</w:t>
      </w:r>
    </w:p>
    <w:p w14:paraId="6DD1FC94" w14:textId="77777777" w:rsidR="00662AAC" w:rsidRDefault="00662AAC">
      <w:pPr>
        <w:rPr>
          <w:rFonts w:ascii="SDCC Sans" w:hAnsi="SDCC Sans"/>
          <w:b/>
          <w:bCs/>
          <w:lang w:val="en-GB"/>
        </w:rPr>
      </w:pPr>
    </w:p>
    <w:p w14:paraId="7B72AB0C" w14:textId="25357447" w:rsidR="008A7A4C" w:rsidRPr="00FF5D69" w:rsidRDefault="00662AAC">
      <w:pPr>
        <w:rPr>
          <w:rFonts w:ascii="SDCC Sans" w:hAnsi="SDCC Sans"/>
          <w:b/>
          <w:bCs/>
          <w:lang w:val="en-GB"/>
        </w:rPr>
      </w:pPr>
      <w:r>
        <w:rPr>
          <w:rFonts w:ascii="SDCC Sans" w:hAnsi="SDCC Sans"/>
          <w:b/>
          <w:bCs/>
          <w:lang w:val="en-GB"/>
        </w:rPr>
        <w:t xml:space="preserve">Material Alterations to </w:t>
      </w:r>
      <w:r w:rsidR="0042547E" w:rsidRPr="00FF5D69">
        <w:rPr>
          <w:rFonts w:ascii="SDCC Sans" w:hAnsi="SDCC Sans"/>
          <w:b/>
          <w:bCs/>
          <w:lang w:val="en-GB"/>
        </w:rPr>
        <w:t>Variation No. 1 to the South Dublin County Development Plan – Clondalkin Local Planning Framework</w:t>
      </w:r>
    </w:p>
    <w:p w14:paraId="653E7358" w14:textId="74873005" w:rsidR="009F086C" w:rsidRPr="009F086C" w:rsidRDefault="009F086C" w:rsidP="009F086C">
      <w:pPr>
        <w:rPr>
          <w:rFonts w:ascii="SDCC Sans" w:hAnsi="SDCC Sans"/>
        </w:rPr>
      </w:pPr>
      <w:r w:rsidRPr="00FF5D69">
        <w:rPr>
          <w:rFonts w:ascii="SDCC Sans" w:hAnsi="SDCC Sans"/>
          <w:lang w:val="en-GB"/>
        </w:rPr>
        <w:t xml:space="preserve">Following the public display of the proposed Variation no. 1 – the Clondalkin Local Planning Framework between </w:t>
      </w:r>
      <w:r w:rsidRPr="009F086C">
        <w:rPr>
          <w:rFonts w:ascii="SDCC Sans" w:hAnsi="SDCC Sans"/>
          <w:lang w:val="en-GB"/>
        </w:rPr>
        <w:t>26th August 2025 - 29th September 2025</w:t>
      </w:r>
      <w:r w:rsidRPr="00FF5D69">
        <w:rPr>
          <w:rFonts w:ascii="SDCC Sans" w:hAnsi="SDCC Sans"/>
          <w:lang w:val="en-GB"/>
        </w:rPr>
        <w:t xml:space="preserve"> a</w:t>
      </w:r>
      <w:r w:rsidRPr="009F086C">
        <w:rPr>
          <w:rFonts w:ascii="SDCC Sans" w:hAnsi="SDCC Sans"/>
          <w:lang w:val="en-GB"/>
        </w:rPr>
        <w:t xml:space="preserve"> Chief Executive’s Report on </w:t>
      </w:r>
      <w:r w:rsidRPr="00FF5D69">
        <w:rPr>
          <w:rFonts w:ascii="SDCC Sans" w:hAnsi="SDCC Sans"/>
          <w:lang w:val="en-GB"/>
        </w:rPr>
        <w:t xml:space="preserve">the 235 </w:t>
      </w:r>
      <w:r w:rsidRPr="009F086C">
        <w:rPr>
          <w:rFonts w:ascii="SDCC Sans" w:hAnsi="SDCC Sans"/>
          <w:lang w:val="en-GB"/>
        </w:rPr>
        <w:t>submissions and observations was prepared</w:t>
      </w:r>
      <w:r w:rsidR="00FF5D69">
        <w:rPr>
          <w:rFonts w:ascii="SDCC Sans" w:hAnsi="SDCC Sans"/>
          <w:lang w:val="en-GB"/>
        </w:rPr>
        <w:t>.</w:t>
      </w:r>
      <w:r w:rsidRPr="009F086C">
        <w:rPr>
          <w:rFonts w:ascii="SDCC Sans" w:hAnsi="SDCC Sans"/>
          <w:lang w:val="en-GB"/>
        </w:rPr>
        <w:t xml:space="preserve"> </w:t>
      </w:r>
      <w:r w:rsidR="00662AAC">
        <w:rPr>
          <w:rFonts w:ascii="SDCC Sans" w:hAnsi="SDCC Sans"/>
          <w:lang w:val="en-GB"/>
        </w:rPr>
        <w:t>This was</w:t>
      </w:r>
      <w:r w:rsidRPr="00FF5D69">
        <w:rPr>
          <w:rFonts w:ascii="SDCC Sans" w:hAnsi="SDCC Sans"/>
          <w:lang w:val="en-GB"/>
        </w:rPr>
        <w:t xml:space="preserve"> considered</w:t>
      </w:r>
      <w:r w:rsidR="00662AAC">
        <w:rPr>
          <w:rFonts w:ascii="SDCC Sans" w:hAnsi="SDCC Sans"/>
          <w:lang w:val="en-GB"/>
        </w:rPr>
        <w:t xml:space="preserve"> alongside the Variation</w:t>
      </w:r>
      <w:r w:rsidRPr="00FF5D69">
        <w:rPr>
          <w:rFonts w:ascii="SDCC Sans" w:hAnsi="SDCC Sans"/>
          <w:lang w:val="en-GB"/>
        </w:rPr>
        <w:t xml:space="preserve"> a</w:t>
      </w:r>
      <w:r w:rsidRPr="009F086C">
        <w:rPr>
          <w:rFonts w:ascii="SDCC Sans" w:hAnsi="SDCC Sans"/>
          <w:lang w:val="en-GB"/>
        </w:rPr>
        <w:t xml:space="preserve">t a Special Council meeting on the 11th of December 2025, </w:t>
      </w:r>
      <w:r w:rsidRPr="00FF5D69">
        <w:rPr>
          <w:rFonts w:ascii="SDCC Sans" w:hAnsi="SDCC Sans"/>
          <w:lang w:val="en-GB"/>
        </w:rPr>
        <w:t>where it</w:t>
      </w:r>
      <w:r w:rsidRPr="009F086C">
        <w:rPr>
          <w:rFonts w:ascii="SDCC Sans" w:hAnsi="SDCC Sans"/>
          <w:lang w:val="en-GB"/>
        </w:rPr>
        <w:t xml:space="preserve"> was resolved by the Elected Members to make the Variation with alterations.</w:t>
      </w:r>
    </w:p>
    <w:p w14:paraId="27DBDDB2" w14:textId="55571E1A" w:rsidR="009F086C" w:rsidRPr="009F086C" w:rsidRDefault="00005A79" w:rsidP="009F086C">
      <w:pPr>
        <w:rPr>
          <w:rFonts w:ascii="SDCC Sans" w:hAnsi="SDCC Sans"/>
        </w:rPr>
      </w:pPr>
      <w:r>
        <w:rPr>
          <w:rFonts w:ascii="SDCC Sans" w:hAnsi="SDCC Sans"/>
          <w:lang w:val="en-GB"/>
        </w:rPr>
        <w:t>Twenty-nine</w:t>
      </w:r>
      <w:r w:rsidR="009F086C" w:rsidRPr="009F086C">
        <w:rPr>
          <w:rFonts w:ascii="SDCC Sans" w:hAnsi="SDCC Sans"/>
          <w:lang w:val="en-GB"/>
        </w:rPr>
        <w:t xml:space="preserve"> alterations</w:t>
      </w:r>
      <w:r w:rsidR="009F086C" w:rsidRPr="00FF5D69">
        <w:rPr>
          <w:rFonts w:ascii="SDCC Sans" w:hAnsi="SDCC Sans"/>
          <w:lang w:val="en-GB"/>
        </w:rPr>
        <w:t xml:space="preserve"> made at the meeting</w:t>
      </w:r>
      <w:r w:rsidR="009F086C" w:rsidRPr="009F086C">
        <w:rPr>
          <w:rFonts w:ascii="SDCC Sans" w:hAnsi="SDCC Sans"/>
          <w:lang w:val="en-GB"/>
        </w:rPr>
        <w:t xml:space="preserve"> constituted material alteration</w:t>
      </w:r>
      <w:r w:rsidR="009F086C" w:rsidRPr="00FF5D69">
        <w:rPr>
          <w:rFonts w:ascii="SDCC Sans" w:hAnsi="SDCC Sans"/>
          <w:lang w:val="en-GB"/>
        </w:rPr>
        <w:t>s</w:t>
      </w:r>
      <w:r w:rsidR="009F086C" w:rsidRPr="009F086C">
        <w:rPr>
          <w:rFonts w:ascii="SDCC Sans" w:hAnsi="SDCC Sans"/>
          <w:lang w:val="en-GB"/>
        </w:rPr>
        <w:t xml:space="preserve"> to the Variation</w:t>
      </w:r>
      <w:r w:rsidR="009F086C" w:rsidRPr="00FF5D69">
        <w:rPr>
          <w:rFonts w:ascii="SDCC Sans" w:hAnsi="SDCC Sans"/>
          <w:lang w:val="en-GB"/>
        </w:rPr>
        <w:t>.  T</w:t>
      </w:r>
      <w:r w:rsidR="009F086C" w:rsidRPr="009F086C">
        <w:rPr>
          <w:rFonts w:ascii="SDCC Sans" w:hAnsi="SDCC Sans"/>
          <w:lang w:val="en-GB"/>
        </w:rPr>
        <w:t>he proposed material alterations were subject to public consultation</w:t>
      </w:r>
      <w:r>
        <w:rPr>
          <w:rFonts w:ascii="SDCC Sans" w:hAnsi="SDCC Sans"/>
          <w:lang w:val="en-GB"/>
        </w:rPr>
        <w:t xml:space="preserve"> between </w:t>
      </w:r>
      <w:r w:rsidRPr="00005A79">
        <w:rPr>
          <w:rFonts w:ascii="SDCC Sans" w:hAnsi="SDCC Sans"/>
          <w:lang w:val="en-GB"/>
        </w:rPr>
        <w:t>18th December 2025 to 26th January</w:t>
      </w:r>
      <w:r>
        <w:rPr>
          <w:rFonts w:ascii="SDCC Sans" w:hAnsi="SDCC Sans"/>
          <w:lang w:val="en-GB"/>
        </w:rPr>
        <w:t xml:space="preserve"> </w:t>
      </w:r>
      <w:proofErr w:type="gramStart"/>
      <w:r>
        <w:rPr>
          <w:rFonts w:ascii="SDCC Sans" w:hAnsi="SDCC Sans"/>
          <w:lang w:val="en-GB"/>
        </w:rPr>
        <w:t>2026</w:t>
      </w:r>
      <w:r w:rsidRPr="00005A79">
        <w:rPr>
          <w:rFonts w:ascii="SDCC Sans" w:hAnsi="SDCC Sans"/>
          <w:lang w:val="en-GB"/>
        </w:rPr>
        <w:t xml:space="preserve"> </w:t>
      </w:r>
      <w:r w:rsidR="009F086C" w:rsidRPr="009F086C">
        <w:rPr>
          <w:rFonts w:ascii="SDCC Sans" w:hAnsi="SDCC Sans"/>
          <w:lang w:val="en-GB"/>
        </w:rPr>
        <w:t xml:space="preserve"> in</w:t>
      </w:r>
      <w:proofErr w:type="gramEnd"/>
      <w:r w:rsidR="009F086C" w:rsidRPr="009F086C">
        <w:rPr>
          <w:rFonts w:ascii="SDCC Sans" w:hAnsi="SDCC Sans"/>
          <w:lang w:val="en-GB"/>
        </w:rPr>
        <w:t xml:space="preserve"> accordance with Section 13(</w:t>
      </w:r>
      <w:proofErr w:type="gramStart"/>
      <w:r w:rsidR="009F086C" w:rsidRPr="009F086C">
        <w:rPr>
          <w:rFonts w:ascii="SDCC Sans" w:hAnsi="SDCC Sans"/>
          <w:lang w:val="en-GB"/>
        </w:rPr>
        <w:t>6)(</w:t>
      </w:r>
      <w:proofErr w:type="gramEnd"/>
      <w:r w:rsidR="009F086C" w:rsidRPr="009F086C">
        <w:rPr>
          <w:rFonts w:ascii="SDCC Sans" w:hAnsi="SDCC Sans"/>
          <w:lang w:val="en-GB"/>
        </w:rPr>
        <w:t>ac) of the Planning and Development Act 2000 (as amended).</w:t>
      </w:r>
    </w:p>
    <w:p w14:paraId="75544A49" w14:textId="2C586A2B" w:rsidR="00B53D7A" w:rsidRDefault="009F086C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t xml:space="preserve">In total twelve submissions were received on the material alterations. The Material Alterations and the associated CE Report </w:t>
      </w:r>
      <w:r w:rsidR="00FF5D69" w:rsidRPr="00FF5D69">
        <w:rPr>
          <w:rFonts w:ascii="SDCC Sans" w:hAnsi="SDCC Sans"/>
          <w:lang w:val="en-GB"/>
        </w:rPr>
        <w:t>which summarises, responds to and makes recommendations on the submission</w:t>
      </w:r>
      <w:r w:rsidR="00D67C4A">
        <w:rPr>
          <w:rFonts w:ascii="SDCC Sans" w:hAnsi="SDCC Sans"/>
          <w:lang w:val="en-GB"/>
        </w:rPr>
        <w:t>s</w:t>
      </w:r>
      <w:r w:rsidR="00FF5D69" w:rsidRPr="00FF5D69">
        <w:rPr>
          <w:rFonts w:ascii="SDCC Sans" w:hAnsi="SDCC Sans"/>
          <w:lang w:val="en-GB"/>
        </w:rPr>
        <w:t xml:space="preserve"> </w:t>
      </w:r>
      <w:r w:rsidRPr="00FF5D69">
        <w:rPr>
          <w:rFonts w:ascii="SDCC Sans" w:hAnsi="SDCC Sans"/>
          <w:lang w:val="en-GB"/>
        </w:rPr>
        <w:t xml:space="preserve">are for consideration at this meeting.  </w:t>
      </w:r>
      <w:r w:rsidR="00D67C4A">
        <w:rPr>
          <w:rFonts w:ascii="SDCC Sans" w:hAnsi="SDCC Sans"/>
          <w:lang w:val="en-GB"/>
        </w:rPr>
        <w:t xml:space="preserve">It should be noted that the CE Report contains all material alterations </w:t>
      </w:r>
      <w:proofErr w:type="gramStart"/>
      <w:r w:rsidR="00D67C4A">
        <w:rPr>
          <w:rFonts w:ascii="SDCC Sans" w:hAnsi="SDCC Sans"/>
          <w:lang w:val="en-GB"/>
        </w:rPr>
        <w:t>whether or not</w:t>
      </w:r>
      <w:proofErr w:type="gramEnd"/>
      <w:r w:rsidR="00D67C4A">
        <w:rPr>
          <w:rFonts w:ascii="SDCC Sans" w:hAnsi="SDCC Sans"/>
          <w:lang w:val="en-GB"/>
        </w:rPr>
        <w:t xml:space="preserve"> submissions were made on them.  A recommendation is made for all.</w:t>
      </w:r>
    </w:p>
    <w:p w14:paraId="7B23E2B8" w14:textId="70E795DA" w:rsidR="00D67C4A" w:rsidRDefault="00D67C4A">
      <w:pPr>
        <w:rPr>
          <w:rFonts w:ascii="SDCC Sans" w:hAnsi="SDCC Sans"/>
          <w:lang w:val="en-GB"/>
        </w:rPr>
      </w:pPr>
      <w:r>
        <w:rPr>
          <w:rFonts w:ascii="SDCC Sans" w:hAnsi="SDCC Sans"/>
          <w:lang w:val="en-GB"/>
        </w:rPr>
        <w:t>Where submissions or issues raised did not relate to a material alteration, they are listed in section 3 of the CE Report.  No recommendation can be made on these as they are outside the scope of this stage of the process.</w:t>
      </w:r>
    </w:p>
    <w:p w14:paraId="11AB8378" w14:textId="4F2B8C14" w:rsidR="0042547E" w:rsidRPr="00FF5D69" w:rsidRDefault="009F086C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t xml:space="preserve">At this stage of the process, it is only the material alterations that can be considered with the scope </w:t>
      </w:r>
      <w:r w:rsidR="00FF5D69" w:rsidRPr="00FF5D69">
        <w:rPr>
          <w:rFonts w:ascii="SDCC Sans" w:hAnsi="SDCC Sans"/>
          <w:lang w:val="en-GB"/>
        </w:rPr>
        <w:t>for amendment limited to</w:t>
      </w:r>
      <w:r w:rsidRPr="00FF5D69">
        <w:rPr>
          <w:rFonts w:ascii="SDCC Sans" w:hAnsi="SDCC Sans"/>
          <w:lang w:val="en-GB"/>
        </w:rPr>
        <w:t xml:space="preserve"> minor modifications to them should it be required.</w:t>
      </w:r>
      <w:r w:rsidR="00005A79">
        <w:rPr>
          <w:rFonts w:ascii="SDCC Sans" w:hAnsi="SDCC Sans"/>
          <w:lang w:val="en-GB"/>
        </w:rPr>
        <w:t xml:space="preserve"> </w:t>
      </w:r>
    </w:p>
    <w:p w14:paraId="2587967B" w14:textId="73929926" w:rsidR="009F086C" w:rsidRPr="00FF5D69" w:rsidRDefault="009F086C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t>Also included as part of the headed item are the environmental reports which were carried out for the material alterations and the related determinations.</w:t>
      </w:r>
    </w:p>
    <w:p w14:paraId="1893B5FD" w14:textId="77777777" w:rsidR="00FF5D69" w:rsidRPr="00FF5D69" w:rsidRDefault="00FF5D69" w:rsidP="00FF5D69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lastRenderedPageBreak/>
        <w:t>A resolution is required to incorporate the material alterations into the variation.  The wording of the resolution is included as part of the Headed Item.</w:t>
      </w:r>
    </w:p>
    <w:p w14:paraId="2FC0207A" w14:textId="77777777" w:rsidR="00FF5D69" w:rsidRPr="00FF5D69" w:rsidRDefault="00FF5D69" w:rsidP="00FF5D69">
      <w:pPr>
        <w:spacing w:after="0"/>
        <w:rPr>
          <w:rFonts w:ascii="SDCC Sans" w:hAnsi="SDCC Sans"/>
        </w:rPr>
      </w:pPr>
      <w:r w:rsidRPr="00FF5D69">
        <w:rPr>
          <w:rFonts w:ascii="SDCC Sans" w:hAnsi="SDCC Sans"/>
          <w:lang w:val="en-GB"/>
        </w:rPr>
        <w:t xml:space="preserve">Section 13(7) of the Act of 2000 states that </w:t>
      </w:r>
      <w:r w:rsidRPr="00FF5D69">
        <w:rPr>
          <w:rFonts w:ascii="SDCC Sans" w:hAnsi="SDCC Sans"/>
        </w:rPr>
        <w:t>members of the authority shall be</w:t>
      </w:r>
    </w:p>
    <w:p w14:paraId="78AAAD40" w14:textId="77777777" w:rsidR="00FF5D69" w:rsidRPr="00FF5D69" w:rsidRDefault="00FF5D69" w:rsidP="00FF5D69">
      <w:pPr>
        <w:spacing w:after="0"/>
        <w:rPr>
          <w:rFonts w:ascii="SDCC Sans" w:hAnsi="SDCC Sans"/>
        </w:rPr>
      </w:pPr>
      <w:r w:rsidRPr="00FF5D69">
        <w:rPr>
          <w:rFonts w:ascii="SDCC Sans" w:hAnsi="SDCC Sans"/>
        </w:rPr>
        <w:t>restricted to considering the proper planning and sustainable development of the</w:t>
      </w:r>
    </w:p>
    <w:p w14:paraId="46C574A6" w14:textId="77777777" w:rsidR="00FF5D69" w:rsidRPr="00FF5D69" w:rsidRDefault="00FF5D69" w:rsidP="00FF5D69">
      <w:pPr>
        <w:spacing w:after="0"/>
        <w:rPr>
          <w:rFonts w:ascii="SDCC Sans" w:hAnsi="SDCC Sans"/>
        </w:rPr>
      </w:pPr>
      <w:r w:rsidRPr="00FF5D69">
        <w:rPr>
          <w:rFonts w:ascii="SDCC Sans" w:hAnsi="SDCC Sans"/>
        </w:rPr>
        <w:t>area to which the development plan relates, the statutory obligations of any local</w:t>
      </w:r>
    </w:p>
    <w:p w14:paraId="38299537" w14:textId="607150DC" w:rsidR="00FF5D69" w:rsidRDefault="00FF5D69" w:rsidP="00FF5D69">
      <w:pPr>
        <w:spacing w:after="0"/>
        <w:rPr>
          <w:rFonts w:ascii="SDCC Sans" w:hAnsi="SDCC Sans"/>
        </w:rPr>
      </w:pPr>
      <w:r w:rsidRPr="00FF5D69">
        <w:rPr>
          <w:rFonts w:ascii="SDCC Sans" w:hAnsi="SDCC Sans"/>
        </w:rPr>
        <w:t>authority in the area and any relevant policies or objectives for the time being of the</w:t>
      </w:r>
      <w:r>
        <w:rPr>
          <w:rFonts w:ascii="SDCC Sans" w:hAnsi="SDCC Sans"/>
        </w:rPr>
        <w:t xml:space="preserve"> </w:t>
      </w:r>
      <w:r w:rsidRPr="00FF5D69">
        <w:rPr>
          <w:rFonts w:ascii="SDCC Sans" w:hAnsi="SDCC Sans"/>
        </w:rPr>
        <w:t>Government or any Minister of the Government.</w:t>
      </w:r>
    </w:p>
    <w:p w14:paraId="4540305E" w14:textId="77777777" w:rsidR="00B53D7A" w:rsidRDefault="00B53D7A" w:rsidP="00FF5D69">
      <w:pPr>
        <w:spacing w:after="0"/>
        <w:rPr>
          <w:rFonts w:ascii="SDCC Sans" w:hAnsi="SDCC Sans"/>
        </w:rPr>
      </w:pPr>
    </w:p>
    <w:p w14:paraId="7A9C2686" w14:textId="77777777" w:rsidR="00B53D7A" w:rsidRPr="00FF5D69" w:rsidRDefault="00B53D7A" w:rsidP="00B53D7A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t>All Material Alterations are recommended by the CE to be made without modification.</w:t>
      </w:r>
    </w:p>
    <w:p w14:paraId="65A2D3E6" w14:textId="53928C9F" w:rsidR="00FF5D69" w:rsidRPr="00FF5D69" w:rsidRDefault="00FF5D69" w:rsidP="00FF5D69">
      <w:pPr>
        <w:rPr>
          <w:rFonts w:ascii="SDCC Sans" w:hAnsi="SDCC Sans"/>
          <w:lang w:val="en-GB"/>
        </w:rPr>
      </w:pPr>
      <w:r w:rsidRPr="00FF5D69">
        <w:rPr>
          <w:rFonts w:ascii="SDCC Sans" w:hAnsi="SDCC Sans"/>
          <w:lang w:val="en-GB"/>
        </w:rPr>
        <w:t>Once made, the variation will have immediate effect.</w:t>
      </w:r>
    </w:p>
    <w:p w14:paraId="55D3E2B9" w14:textId="77777777" w:rsidR="009F086C" w:rsidRPr="0042547E" w:rsidRDefault="009F086C">
      <w:pPr>
        <w:rPr>
          <w:lang w:val="en-GB"/>
        </w:rPr>
      </w:pPr>
    </w:p>
    <w:sectPr w:rsidR="009F086C" w:rsidRPr="00425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674C"/>
    <w:multiLevelType w:val="hybridMultilevel"/>
    <w:tmpl w:val="79F88B8A"/>
    <w:lvl w:ilvl="0" w:tplc="A2A2C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2B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C8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0C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A1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D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C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6E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AB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35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7E"/>
    <w:rsid w:val="00005A79"/>
    <w:rsid w:val="00256FE9"/>
    <w:rsid w:val="0026040D"/>
    <w:rsid w:val="0042547E"/>
    <w:rsid w:val="00654419"/>
    <w:rsid w:val="00662AAC"/>
    <w:rsid w:val="00825BEC"/>
    <w:rsid w:val="008A7A4C"/>
    <w:rsid w:val="009F086C"/>
    <w:rsid w:val="00B53D7A"/>
    <w:rsid w:val="00BA5152"/>
    <w:rsid w:val="00D67C4A"/>
    <w:rsid w:val="00FA2C10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5649"/>
  <w15:chartTrackingRefBased/>
  <w15:docId w15:val="{A6129A57-614B-41D0-A9D9-B37A714A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Craigie</dc:creator>
  <cp:keywords/>
  <dc:description/>
  <cp:lastModifiedBy>Hazel Craigie</cp:lastModifiedBy>
  <cp:revision>6</cp:revision>
  <dcterms:created xsi:type="dcterms:W3CDTF">2026-03-04T10:40:00Z</dcterms:created>
  <dcterms:modified xsi:type="dcterms:W3CDTF">2026-03-04T12:13:00Z</dcterms:modified>
</cp:coreProperties>
</file>