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6C0F" w14:textId="46D73E75" w:rsidR="006D0041" w:rsidRPr="00042462" w:rsidRDefault="00042462">
      <w:pPr>
        <w:rPr>
          <w:b/>
          <w:bCs/>
          <w:sz w:val="28"/>
          <w:szCs w:val="28"/>
          <w:lang w:val="en-GB"/>
        </w:rPr>
      </w:pPr>
      <w:r w:rsidRPr="00042462">
        <w:rPr>
          <w:b/>
          <w:bCs/>
          <w:sz w:val="28"/>
          <w:szCs w:val="28"/>
          <w:lang w:val="en-GB"/>
        </w:rPr>
        <w:t xml:space="preserve">Newcastle </w:t>
      </w:r>
      <w:r>
        <w:rPr>
          <w:b/>
          <w:bCs/>
          <w:sz w:val="28"/>
          <w:szCs w:val="28"/>
          <w:lang w:val="en-GB"/>
        </w:rPr>
        <w:t>E</w:t>
      </w:r>
      <w:r w:rsidRPr="00042462">
        <w:rPr>
          <w:b/>
          <w:bCs/>
          <w:sz w:val="28"/>
          <w:szCs w:val="28"/>
          <w:lang w:val="en-GB"/>
        </w:rPr>
        <w:t>states Taking in Charge Status</w:t>
      </w:r>
    </w:p>
    <w:p w14:paraId="26934BAF" w14:textId="77777777" w:rsidR="00042462" w:rsidRDefault="00042462">
      <w:pPr>
        <w:rPr>
          <w:lang w:val="en-GB"/>
        </w:rPr>
      </w:pPr>
    </w:p>
    <w:tbl>
      <w:tblPr>
        <w:tblW w:w="9318" w:type="dxa"/>
        <w:tblInd w:w="4" w:type="dxa"/>
        <w:tblCellMar>
          <w:left w:w="0" w:type="dxa"/>
          <w:right w:w="0" w:type="dxa"/>
        </w:tblCellMar>
        <w:tblLook w:val="04A0" w:firstRow="1" w:lastRow="0" w:firstColumn="1" w:lastColumn="0" w:noHBand="0" w:noVBand="1"/>
      </w:tblPr>
      <w:tblGrid>
        <w:gridCol w:w="3060"/>
        <w:gridCol w:w="2856"/>
        <w:gridCol w:w="3402"/>
      </w:tblGrid>
      <w:tr w:rsidR="00042462" w14:paraId="3FA70416" w14:textId="77777777" w:rsidTr="00042462">
        <w:trPr>
          <w:trHeight w:val="660"/>
        </w:trPr>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14:paraId="2BD48477" w14:textId="77777777" w:rsidR="00042462" w:rsidRDefault="00042462">
            <w:pPr>
              <w:jc w:val="center"/>
              <w:rPr>
                <w:rFonts w:ascii="Calibri" w:hAnsi="Calibri" w:cs="Calibri"/>
                <w:b/>
                <w:bCs/>
                <w:sz w:val="24"/>
                <w:szCs w:val="24"/>
                <w:lang w:eastAsia="en-IE"/>
                <w14:ligatures w14:val="none"/>
              </w:rPr>
            </w:pPr>
            <w:r>
              <w:rPr>
                <w:rFonts w:ascii="Calibri" w:hAnsi="Calibri" w:cs="Calibri"/>
                <w:b/>
                <w:bCs/>
                <w:sz w:val="24"/>
                <w:szCs w:val="24"/>
                <w:lang w:eastAsia="en-IE"/>
                <w14:ligatures w14:val="none"/>
              </w:rPr>
              <w:t>Development</w:t>
            </w:r>
          </w:p>
        </w:tc>
        <w:tc>
          <w:tcPr>
            <w:tcW w:w="2856"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14:paraId="12EAA1A6" w14:textId="77777777" w:rsidR="00042462" w:rsidRDefault="00042462">
            <w:pPr>
              <w:jc w:val="center"/>
              <w:rPr>
                <w:rFonts w:ascii="Calibri" w:hAnsi="Calibri" w:cs="Calibri"/>
                <w:b/>
                <w:bCs/>
                <w:sz w:val="24"/>
                <w:szCs w:val="24"/>
                <w:lang w:eastAsia="en-IE"/>
                <w14:ligatures w14:val="none"/>
              </w:rPr>
            </w:pPr>
            <w:r>
              <w:rPr>
                <w:rFonts w:ascii="Calibri" w:hAnsi="Calibri" w:cs="Calibri"/>
                <w:b/>
                <w:bCs/>
                <w:sz w:val="24"/>
                <w:szCs w:val="24"/>
                <w:lang w:eastAsia="en-IE"/>
                <w14:ligatures w14:val="none"/>
              </w:rPr>
              <w:t>planning reference</w:t>
            </w:r>
          </w:p>
        </w:tc>
        <w:tc>
          <w:tcPr>
            <w:tcW w:w="3402"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14:paraId="4E481DAB" w14:textId="77777777" w:rsidR="00042462" w:rsidRDefault="00042462">
            <w:pPr>
              <w:jc w:val="center"/>
              <w:rPr>
                <w:rFonts w:ascii="Calibri" w:hAnsi="Calibri" w:cs="Calibri"/>
                <w:b/>
                <w:bCs/>
                <w:sz w:val="24"/>
                <w:szCs w:val="24"/>
                <w:lang w:eastAsia="en-IE"/>
                <w14:ligatures w14:val="none"/>
              </w:rPr>
            </w:pPr>
            <w:r>
              <w:rPr>
                <w:rFonts w:ascii="Calibri" w:hAnsi="Calibri" w:cs="Calibri"/>
                <w:b/>
                <w:bCs/>
                <w:sz w:val="24"/>
                <w:szCs w:val="24"/>
                <w:lang w:eastAsia="en-IE"/>
                <w14:ligatures w14:val="none"/>
              </w:rPr>
              <w:t>Note</w:t>
            </w:r>
          </w:p>
        </w:tc>
      </w:tr>
      <w:tr w:rsidR="00042462" w14:paraId="170B5212" w14:textId="77777777" w:rsidTr="00042462">
        <w:trPr>
          <w:trHeight w:val="660"/>
        </w:trPr>
        <w:tc>
          <w:tcPr>
            <w:tcW w:w="3060"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14:paraId="0554871A" w14:textId="77777777" w:rsidR="00042462" w:rsidRDefault="00042462">
            <w:pPr>
              <w:jc w:val="center"/>
              <w:rPr>
                <w:rFonts w:ascii="Calibri" w:hAnsi="Calibri" w:cs="Calibri"/>
                <w:b/>
                <w:bCs/>
                <w:sz w:val="24"/>
                <w:szCs w:val="24"/>
                <w:lang w:eastAsia="en-IE"/>
                <w14:ligatures w14:val="none"/>
              </w:rPr>
            </w:pPr>
            <w:r>
              <w:rPr>
                <w:rFonts w:ascii="Calibri" w:hAnsi="Calibri" w:cs="Calibri"/>
                <w:b/>
                <w:bCs/>
                <w:sz w:val="24"/>
                <w:szCs w:val="24"/>
                <w:lang w:eastAsia="en-IE"/>
                <w14:ligatures w14:val="none"/>
              </w:rPr>
              <w:t>Aylmer Heath</w:t>
            </w:r>
          </w:p>
        </w:tc>
        <w:tc>
          <w:tcPr>
            <w:tcW w:w="2856"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16CFB263" w14:textId="77777777" w:rsidR="00042462" w:rsidRDefault="00042462">
            <w:pPr>
              <w:jc w:val="center"/>
              <w:rPr>
                <w:rFonts w:ascii="Calibri" w:hAnsi="Calibri" w:cs="Calibri"/>
                <w:color w:val="000000"/>
                <w:sz w:val="24"/>
                <w:szCs w:val="24"/>
                <w:lang w:eastAsia="en-IE"/>
                <w14:ligatures w14:val="none"/>
              </w:rPr>
            </w:pPr>
            <w:r>
              <w:rPr>
                <w:rFonts w:ascii="Calibri" w:hAnsi="Calibri" w:cs="Calibri"/>
                <w:color w:val="000000"/>
                <w:sz w:val="24"/>
                <w:szCs w:val="24"/>
                <w:lang w:eastAsia="en-IE"/>
                <w14:ligatures w14:val="none"/>
              </w:rPr>
              <w:t xml:space="preserve">SD04A/0936      </w:t>
            </w:r>
          </w:p>
        </w:tc>
        <w:tc>
          <w:tcPr>
            <w:tcW w:w="340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38FB2D72" w14:textId="77777777" w:rsidR="00042462" w:rsidRDefault="00042462">
            <w:pPr>
              <w:rPr>
                <w:rFonts w:ascii="Calibri" w:hAnsi="Calibri" w:cs="Calibri"/>
                <w:color w:val="000000"/>
                <w:sz w:val="24"/>
                <w:szCs w:val="24"/>
                <w:lang w:eastAsia="en-IE"/>
                <w14:ligatures w14:val="none"/>
              </w:rPr>
            </w:pPr>
            <w:r>
              <w:rPr>
                <w:rFonts w:ascii="Calibri" w:hAnsi="Calibri" w:cs="Calibri"/>
                <w:sz w:val="24"/>
                <w:szCs w:val="24"/>
                <w:lang w:eastAsia="en-IE"/>
                <w14:ligatures w14:val="none"/>
              </w:rPr>
              <w:t>The applicant has sent documentation for As Constructed drawings, Wayleaves, Road Cores and Nameplate Compliance. TIC Application form is still required.</w:t>
            </w:r>
          </w:p>
        </w:tc>
      </w:tr>
      <w:tr w:rsidR="00042462" w14:paraId="1F8AA81B" w14:textId="77777777" w:rsidTr="00042462">
        <w:trPr>
          <w:trHeight w:val="1290"/>
        </w:trPr>
        <w:tc>
          <w:tcPr>
            <w:tcW w:w="3060"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14:paraId="28584658" w14:textId="77777777" w:rsidR="00042462" w:rsidRDefault="00042462">
            <w:pPr>
              <w:jc w:val="center"/>
              <w:rPr>
                <w:rFonts w:ascii="Calibri" w:hAnsi="Calibri" w:cs="Calibri"/>
                <w:b/>
                <w:bCs/>
                <w:sz w:val="24"/>
                <w:szCs w:val="24"/>
                <w:lang w:eastAsia="en-IE"/>
                <w14:ligatures w14:val="none"/>
              </w:rPr>
            </w:pPr>
            <w:proofErr w:type="spellStart"/>
            <w:r>
              <w:rPr>
                <w:rFonts w:ascii="Calibri" w:hAnsi="Calibri" w:cs="Calibri"/>
                <w:b/>
                <w:bCs/>
                <w:sz w:val="24"/>
                <w:szCs w:val="24"/>
                <w:lang w:eastAsia="en-IE"/>
                <w14:ligatures w14:val="none"/>
              </w:rPr>
              <w:t>Ballynakelly</w:t>
            </w:r>
            <w:proofErr w:type="spellEnd"/>
            <w:r>
              <w:rPr>
                <w:rFonts w:ascii="Calibri" w:hAnsi="Calibri" w:cs="Calibri"/>
                <w:b/>
                <w:bCs/>
                <w:sz w:val="24"/>
                <w:szCs w:val="24"/>
                <w:lang w:eastAsia="en-IE"/>
                <w14:ligatures w14:val="none"/>
              </w:rPr>
              <w:t xml:space="preserve"> Roundabout Site</w:t>
            </w:r>
          </w:p>
        </w:tc>
        <w:tc>
          <w:tcPr>
            <w:tcW w:w="2856"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5D8F7496" w14:textId="77777777" w:rsidR="00042462" w:rsidRDefault="00042462">
            <w:pPr>
              <w:jc w:val="center"/>
              <w:rPr>
                <w:rFonts w:ascii="Calibri" w:hAnsi="Calibri" w:cs="Calibri"/>
                <w:color w:val="000000"/>
                <w:sz w:val="24"/>
                <w:szCs w:val="24"/>
                <w:lang w:eastAsia="en-IE"/>
                <w14:ligatures w14:val="none"/>
              </w:rPr>
            </w:pPr>
            <w:r>
              <w:rPr>
                <w:rFonts w:ascii="Calibri" w:hAnsi="Calibri" w:cs="Calibri"/>
                <w:color w:val="000000"/>
                <w:sz w:val="24"/>
                <w:szCs w:val="24"/>
                <w:lang w:eastAsia="en-IE"/>
                <w14:ligatures w14:val="none"/>
              </w:rPr>
              <w:t>SD20A/0192</w:t>
            </w:r>
          </w:p>
        </w:tc>
        <w:tc>
          <w:tcPr>
            <w:tcW w:w="340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6378776E" w14:textId="77777777" w:rsidR="00042462" w:rsidRDefault="00042462" w:rsidP="00042462">
            <w:pPr>
              <w:rPr>
                <w:rFonts w:ascii="Calibri" w:hAnsi="Calibri" w:cs="Calibri"/>
                <w:color w:val="000000"/>
                <w:sz w:val="24"/>
                <w:szCs w:val="24"/>
                <w:lang w:eastAsia="en-IE"/>
                <w14:ligatures w14:val="none"/>
              </w:rPr>
            </w:pPr>
            <w:r>
              <w:rPr>
                <w:rFonts w:ascii="Calibri" w:hAnsi="Calibri" w:cs="Calibri"/>
                <w:color w:val="000000"/>
                <w:sz w:val="24"/>
                <w:szCs w:val="24"/>
                <w:lang w:eastAsia="en-IE"/>
                <w14:ligatures w14:val="none"/>
              </w:rPr>
              <w:t xml:space="preserve">This development is ready for Taken </w:t>
            </w:r>
            <w:proofErr w:type="gramStart"/>
            <w:r>
              <w:rPr>
                <w:rFonts w:ascii="Calibri" w:hAnsi="Calibri" w:cs="Calibri"/>
                <w:color w:val="000000"/>
                <w:sz w:val="24"/>
                <w:szCs w:val="24"/>
                <w:lang w:eastAsia="en-IE"/>
                <w14:ligatures w14:val="none"/>
              </w:rPr>
              <w:t>In</w:t>
            </w:r>
            <w:proofErr w:type="gramEnd"/>
            <w:r>
              <w:rPr>
                <w:rFonts w:ascii="Calibri" w:hAnsi="Calibri" w:cs="Calibri"/>
                <w:color w:val="000000"/>
                <w:sz w:val="24"/>
                <w:szCs w:val="24"/>
                <w:lang w:eastAsia="en-IE"/>
                <w14:ligatures w14:val="none"/>
              </w:rPr>
              <w:t xml:space="preserve"> Charge. will be ready for advertising before the years end.</w:t>
            </w:r>
          </w:p>
        </w:tc>
      </w:tr>
      <w:tr w:rsidR="00042462" w14:paraId="663CA4D1" w14:textId="77777777" w:rsidTr="00042462">
        <w:trPr>
          <w:trHeight w:val="1215"/>
        </w:trPr>
        <w:tc>
          <w:tcPr>
            <w:tcW w:w="3060"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14:paraId="255FD1ED" w14:textId="77777777" w:rsidR="00042462" w:rsidRDefault="00042462">
            <w:pPr>
              <w:jc w:val="center"/>
              <w:rPr>
                <w:rFonts w:ascii="Calibri" w:hAnsi="Calibri" w:cs="Calibri"/>
                <w:b/>
                <w:bCs/>
                <w:sz w:val="24"/>
                <w:szCs w:val="24"/>
                <w:lang w:eastAsia="en-IE"/>
                <w14:ligatures w14:val="none"/>
              </w:rPr>
            </w:pPr>
            <w:r>
              <w:rPr>
                <w:rFonts w:ascii="Calibri" w:hAnsi="Calibri" w:cs="Calibri"/>
                <w:b/>
                <w:bCs/>
                <w:sz w:val="24"/>
                <w:szCs w:val="24"/>
                <w:lang w:eastAsia="en-IE"/>
                <w14:ligatures w14:val="none"/>
              </w:rPr>
              <w:t>Burgage Gardens</w:t>
            </w:r>
          </w:p>
        </w:tc>
        <w:tc>
          <w:tcPr>
            <w:tcW w:w="2856"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68053AD3" w14:textId="77777777" w:rsidR="00042462" w:rsidRDefault="00042462">
            <w:pPr>
              <w:jc w:val="center"/>
              <w:rPr>
                <w:rFonts w:ascii="Calibri" w:hAnsi="Calibri" w:cs="Calibri"/>
                <w:color w:val="000000"/>
                <w:sz w:val="24"/>
                <w:szCs w:val="24"/>
                <w:lang w:eastAsia="en-IE"/>
                <w14:ligatures w14:val="none"/>
              </w:rPr>
            </w:pPr>
            <w:r>
              <w:rPr>
                <w:rFonts w:ascii="Calibri" w:hAnsi="Calibri" w:cs="Calibri"/>
                <w:color w:val="000000"/>
                <w:sz w:val="24"/>
                <w:szCs w:val="24"/>
                <w:lang w:eastAsia="en-IE"/>
                <w14:ligatures w14:val="none"/>
              </w:rPr>
              <w:t>SD17A/0378</w:t>
            </w:r>
          </w:p>
        </w:tc>
        <w:tc>
          <w:tcPr>
            <w:tcW w:w="340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2BAEA6AA" w14:textId="77777777" w:rsidR="00042462" w:rsidRDefault="00042462">
            <w:pPr>
              <w:rPr>
                <w:rFonts w:ascii="Calibri" w:hAnsi="Calibri" w:cs="Calibri"/>
                <w:color w:val="000000"/>
                <w:sz w:val="24"/>
                <w:szCs w:val="24"/>
                <w:lang w:eastAsia="en-IE"/>
                <w14:ligatures w14:val="none"/>
              </w:rPr>
            </w:pPr>
            <w:r>
              <w:rPr>
                <w:rFonts w:ascii="Calibri" w:hAnsi="Calibri" w:cs="Calibri"/>
                <w:sz w:val="24"/>
                <w:szCs w:val="24"/>
                <w:lang w:eastAsia="en-IE"/>
                <w14:ligatures w14:val="none"/>
              </w:rPr>
              <w:t>The applicant has sent documentation for Wayleaves, Road Cores and Nameplate Compliance. TIC Application form is still required.</w:t>
            </w:r>
          </w:p>
        </w:tc>
      </w:tr>
      <w:tr w:rsidR="00042462" w14:paraId="717CF88C" w14:textId="77777777" w:rsidTr="00042462">
        <w:trPr>
          <w:trHeight w:val="1620"/>
        </w:trPr>
        <w:tc>
          <w:tcPr>
            <w:tcW w:w="3060"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14:paraId="3F8BD6B1" w14:textId="77777777" w:rsidR="00042462" w:rsidRDefault="00042462">
            <w:pPr>
              <w:jc w:val="center"/>
              <w:rPr>
                <w:rFonts w:ascii="Calibri" w:hAnsi="Calibri" w:cs="Calibri"/>
                <w:b/>
                <w:bCs/>
                <w:sz w:val="24"/>
                <w:szCs w:val="24"/>
                <w:lang w:eastAsia="en-IE"/>
                <w14:ligatures w14:val="none"/>
              </w:rPr>
            </w:pPr>
            <w:proofErr w:type="spellStart"/>
            <w:r>
              <w:rPr>
                <w:rFonts w:ascii="Calibri" w:hAnsi="Calibri" w:cs="Calibri"/>
                <w:b/>
                <w:bCs/>
                <w:sz w:val="24"/>
                <w:szCs w:val="24"/>
                <w:lang w:eastAsia="en-IE"/>
                <w14:ligatures w14:val="none"/>
              </w:rPr>
              <w:t>Castlechurch</w:t>
            </w:r>
            <w:proofErr w:type="spellEnd"/>
          </w:p>
        </w:tc>
        <w:tc>
          <w:tcPr>
            <w:tcW w:w="2856"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72B82C4C" w14:textId="77777777" w:rsidR="00042462" w:rsidRDefault="00042462">
            <w:pPr>
              <w:jc w:val="center"/>
              <w:rPr>
                <w:rFonts w:ascii="Calibri" w:hAnsi="Calibri" w:cs="Calibri"/>
                <w:color w:val="000000"/>
                <w:sz w:val="24"/>
                <w:szCs w:val="24"/>
                <w:lang w:eastAsia="en-IE"/>
                <w14:ligatures w14:val="none"/>
              </w:rPr>
            </w:pPr>
            <w:r>
              <w:rPr>
                <w:rFonts w:ascii="Calibri" w:hAnsi="Calibri" w:cs="Calibri"/>
                <w:color w:val="000000"/>
                <w:sz w:val="24"/>
                <w:szCs w:val="24"/>
                <w:lang w:eastAsia="en-IE"/>
                <w14:ligatures w14:val="none"/>
              </w:rPr>
              <w:t>SD15A/0193</w:t>
            </w:r>
          </w:p>
        </w:tc>
        <w:tc>
          <w:tcPr>
            <w:tcW w:w="340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1E88644F" w14:textId="77777777" w:rsidR="00042462" w:rsidRDefault="00042462" w:rsidP="00042462">
            <w:pPr>
              <w:rPr>
                <w:rFonts w:ascii="Calibri" w:hAnsi="Calibri" w:cs="Calibri"/>
                <w:color w:val="000000"/>
                <w:sz w:val="24"/>
                <w:szCs w:val="24"/>
                <w:lang w:eastAsia="en-IE"/>
                <w14:ligatures w14:val="none"/>
              </w:rPr>
            </w:pPr>
            <w:r>
              <w:rPr>
                <w:rFonts w:ascii="Calibri" w:hAnsi="Calibri" w:cs="Calibri"/>
                <w:color w:val="000000"/>
                <w:sz w:val="24"/>
                <w:szCs w:val="24"/>
                <w:lang w:eastAsia="en-IE"/>
                <w14:ligatures w14:val="none"/>
              </w:rPr>
              <w:t>This development will not be Taken in charge until the issues with the planning enforcement have been resolved. The developer did not have planning permission to install the drainage as they did.</w:t>
            </w:r>
          </w:p>
        </w:tc>
      </w:tr>
      <w:tr w:rsidR="00042462" w14:paraId="127EC21B" w14:textId="77777777" w:rsidTr="00042462">
        <w:trPr>
          <w:trHeight w:val="975"/>
        </w:trPr>
        <w:tc>
          <w:tcPr>
            <w:tcW w:w="3060"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14:paraId="6258087F" w14:textId="77777777" w:rsidR="00042462" w:rsidRDefault="00042462">
            <w:pPr>
              <w:jc w:val="center"/>
              <w:rPr>
                <w:rFonts w:ascii="Calibri" w:hAnsi="Calibri" w:cs="Calibri"/>
                <w:b/>
                <w:bCs/>
                <w:sz w:val="24"/>
                <w:szCs w:val="24"/>
                <w:lang w:eastAsia="en-IE"/>
                <w14:ligatures w14:val="none"/>
              </w:rPr>
            </w:pPr>
            <w:r>
              <w:rPr>
                <w:rFonts w:ascii="Calibri" w:hAnsi="Calibri" w:cs="Calibri"/>
                <w:b/>
                <w:bCs/>
                <w:sz w:val="24"/>
                <w:szCs w:val="24"/>
                <w:lang w:eastAsia="en-IE"/>
                <w14:ligatures w14:val="none"/>
              </w:rPr>
              <w:t>Graydon</w:t>
            </w:r>
          </w:p>
        </w:tc>
        <w:tc>
          <w:tcPr>
            <w:tcW w:w="2856"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664AD0DE" w14:textId="77777777" w:rsidR="00042462" w:rsidRDefault="00042462">
            <w:pPr>
              <w:jc w:val="center"/>
              <w:rPr>
                <w:rFonts w:ascii="Calibri" w:hAnsi="Calibri" w:cs="Calibri"/>
                <w:color w:val="000000"/>
                <w:sz w:val="24"/>
                <w:szCs w:val="24"/>
                <w:lang w:eastAsia="en-IE"/>
                <w14:ligatures w14:val="none"/>
              </w:rPr>
            </w:pPr>
            <w:r>
              <w:rPr>
                <w:rFonts w:ascii="Calibri" w:hAnsi="Calibri" w:cs="Calibri"/>
                <w:color w:val="000000"/>
                <w:sz w:val="24"/>
                <w:szCs w:val="24"/>
                <w:lang w:eastAsia="en-IE"/>
                <w14:ligatures w14:val="none"/>
              </w:rPr>
              <w:t>SHD3ABP-305343-19</w:t>
            </w:r>
          </w:p>
        </w:tc>
        <w:tc>
          <w:tcPr>
            <w:tcW w:w="340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5F3BC198" w14:textId="1FC1D0E1" w:rsidR="00042462" w:rsidRDefault="00042462" w:rsidP="00042462">
            <w:pPr>
              <w:rPr>
                <w:rFonts w:ascii="Calibri" w:hAnsi="Calibri" w:cs="Calibri"/>
                <w:color w:val="000000"/>
                <w:sz w:val="24"/>
                <w:szCs w:val="24"/>
                <w:lang w:eastAsia="en-IE"/>
                <w14:ligatures w14:val="none"/>
              </w:rPr>
            </w:pPr>
            <w:r>
              <w:rPr>
                <w:rFonts w:ascii="Calibri" w:hAnsi="Calibri" w:cs="Calibri"/>
                <w:color w:val="000000"/>
                <w:sz w:val="24"/>
                <w:szCs w:val="24"/>
                <w:lang w:eastAsia="en-IE"/>
                <w14:ligatures w14:val="none"/>
              </w:rPr>
              <w:t>This development is ready for TIC. It will be advertised in the first quarter in 20</w:t>
            </w:r>
            <w:r w:rsidR="00A80AD4">
              <w:rPr>
                <w:rFonts w:ascii="Calibri" w:hAnsi="Calibri" w:cs="Calibri"/>
                <w:color w:val="000000"/>
                <w:sz w:val="24"/>
                <w:szCs w:val="24"/>
                <w:lang w:eastAsia="en-IE"/>
                <w14:ligatures w14:val="none"/>
              </w:rPr>
              <w:t>2</w:t>
            </w:r>
            <w:r>
              <w:rPr>
                <w:rFonts w:ascii="Calibri" w:hAnsi="Calibri" w:cs="Calibri"/>
                <w:color w:val="000000"/>
                <w:sz w:val="24"/>
                <w:szCs w:val="24"/>
                <w:lang w:eastAsia="en-IE"/>
                <w14:ligatures w14:val="none"/>
              </w:rPr>
              <w:t>6</w:t>
            </w:r>
          </w:p>
        </w:tc>
      </w:tr>
      <w:tr w:rsidR="00042462" w14:paraId="4F92EFDE" w14:textId="77777777" w:rsidTr="00042462">
        <w:trPr>
          <w:trHeight w:val="1620"/>
        </w:trPr>
        <w:tc>
          <w:tcPr>
            <w:tcW w:w="3060"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14:paraId="23E95024" w14:textId="77777777" w:rsidR="00042462" w:rsidRDefault="00042462">
            <w:pPr>
              <w:jc w:val="center"/>
              <w:rPr>
                <w:rFonts w:ascii="Calibri" w:hAnsi="Calibri" w:cs="Calibri"/>
                <w:b/>
                <w:bCs/>
                <w:sz w:val="24"/>
                <w:szCs w:val="24"/>
                <w:lang w:eastAsia="en-IE"/>
                <w14:ligatures w14:val="none"/>
              </w:rPr>
            </w:pPr>
            <w:r>
              <w:rPr>
                <w:rFonts w:ascii="Calibri" w:hAnsi="Calibri" w:cs="Calibri"/>
                <w:b/>
                <w:bCs/>
                <w:sz w:val="24"/>
                <w:szCs w:val="24"/>
                <w:lang w:eastAsia="en-IE"/>
                <w14:ligatures w14:val="none"/>
              </w:rPr>
              <w:t>Graydon Gate</w:t>
            </w:r>
          </w:p>
        </w:tc>
        <w:tc>
          <w:tcPr>
            <w:tcW w:w="2856"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48B42FBF" w14:textId="77777777" w:rsidR="00042462" w:rsidRDefault="00042462">
            <w:pPr>
              <w:jc w:val="center"/>
              <w:rPr>
                <w:rFonts w:ascii="Calibri" w:hAnsi="Calibri" w:cs="Calibri"/>
                <w:color w:val="000000"/>
                <w:sz w:val="24"/>
                <w:szCs w:val="24"/>
                <w:lang w:eastAsia="en-IE"/>
                <w14:ligatures w14:val="none"/>
              </w:rPr>
            </w:pPr>
            <w:r>
              <w:rPr>
                <w:rFonts w:ascii="Calibri" w:hAnsi="Calibri" w:cs="Calibri"/>
                <w:color w:val="000000"/>
                <w:sz w:val="24"/>
                <w:szCs w:val="24"/>
                <w:lang w:eastAsia="en-IE"/>
                <w14:ligatures w14:val="none"/>
              </w:rPr>
              <w:t>SD23A_0043</w:t>
            </w:r>
          </w:p>
        </w:tc>
        <w:tc>
          <w:tcPr>
            <w:tcW w:w="340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439894D8" w14:textId="77777777" w:rsidR="00042462" w:rsidRDefault="00042462" w:rsidP="00042462">
            <w:pPr>
              <w:rPr>
                <w:rFonts w:ascii="Calibri" w:hAnsi="Calibri" w:cs="Calibri"/>
                <w:color w:val="000000"/>
                <w:sz w:val="24"/>
                <w:szCs w:val="24"/>
                <w:lang w:eastAsia="en-IE"/>
                <w14:ligatures w14:val="none"/>
              </w:rPr>
            </w:pPr>
            <w:r>
              <w:rPr>
                <w:rFonts w:ascii="Calibri" w:hAnsi="Calibri" w:cs="Calibri"/>
                <w:color w:val="000000"/>
                <w:sz w:val="24"/>
                <w:szCs w:val="24"/>
                <w:lang w:eastAsia="en-IE"/>
                <w14:ligatures w14:val="none"/>
              </w:rPr>
              <w:t xml:space="preserve">This is a recently constructed development, will not be ready for TIC until the Newcastle Lyons development has been made public. </w:t>
            </w:r>
          </w:p>
        </w:tc>
      </w:tr>
      <w:tr w:rsidR="00042462" w14:paraId="07EC6CF2" w14:textId="77777777" w:rsidTr="00042462">
        <w:trPr>
          <w:trHeight w:val="2087"/>
        </w:trPr>
        <w:tc>
          <w:tcPr>
            <w:tcW w:w="3060" w:type="dxa"/>
            <w:tcBorders>
              <w:top w:val="nil"/>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14:paraId="530909D7" w14:textId="77777777" w:rsidR="00042462" w:rsidRDefault="00042462">
            <w:pPr>
              <w:jc w:val="center"/>
              <w:rPr>
                <w:rFonts w:ascii="Calibri" w:hAnsi="Calibri" w:cs="Calibri"/>
                <w:b/>
                <w:bCs/>
                <w:sz w:val="24"/>
                <w:szCs w:val="24"/>
                <w:lang w:eastAsia="en-IE"/>
                <w14:ligatures w14:val="none"/>
              </w:rPr>
            </w:pPr>
            <w:r>
              <w:rPr>
                <w:rFonts w:ascii="Calibri" w:hAnsi="Calibri" w:cs="Calibri"/>
                <w:b/>
                <w:bCs/>
                <w:sz w:val="24"/>
                <w:szCs w:val="24"/>
                <w:lang w:eastAsia="en-IE"/>
                <w14:ligatures w14:val="none"/>
              </w:rPr>
              <w:t>Newcastle Lyons</w:t>
            </w:r>
          </w:p>
        </w:tc>
        <w:tc>
          <w:tcPr>
            <w:tcW w:w="2856"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1CCB500E" w14:textId="77777777" w:rsidR="00042462" w:rsidRDefault="00042462">
            <w:pPr>
              <w:jc w:val="center"/>
              <w:rPr>
                <w:rFonts w:ascii="Calibri" w:hAnsi="Calibri" w:cs="Calibri"/>
                <w:color w:val="000000"/>
                <w:sz w:val="24"/>
                <w:szCs w:val="24"/>
                <w:lang w:eastAsia="en-IE"/>
                <w14:ligatures w14:val="none"/>
              </w:rPr>
            </w:pPr>
            <w:r>
              <w:rPr>
                <w:rFonts w:ascii="Calibri" w:hAnsi="Calibri" w:cs="Calibri"/>
                <w:color w:val="000000"/>
                <w:sz w:val="24"/>
                <w:szCs w:val="24"/>
                <w:lang w:eastAsia="en-IE"/>
                <w14:ligatures w14:val="none"/>
              </w:rPr>
              <w:t>SD05A/0344EP &amp; SD10A/0013</w:t>
            </w:r>
          </w:p>
        </w:tc>
        <w:tc>
          <w:tcPr>
            <w:tcW w:w="3402" w:type="dxa"/>
            <w:tcBorders>
              <w:top w:val="nil"/>
              <w:left w:val="nil"/>
              <w:bottom w:val="single" w:sz="8" w:space="0" w:color="000000"/>
              <w:right w:val="single" w:sz="8" w:space="0" w:color="000000"/>
            </w:tcBorders>
            <w:tcMar>
              <w:top w:w="15" w:type="dxa"/>
              <w:left w:w="108" w:type="dxa"/>
              <w:bottom w:w="15" w:type="dxa"/>
              <w:right w:w="108" w:type="dxa"/>
            </w:tcMar>
            <w:vAlign w:val="center"/>
            <w:hideMark/>
          </w:tcPr>
          <w:p w14:paraId="3ECADF7C" w14:textId="77777777" w:rsidR="00042462" w:rsidRDefault="00042462" w:rsidP="00042462">
            <w:pPr>
              <w:rPr>
                <w:rFonts w:ascii="Calibri" w:hAnsi="Calibri" w:cs="Calibri"/>
                <w:color w:val="000000"/>
                <w:sz w:val="24"/>
                <w:szCs w:val="24"/>
                <w:lang w:eastAsia="en-IE"/>
                <w14:ligatures w14:val="none"/>
              </w:rPr>
            </w:pPr>
            <w:r>
              <w:rPr>
                <w:rFonts w:ascii="Calibri" w:hAnsi="Calibri" w:cs="Calibri"/>
                <w:color w:val="000000"/>
                <w:sz w:val="24"/>
                <w:szCs w:val="24"/>
                <w:lang w:eastAsia="en-IE"/>
                <w14:ligatures w14:val="none"/>
              </w:rPr>
              <w:t>This development is ready for TIC. the developer has made repairs to the drainage system and these need to be checked. this development will be advertised in first quarter 2026</w:t>
            </w:r>
          </w:p>
        </w:tc>
      </w:tr>
    </w:tbl>
    <w:p w14:paraId="3FE977EA" w14:textId="77777777" w:rsidR="00042462" w:rsidRPr="00042462" w:rsidRDefault="00042462">
      <w:pPr>
        <w:rPr>
          <w:lang w:val="en-GB"/>
        </w:rPr>
      </w:pPr>
    </w:p>
    <w:sectPr w:rsidR="00042462" w:rsidRPr="00042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62"/>
    <w:rsid w:val="00042462"/>
    <w:rsid w:val="00167963"/>
    <w:rsid w:val="006D0041"/>
    <w:rsid w:val="006E23AA"/>
    <w:rsid w:val="00A80AD4"/>
    <w:rsid w:val="00EE7E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B124"/>
  <w15:chartTrackingRefBased/>
  <w15:docId w15:val="{896AF495-1D88-4841-9781-53CF9FFA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62"/>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42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4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4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4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4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462"/>
    <w:rPr>
      <w:rFonts w:eastAsiaTheme="majorEastAsia" w:cstheme="majorBidi"/>
      <w:color w:val="272727" w:themeColor="text1" w:themeTint="D8"/>
    </w:rPr>
  </w:style>
  <w:style w:type="paragraph" w:styleId="Title">
    <w:name w:val="Title"/>
    <w:basedOn w:val="Normal"/>
    <w:next w:val="Normal"/>
    <w:link w:val="TitleChar"/>
    <w:uiPriority w:val="10"/>
    <w:qFormat/>
    <w:rsid w:val="000424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462"/>
    <w:pPr>
      <w:spacing w:before="160"/>
      <w:jc w:val="center"/>
    </w:pPr>
    <w:rPr>
      <w:i/>
      <w:iCs/>
      <w:color w:val="404040" w:themeColor="text1" w:themeTint="BF"/>
    </w:rPr>
  </w:style>
  <w:style w:type="character" w:customStyle="1" w:styleId="QuoteChar">
    <w:name w:val="Quote Char"/>
    <w:basedOn w:val="DefaultParagraphFont"/>
    <w:link w:val="Quote"/>
    <w:uiPriority w:val="29"/>
    <w:rsid w:val="00042462"/>
    <w:rPr>
      <w:i/>
      <w:iCs/>
      <w:color w:val="404040" w:themeColor="text1" w:themeTint="BF"/>
    </w:rPr>
  </w:style>
  <w:style w:type="paragraph" w:styleId="ListParagraph">
    <w:name w:val="List Paragraph"/>
    <w:basedOn w:val="Normal"/>
    <w:uiPriority w:val="34"/>
    <w:qFormat/>
    <w:rsid w:val="00042462"/>
    <w:pPr>
      <w:ind w:left="720"/>
      <w:contextualSpacing/>
    </w:pPr>
  </w:style>
  <w:style w:type="character" w:styleId="IntenseEmphasis">
    <w:name w:val="Intense Emphasis"/>
    <w:basedOn w:val="DefaultParagraphFont"/>
    <w:uiPriority w:val="21"/>
    <w:qFormat/>
    <w:rsid w:val="00042462"/>
    <w:rPr>
      <w:i/>
      <w:iCs/>
      <w:color w:val="0F4761" w:themeColor="accent1" w:themeShade="BF"/>
    </w:rPr>
  </w:style>
  <w:style w:type="paragraph" w:styleId="IntenseQuote">
    <w:name w:val="Intense Quote"/>
    <w:basedOn w:val="Normal"/>
    <w:next w:val="Normal"/>
    <w:link w:val="IntenseQuoteChar"/>
    <w:uiPriority w:val="30"/>
    <w:qFormat/>
    <w:rsid w:val="00042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462"/>
    <w:rPr>
      <w:i/>
      <w:iCs/>
      <w:color w:val="0F4761" w:themeColor="accent1" w:themeShade="BF"/>
    </w:rPr>
  </w:style>
  <w:style w:type="character" w:styleId="IntenseReference">
    <w:name w:val="Intense Reference"/>
    <w:basedOn w:val="DefaultParagraphFont"/>
    <w:uiPriority w:val="32"/>
    <w:qFormat/>
    <w:rsid w:val="00042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Hegarty</dc:creator>
  <cp:keywords/>
  <dc:description/>
  <cp:lastModifiedBy>John Hegarty</cp:lastModifiedBy>
  <cp:revision>2</cp:revision>
  <dcterms:created xsi:type="dcterms:W3CDTF">2025-11-14T15:13:00Z</dcterms:created>
  <dcterms:modified xsi:type="dcterms:W3CDTF">2025-11-14T15:13:00Z</dcterms:modified>
</cp:coreProperties>
</file>