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32C1" w14:textId="0B24EC5D" w:rsidR="00CC2903" w:rsidRPr="00CC2903" w:rsidRDefault="00CC2903" w:rsidP="00CC29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CC2903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The Community Recognition Fund was first introduced in 2023 to recognise the huge efforts made by communities in welcoming and supporting people coming to Ireland. The proposals </w:t>
      </w:r>
      <w:proofErr w:type="gramStart"/>
      <w:r w:rsidRPr="00CC2903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have to</w:t>
      </w:r>
      <w:proofErr w:type="gramEnd"/>
      <w:r w:rsidRPr="00CC2903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 demonstrate that the funding is targeted at and specifically invested in those cities, towns and villages where the highest level of new arrivals is located and where there is a clear need for investment identified.</w:t>
      </w:r>
    </w:p>
    <w:p w14:paraId="2F5D5257" w14:textId="28BE7EDC" w:rsidR="00CC2903" w:rsidRDefault="00CC2903" w:rsidP="0029755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CC2903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Under the </w:t>
      </w:r>
      <w:r w:rsidR="00293178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1</w:t>
      </w:r>
      <w:r w:rsidR="00293178" w:rsidRPr="00293178">
        <w:rPr>
          <w:rFonts w:ascii="Times New Roman" w:eastAsia="Times New Roman" w:hAnsi="Times New Roman" w:cs="Times New Roman"/>
          <w:kern w:val="0"/>
          <w:vertAlign w:val="superscript"/>
          <w:lang w:eastAsia="en-IE"/>
          <w14:ligatures w14:val="none"/>
        </w:rPr>
        <w:t>st</w:t>
      </w:r>
      <w:r w:rsidRPr="00CC2903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 round of the fund, South Dublin County Council received 2 applications from </w:t>
      </w:r>
      <w:r w:rsidR="00297557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the </w:t>
      </w:r>
      <w:r w:rsidRPr="00CC2903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Lucan</w:t>
      </w:r>
      <w:r w:rsidR="00297557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 area;</w:t>
      </w:r>
      <w:r w:rsidRPr="00CC2903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 one of the applications was submitted to DRCD for consideration but </w:t>
      </w:r>
      <w:r w:rsidR="00297557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was not approved.</w:t>
      </w:r>
    </w:p>
    <w:p w14:paraId="6A3827D6" w14:textId="77777777" w:rsidR="00297557" w:rsidRPr="00CC2903" w:rsidRDefault="00297557" w:rsidP="00297557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</w:p>
    <w:p w14:paraId="2A2C9AF0" w14:textId="144BC279" w:rsidR="00CC2903" w:rsidRPr="00CC2903" w:rsidRDefault="00CC2903" w:rsidP="00CC290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CC2903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Under the</w:t>
      </w:r>
      <w:r w:rsidR="00293178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 2</w:t>
      </w:r>
      <w:r w:rsidR="00297557" w:rsidRPr="00293178">
        <w:rPr>
          <w:rFonts w:ascii="Times New Roman" w:eastAsia="Times New Roman" w:hAnsi="Times New Roman" w:cs="Times New Roman"/>
          <w:kern w:val="0"/>
          <w:vertAlign w:val="superscript"/>
          <w:lang w:eastAsia="en-IE"/>
          <w14:ligatures w14:val="none"/>
        </w:rPr>
        <w:t>nd</w:t>
      </w:r>
      <w:r w:rsidR="00297557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 Window, </w:t>
      </w:r>
      <w:r w:rsidRPr="00CC2903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4 applications </w:t>
      </w:r>
      <w:r w:rsidR="00297557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were received </w:t>
      </w:r>
      <w:r w:rsidRPr="00CC2903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from </w:t>
      </w:r>
      <w:r w:rsidR="00297557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the </w:t>
      </w:r>
      <w:r w:rsidRPr="00CC2903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Lucan </w:t>
      </w:r>
      <w:r w:rsidR="00297557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area </w:t>
      </w:r>
      <w:r w:rsidRPr="00CC2903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and 2 were successful: </w:t>
      </w:r>
      <w:proofErr w:type="spellStart"/>
      <w:r w:rsidRPr="00CC2903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Crosscare</w:t>
      </w:r>
      <w:proofErr w:type="spellEnd"/>
      <w:r w:rsidRPr="00CC2903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 Ucan project for the expansion of their project and SDCC for the installation of new path, public lighting and railing</w:t>
      </w:r>
      <w:r w:rsidR="00297557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s in the Back Weston area.</w:t>
      </w:r>
    </w:p>
    <w:p w14:paraId="0C40C008" w14:textId="77777777" w:rsidR="00CC2903" w:rsidRPr="00CC2903" w:rsidRDefault="00CC2903" w:rsidP="00CC290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CC2903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 </w:t>
      </w:r>
    </w:p>
    <w:p w14:paraId="2B13BA64" w14:textId="4426B016" w:rsidR="00CC2903" w:rsidRDefault="00CC2903" w:rsidP="00CC290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CC2903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Under the 3</w:t>
      </w:r>
      <w:r w:rsidRPr="00CC2903">
        <w:rPr>
          <w:rFonts w:ascii="Times New Roman" w:eastAsia="Times New Roman" w:hAnsi="Times New Roman" w:cs="Times New Roman"/>
          <w:kern w:val="0"/>
          <w:vertAlign w:val="superscript"/>
          <w:lang w:eastAsia="en-IE"/>
          <w14:ligatures w14:val="none"/>
        </w:rPr>
        <w:t>rd</w:t>
      </w:r>
      <w:r w:rsidRPr="00CC2903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 Window SDCC received 8 applications from </w:t>
      </w:r>
      <w:r w:rsidR="00297557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the </w:t>
      </w:r>
      <w:r w:rsidRPr="00CC2903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Lucan</w:t>
      </w:r>
      <w:r w:rsidR="00297557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 area.</w:t>
      </w:r>
    </w:p>
    <w:p w14:paraId="2985B81E" w14:textId="77777777" w:rsidR="000E28AD" w:rsidRPr="00CC2903" w:rsidRDefault="000E28AD" w:rsidP="00CC290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</w:p>
    <w:p w14:paraId="2EE24CBF" w14:textId="12E933E5" w:rsidR="00CC2903" w:rsidRDefault="00CC2903" w:rsidP="00CC290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 w:rsidRPr="00CC2903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The recommended applications under the 3</w:t>
      </w:r>
      <w:r w:rsidRPr="00CC2903">
        <w:rPr>
          <w:rFonts w:ascii="Times New Roman" w:eastAsia="Times New Roman" w:hAnsi="Times New Roman" w:cs="Times New Roman"/>
          <w:kern w:val="0"/>
          <w:vertAlign w:val="superscript"/>
          <w:lang w:eastAsia="en-IE"/>
          <w14:ligatures w14:val="none"/>
        </w:rPr>
        <w:t>rd</w:t>
      </w:r>
      <w:r w:rsidRPr="00CC2903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 round were submitted to DRCD </w:t>
      </w:r>
      <w:r w:rsidR="00297557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on February 28</w:t>
      </w:r>
      <w:r w:rsidR="002656F8" w:rsidRPr="00297557">
        <w:rPr>
          <w:rFonts w:ascii="Times New Roman" w:eastAsia="Times New Roman" w:hAnsi="Times New Roman" w:cs="Times New Roman"/>
          <w:kern w:val="0"/>
          <w:vertAlign w:val="superscript"/>
          <w:lang w:eastAsia="en-IE"/>
          <w14:ligatures w14:val="none"/>
        </w:rPr>
        <w:t>th</w:t>
      </w:r>
      <w:r w:rsidR="002656F8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 and</w:t>
      </w:r>
      <w:r w:rsidRPr="00CC2903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 we are </w:t>
      </w:r>
      <w:r w:rsidR="00297557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waiting on a</w:t>
      </w:r>
      <w:r w:rsidRPr="00CC2903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 decision on the projects</w:t>
      </w:r>
      <w:r w:rsidR="00297557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 which will be approved.</w:t>
      </w:r>
    </w:p>
    <w:p w14:paraId="1B39986B" w14:textId="77777777" w:rsidR="000E28AD" w:rsidRDefault="000E28AD" w:rsidP="00CC290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</w:p>
    <w:p w14:paraId="05A66EB9" w14:textId="625B51F2" w:rsidR="000E28AD" w:rsidRPr="00CC2903" w:rsidRDefault="00297557" w:rsidP="00CC2903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IE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The table below shows </w:t>
      </w:r>
      <w:r w:rsidR="000E28AD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 xml:space="preserve">the successful projects under </w:t>
      </w:r>
      <w:r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windows 1 and 2</w:t>
      </w:r>
      <w:r w:rsidR="00A20CC5">
        <w:rPr>
          <w:rFonts w:ascii="Times New Roman" w:eastAsia="Times New Roman" w:hAnsi="Times New Roman" w:cs="Times New Roman"/>
          <w:kern w:val="0"/>
          <w:lang w:eastAsia="en-IE"/>
          <w14:ligatures w14:val="none"/>
        </w:rPr>
        <w:t>:</w:t>
      </w:r>
    </w:p>
    <w:p w14:paraId="70BA54C3" w14:textId="77777777" w:rsidR="00CC2903" w:rsidRDefault="00CC2903">
      <w:pPr>
        <w:rPr>
          <w:b/>
          <w:bCs/>
          <w:lang w:val="en-GB"/>
        </w:rPr>
      </w:pPr>
    </w:p>
    <w:p w14:paraId="1D60C689" w14:textId="28F5974E" w:rsidR="004867E3" w:rsidRPr="00097ABA" w:rsidRDefault="008154ED">
      <w:pPr>
        <w:rPr>
          <w:b/>
          <w:bCs/>
          <w:lang w:val="en-GB"/>
        </w:rPr>
      </w:pPr>
      <w:r w:rsidRPr="00097ABA">
        <w:rPr>
          <w:b/>
          <w:bCs/>
          <w:lang w:val="en-GB"/>
        </w:rPr>
        <w:t>Window 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8"/>
        <w:gridCol w:w="2313"/>
        <w:gridCol w:w="2268"/>
        <w:gridCol w:w="2127"/>
      </w:tblGrid>
      <w:tr w:rsidR="008154ED" w14:paraId="48F5D851" w14:textId="77777777" w:rsidTr="002C1CBB">
        <w:tc>
          <w:tcPr>
            <w:tcW w:w="2218" w:type="dxa"/>
          </w:tcPr>
          <w:p w14:paraId="62B49799" w14:textId="474BE01E" w:rsidR="008154ED" w:rsidRDefault="008154ED">
            <w:pPr>
              <w:rPr>
                <w:lang w:val="en-GB"/>
              </w:rPr>
            </w:pPr>
            <w:r>
              <w:rPr>
                <w:lang w:val="en-GB"/>
              </w:rPr>
              <w:t>Group</w:t>
            </w:r>
          </w:p>
        </w:tc>
        <w:tc>
          <w:tcPr>
            <w:tcW w:w="2313" w:type="dxa"/>
          </w:tcPr>
          <w:p w14:paraId="4528BE85" w14:textId="6653466F" w:rsidR="008154ED" w:rsidRDefault="008154ED">
            <w:pPr>
              <w:rPr>
                <w:lang w:val="en-GB"/>
              </w:rPr>
            </w:pPr>
            <w:r>
              <w:rPr>
                <w:lang w:val="en-GB"/>
              </w:rPr>
              <w:t>Project</w:t>
            </w:r>
          </w:p>
        </w:tc>
        <w:tc>
          <w:tcPr>
            <w:tcW w:w="2268" w:type="dxa"/>
          </w:tcPr>
          <w:p w14:paraId="4721CA69" w14:textId="2516D73C" w:rsidR="008154ED" w:rsidRDefault="008154ED">
            <w:pPr>
              <w:rPr>
                <w:lang w:val="en-GB"/>
              </w:rPr>
            </w:pPr>
            <w:r>
              <w:rPr>
                <w:lang w:val="en-GB"/>
              </w:rPr>
              <w:t>Area</w:t>
            </w:r>
          </w:p>
        </w:tc>
        <w:tc>
          <w:tcPr>
            <w:tcW w:w="2127" w:type="dxa"/>
          </w:tcPr>
          <w:p w14:paraId="765EECAB" w14:textId="2A3A3328" w:rsidR="008154ED" w:rsidRDefault="008154ED">
            <w:pPr>
              <w:rPr>
                <w:lang w:val="en-GB"/>
              </w:rPr>
            </w:pPr>
            <w:r>
              <w:rPr>
                <w:lang w:val="en-GB"/>
              </w:rPr>
              <w:t>Amount</w:t>
            </w:r>
          </w:p>
        </w:tc>
      </w:tr>
      <w:tr w:rsidR="008154ED" w14:paraId="57E68EBD" w14:textId="77777777" w:rsidTr="002C1CBB">
        <w:tc>
          <w:tcPr>
            <w:tcW w:w="2218" w:type="dxa"/>
          </w:tcPr>
          <w:p w14:paraId="1A7884C7" w14:textId="6E802A96" w:rsidR="008154ED" w:rsidRDefault="008154ED">
            <w:pPr>
              <w:rPr>
                <w:lang w:val="en-GB"/>
              </w:rPr>
            </w:pPr>
            <w:r>
              <w:rPr>
                <w:lang w:val="en-GB"/>
              </w:rPr>
              <w:t>Tallaght Community Arts</w:t>
            </w:r>
          </w:p>
        </w:tc>
        <w:tc>
          <w:tcPr>
            <w:tcW w:w="2313" w:type="dxa"/>
          </w:tcPr>
          <w:p w14:paraId="1C8A889B" w14:textId="5980C9B4" w:rsidR="008154ED" w:rsidRDefault="008154ED">
            <w:pPr>
              <w:rPr>
                <w:lang w:val="en-GB"/>
              </w:rPr>
            </w:pPr>
            <w:r>
              <w:rPr>
                <w:lang w:val="en-GB"/>
              </w:rPr>
              <w:t>Renovation of the Making the Space</w:t>
            </w:r>
          </w:p>
        </w:tc>
        <w:tc>
          <w:tcPr>
            <w:tcW w:w="2268" w:type="dxa"/>
          </w:tcPr>
          <w:p w14:paraId="09A772A3" w14:textId="288A17F1" w:rsidR="008154ED" w:rsidRDefault="008154ED">
            <w:pPr>
              <w:rPr>
                <w:lang w:val="en-GB"/>
              </w:rPr>
            </w:pPr>
            <w:r>
              <w:rPr>
                <w:lang w:val="en-GB"/>
              </w:rPr>
              <w:t>Tallaght</w:t>
            </w:r>
          </w:p>
        </w:tc>
        <w:tc>
          <w:tcPr>
            <w:tcW w:w="2127" w:type="dxa"/>
          </w:tcPr>
          <w:p w14:paraId="77E57FE6" w14:textId="4D10C9F5" w:rsidR="008154ED" w:rsidRDefault="008154ED">
            <w:pPr>
              <w:rPr>
                <w:lang w:val="en-GB"/>
              </w:rPr>
            </w:pPr>
            <w:r>
              <w:t>€</w:t>
            </w:r>
            <w:r>
              <w:rPr>
                <w:lang w:val="en-GB"/>
              </w:rPr>
              <w:t>98,000</w:t>
            </w:r>
          </w:p>
        </w:tc>
      </w:tr>
      <w:tr w:rsidR="008154ED" w14:paraId="6AE07308" w14:textId="77777777" w:rsidTr="002C1CBB">
        <w:tc>
          <w:tcPr>
            <w:tcW w:w="2218" w:type="dxa"/>
          </w:tcPr>
          <w:p w14:paraId="42FEDB9A" w14:textId="1AAE0AB2" w:rsidR="008154ED" w:rsidRDefault="008154ED">
            <w:pPr>
              <w:rPr>
                <w:lang w:val="en-GB"/>
              </w:rPr>
            </w:pPr>
            <w:r>
              <w:rPr>
                <w:lang w:val="en-GB"/>
              </w:rPr>
              <w:t>South Dublin Partnership</w:t>
            </w:r>
          </w:p>
        </w:tc>
        <w:tc>
          <w:tcPr>
            <w:tcW w:w="2313" w:type="dxa"/>
          </w:tcPr>
          <w:p w14:paraId="463B6ED9" w14:textId="44DE4DC7" w:rsidR="008154ED" w:rsidRDefault="008154ED">
            <w:pPr>
              <w:rPr>
                <w:lang w:val="en-GB"/>
              </w:rPr>
            </w:pPr>
            <w:r>
              <w:rPr>
                <w:lang w:val="en-GB"/>
              </w:rPr>
              <w:t>Bus</w:t>
            </w:r>
          </w:p>
        </w:tc>
        <w:tc>
          <w:tcPr>
            <w:tcW w:w="2268" w:type="dxa"/>
          </w:tcPr>
          <w:p w14:paraId="711854BE" w14:textId="7C0A1558" w:rsidR="008154ED" w:rsidRDefault="008154ED">
            <w:pPr>
              <w:rPr>
                <w:lang w:val="en-GB"/>
              </w:rPr>
            </w:pPr>
            <w:r>
              <w:rPr>
                <w:lang w:val="en-GB"/>
              </w:rPr>
              <w:t>County-Wide</w:t>
            </w:r>
          </w:p>
        </w:tc>
        <w:tc>
          <w:tcPr>
            <w:tcW w:w="2127" w:type="dxa"/>
          </w:tcPr>
          <w:p w14:paraId="4D77FC07" w14:textId="4A983AB3" w:rsidR="008154ED" w:rsidRDefault="008154ED">
            <w:pPr>
              <w:rPr>
                <w:lang w:val="en-GB"/>
              </w:rPr>
            </w:pPr>
            <w:r>
              <w:t>€</w:t>
            </w:r>
            <w:r>
              <w:rPr>
                <w:lang w:val="en-GB"/>
              </w:rPr>
              <w:t>103,000</w:t>
            </w:r>
          </w:p>
        </w:tc>
      </w:tr>
      <w:tr w:rsidR="008154ED" w14:paraId="3F361D6E" w14:textId="77777777" w:rsidTr="002C1CBB">
        <w:tc>
          <w:tcPr>
            <w:tcW w:w="2218" w:type="dxa"/>
          </w:tcPr>
          <w:p w14:paraId="3FA9E461" w14:textId="17789423" w:rsidR="008154ED" w:rsidRDefault="008154ED">
            <w:pPr>
              <w:rPr>
                <w:lang w:val="en-GB"/>
              </w:rPr>
            </w:pPr>
            <w:proofErr w:type="spellStart"/>
            <w:r>
              <w:t>Gaelphobal</w:t>
            </w:r>
            <w:proofErr w:type="spellEnd"/>
            <w:r>
              <w:t xml:space="preserve"> </w:t>
            </w:r>
            <w:proofErr w:type="spellStart"/>
            <w:r>
              <w:t>Tamhlach</w:t>
            </w:r>
            <w:r w:rsidR="00297557">
              <w:t>t</w:t>
            </w:r>
            <w:r w:rsidR="002656F8">
              <w:t>a</w:t>
            </w:r>
            <w:proofErr w:type="spellEnd"/>
          </w:p>
        </w:tc>
        <w:tc>
          <w:tcPr>
            <w:tcW w:w="2313" w:type="dxa"/>
          </w:tcPr>
          <w:p w14:paraId="73AB3B6C" w14:textId="035F5E8C" w:rsidR="008154ED" w:rsidRDefault="008154ED">
            <w:pPr>
              <w:rPr>
                <w:lang w:val="en-GB"/>
              </w:rPr>
            </w:pPr>
            <w:r>
              <w:t>Development of a social space and theatre</w:t>
            </w:r>
          </w:p>
        </w:tc>
        <w:tc>
          <w:tcPr>
            <w:tcW w:w="2268" w:type="dxa"/>
          </w:tcPr>
          <w:p w14:paraId="0B138471" w14:textId="20ABA68A" w:rsidR="008154ED" w:rsidRDefault="000906DF">
            <w:pPr>
              <w:rPr>
                <w:lang w:val="en-GB"/>
              </w:rPr>
            </w:pPr>
            <w:r>
              <w:rPr>
                <w:lang w:val="en-GB"/>
              </w:rPr>
              <w:t>Tallaght</w:t>
            </w:r>
          </w:p>
        </w:tc>
        <w:tc>
          <w:tcPr>
            <w:tcW w:w="2127" w:type="dxa"/>
          </w:tcPr>
          <w:p w14:paraId="06CC8D3D" w14:textId="30F37349" w:rsidR="008154ED" w:rsidRDefault="008154ED">
            <w:pPr>
              <w:rPr>
                <w:lang w:val="en-GB"/>
              </w:rPr>
            </w:pPr>
            <w:r>
              <w:t>€250,000</w:t>
            </w:r>
          </w:p>
        </w:tc>
      </w:tr>
      <w:tr w:rsidR="008154ED" w14:paraId="7D0D4B4D" w14:textId="77777777" w:rsidTr="002C1CBB">
        <w:tc>
          <w:tcPr>
            <w:tcW w:w="2218" w:type="dxa"/>
          </w:tcPr>
          <w:p w14:paraId="1A13CB2C" w14:textId="04373264" w:rsidR="008154ED" w:rsidRDefault="000906DF">
            <w:pPr>
              <w:rPr>
                <w:lang w:val="en-GB"/>
              </w:rPr>
            </w:pPr>
            <w:r>
              <w:t>JADD</w:t>
            </w:r>
          </w:p>
        </w:tc>
        <w:tc>
          <w:tcPr>
            <w:tcW w:w="2313" w:type="dxa"/>
          </w:tcPr>
          <w:p w14:paraId="04661208" w14:textId="28821640" w:rsidR="008154ED" w:rsidRDefault="000906DF">
            <w:pPr>
              <w:rPr>
                <w:lang w:val="en-GB"/>
              </w:rPr>
            </w:pPr>
            <w:r>
              <w:t>Outreach service Bus</w:t>
            </w:r>
          </w:p>
        </w:tc>
        <w:tc>
          <w:tcPr>
            <w:tcW w:w="2268" w:type="dxa"/>
          </w:tcPr>
          <w:p w14:paraId="5ACE757A" w14:textId="5A94EDA2" w:rsidR="008154ED" w:rsidRDefault="000906DF">
            <w:pPr>
              <w:rPr>
                <w:lang w:val="en-GB"/>
              </w:rPr>
            </w:pPr>
            <w:proofErr w:type="spellStart"/>
            <w:r>
              <w:rPr>
                <w:lang w:val="en-GB"/>
              </w:rPr>
              <w:t>Jobstown</w:t>
            </w:r>
            <w:proofErr w:type="spellEnd"/>
          </w:p>
        </w:tc>
        <w:tc>
          <w:tcPr>
            <w:tcW w:w="2127" w:type="dxa"/>
          </w:tcPr>
          <w:p w14:paraId="3D7DA87B" w14:textId="489704C3" w:rsidR="008154ED" w:rsidRDefault="000906DF">
            <w:pPr>
              <w:rPr>
                <w:lang w:val="en-GB"/>
              </w:rPr>
            </w:pPr>
            <w:r>
              <w:t>€80,000</w:t>
            </w:r>
          </w:p>
        </w:tc>
      </w:tr>
      <w:tr w:rsidR="008154ED" w14:paraId="450B6736" w14:textId="77777777" w:rsidTr="002C1CBB">
        <w:tc>
          <w:tcPr>
            <w:tcW w:w="2218" w:type="dxa"/>
          </w:tcPr>
          <w:p w14:paraId="020EB1CD" w14:textId="4C2D7244" w:rsidR="008154ED" w:rsidRDefault="000906DF">
            <w:pPr>
              <w:rPr>
                <w:lang w:val="en-GB"/>
              </w:rPr>
            </w:pPr>
            <w:r>
              <w:t>4 Districts day-care centre</w:t>
            </w:r>
          </w:p>
        </w:tc>
        <w:tc>
          <w:tcPr>
            <w:tcW w:w="2313" w:type="dxa"/>
          </w:tcPr>
          <w:p w14:paraId="08C7BD73" w14:textId="1240971E" w:rsidR="008154ED" w:rsidRDefault="000906DF">
            <w:pPr>
              <w:rPr>
                <w:lang w:val="en-GB"/>
              </w:rPr>
            </w:pPr>
            <w:r>
              <w:t xml:space="preserve">Purchase of </w:t>
            </w:r>
            <w:proofErr w:type="gramStart"/>
            <w:r>
              <w:t>Mini Bus</w:t>
            </w:r>
            <w:proofErr w:type="gramEnd"/>
          </w:p>
        </w:tc>
        <w:tc>
          <w:tcPr>
            <w:tcW w:w="2268" w:type="dxa"/>
          </w:tcPr>
          <w:p w14:paraId="71BB8C30" w14:textId="217456C8" w:rsidR="008154ED" w:rsidRDefault="000906DF">
            <w:pPr>
              <w:rPr>
                <w:lang w:val="en-GB"/>
              </w:rPr>
            </w:pPr>
            <w:r>
              <w:rPr>
                <w:lang w:val="en-GB"/>
              </w:rPr>
              <w:t>Rathcoole</w:t>
            </w:r>
          </w:p>
        </w:tc>
        <w:tc>
          <w:tcPr>
            <w:tcW w:w="2127" w:type="dxa"/>
          </w:tcPr>
          <w:p w14:paraId="42FE131A" w14:textId="51298C5C" w:rsidR="008154ED" w:rsidRDefault="000906DF">
            <w:pPr>
              <w:rPr>
                <w:lang w:val="en-GB"/>
              </w:rPr>
            </w:pPr>
            <w:r>
              <w:t>€60,000</w:t>
            </w:r>
          </w:p>
        </w:tc>
      </w:tr>
    </w:tbl>
    <w:p w14:paraId="432C3DFD" w14:textId="77777777" w:rsidR="008154ED" w:rsidRPr="00097ABA" w:rsidRDefault="008154ED">
      <w:pPr>
        <w:rPr>
          <w:b/>
          <w:bCs/>
          <w:lang w:val="en-GB"/>
        </w:rPr>
      </w:pPr>
    </w:p>
    <w:p w14:paraId="5DC917D6" w14:textId="77777777" w:rsidR="000906DF" w:rsidRPr="00097ABA" w:rsidRDefault="000906DF">
      <w:pPr>
        <w:rPr>
          <w:b/>
          <w:bCs/>
          <w:lang w:val="en-GB"/>
        </w:rPr>
      </w:pPr>
      <w:r w:rsidRPr="00097ABA">
        <w:rPr>
          <w:b/>
          <w:bCs/>
          <w:lang w:val="en-GB"/>
        </w:rPr>
        <w:t>Window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0906DF" w14:paraId="4401C437" w14:textId="77777777" w:rsidTr="000906DF">
        <w:tc>
          <w:tcPr>
            <w:tcW w:w="2254" w:type="dxa"/>
          </w:tcPr>
          <w:p w14:paraId="07E2C130" w14:textId="30AEE5AF" w:rsidR="000906DF" w:rsidRDefault="000906DF">
            <w:pPr>
              <w:rPr>
                <w:lang w:val="en-GB"/>
              </w:rPr>
            </w:pPr>
            <w:r>
              <w:t>Start Bright ELC</w:t>
            </w:r>
          </w:p>
        </w:tc>
        <w:tc>
          <w:tcPr>
            <w:tcW w:w="2254" w:type="dxa"/>
          </w:tcPr>
          <w:p w14:paraId="2119FB9F" w14:textId="6D34232A" w:rsidR="000906DF" w:rsidRDefault="000906DF">
            <w:pPr>
              <w:rPr>
                <w:lang w:val="en-GB"/>
              </w:rPr>
            </w:pPr>
            <w:r>
              <w:t>Outdoor play space enhancement</w:t>
            </w:r>
          </w:p>
        </w:tc>
        <w:tc>
          <w:tcPr>
            <w:tcW w:w="2254" w:type="dxa"/>
          </w:tcPr>
          <w:p w14:paraId="7CD6CA8A" w14:textId="54872248" w:rsidR="000906DF" w:rsidRDefault="000906DF">
            <w:pPr>
              <w:rPr>
                <w:lang w:val="en-GB"/>
              </w:rPr>
            </w:pPr>
            <w:r>
              <w:rPr>
                <w:lang w:val="en-GB"/>
              </w:rPr>
              <w:t>Clondalkin</w:t>
            </w:r>
          </w:p>
        </w:tc>
        <w:tc>
          <w:tcPr>
            <w:tcW w:w="2254" w:type="dxa"/>
          </w:tcPr>
          <w:p w14:paraId="572510C9" w14:textId="4A876FFD" w:rsidR="000906DF" w:rsidRDefault="000906DF">
            <w:pPr>
              <w:rPr>
                <w:lang w:val="en-GB"/>
              </w:rPr>
            </w:pPr>
            <w:r>
              <w:t>€82,713</w:t>
            </w:r>
          </w:p>
        </w:tc>
      </w:tr>
      <w:tr w:rsidR="000906DF" w14:paraId="6FE67781" w14:textId="77777777" w:rsidTr="000906DF">
        <w:tc>
          <w:tcPr>
            <w:tcW w:w="2254" w:type="dxa"/>
          </w:tcPr>
          <w:p w14:paraId="62880510" w14:textId="5AA48FBE" w:rsidR="000906DF" w:rsidRDefault="000906DF">
            <w:pPr>
              <w:rPr>
                <w:lang w:val="en-GB"/>
              </w:rPr>
            </w:pPr>
            <w:r>
              <w:t>Tallaght Athletic Club</w:t>
            </w:r>
          </w:p>
        </w:tc>
        <w:tc>
          <w:tcPr>
            <w:tcW w:w="2254" w:type="dxa"/>
          </w:tcPr>
          <w:p w14:paraId="17371CB8" w14:textId="723F5DEF" w:rsidR="000906DF" w:rsidRDefault="000906DF">
            <w:pPr>
              <w:rPr>
                <w:lang w:val="en-GB"/>
              </w:rPr>
            </w:pPr>
            <w:r>
              <w:t>Energy efficient LED flood lighting</w:t>
            </w:r>
          </w:p>
        </w:tc>
        <w:tc>
          <w:tcPr>
            <w:tcW w:w="2254" w:type="dxa"/>
          </w:tcPr>
          <w:p w14:paraId="38557385" w14:textId="45923B99" w:rsidR="000906DF" w:rsidRDefault="000906DF">
            <w:pPr>
              <w:rPr>
                <w:lang w:val="en-GB"/>
              </w:rPr>
            </w:pPr>
            <w:r>
              <w:rPr>
                <w:lang w:val="en-GB"/>
              </w:rPr>
              <w:t>Tallaght</w:t>
            </w:r>
          </w:p>
        </w:tc>
        <w:tc>
          <w:tcPr>
            <w:tcW w:w="2254" w:type="dxa"/>
          </w:tcPr>
          <w:p w14:paraId="413D8364" w14:textId="1F2962BC" w:rsidR="000906DF" w:rsidRDefault="000906DF">
            <w:pPr>
              <w:rPr>
                <w:lang w:val="en-GB"/>
              </w:rPr>
            </w:pPr>
            <w:r>
              <w:t>€120,310</w:t>
            </w:r>
          </w:p>
        </w:tc>
      </w:tr>
      <w:tr w:rsidR="000906DF" w14:paraId="161D2470" w14:textId="77777777" w:rsidTr="000906DF">
        <w:tc>
          <w:tcPr>
            <w:tcW w:w="2254" w:type="dxa"/>
          </w:tcPr>
          <w:p w14:paraId="417B14CB" w14:textId="1737C706" w:rsidR="000906DF" w:rsidRDefault="000906DF">
            <w:pPr>
              <w:rPr>
                <w:lang w:val="en-GB"/>
              </w:rPr>
            </w:pPr>
            <w:r>
              <w:t>St Francis FC</w:t>
            </w:r>
          </w:p>
        </w:tc>
        <w:tc>
          <w:tcPr>
            <w:tcW w:w="2254" w:type="dxa"/>
          </w:tcPr>
          <w:p w14:paraId="29D986F7" w14:textId="548224F8" w:rsidR="000906DF" w:rsidRDefault="000906DF">
            <w:pPr>
              <w:rPr>
                <w:lang w:val="en-GB"/>
              </w:rPr>
            </w:pPr>
            <w:r>
              <w:t>Full-size all-weather pitch</w:t>
            </w:r>
          </w:p>
        </w:tc>
        <w:tc>
          <w:tcPr>
            <w:tcW w:w="2254" w:type="dxa"/>
          </w:tcPr>
          <w:p w14:paraId="191B75B1" w14:textId="6BA78675" w:rsidR="000906DF" w:rsidRDefault="000906DF">
            <w:pPr>
              <w:rPr>
                <w:lang w:val="en-GB"/>
              </w:rPr>
            </w:pPr>
            <w:r>
              <w:rPr>
                <w:lang w:val="en-GB"/>
              </w:rPr>
              <w:t>Clondalkin</w:t>
            </w:r>
          </w:p>
        </w:tc>
        <w:tc>
          <w:tcPr>
            <w:tcW w:w="2254" w:type="dxa"/>
          </w:tcPr>
          <w:p w14:paraId="4D7ED779" w14:textId="1D94F244" w:rsidR="000906DF" w:rsidRDefault="000906DF">
            <w:pPr>
              <w:rPr>
                <w:lang w:val="en-GB"/>
              </w:rPr>
            </w:pPr>
            <w:r>
              <w:t>€350,000</w:t>
            </w:r>
          </w:p>
        </w:tc>
      </w:tr>
      <w:tr w:rsidR="000906DF" w14:paraId="3C44052B" w14:textId="77777777" w:rsidTr="000906DF">
        <w:tc>
          <w:tcPr>
            <w:tcW w:w="2254" w:type="dxa"/>
          </w:tcPr>
          <w:p w14:paraId="64A9DABA" w14:textId="143B8936" w:rsidR="000906DF" w:rsidRDefault="000906DF">
            <w:pPr>
              <w:rPr>
                <w:lang w:val="en-GB"/>
              </w:rPr>
            </w:pPr>
            <w:r>
              <w:t>South Dublin County Partnership</w:t>
            </w:r>
          </w:p>
        </w:tc>
        <w:tc>
          <w:tcPr>
            <w:tcW w:w="2254" w:type="dxa"/>
          </w:tcPr>
          <w:p w14:paraId="6338EE8E" w14:textId="481321CC" w:rsidR="000906DF" w:rsidRDefault="000906DF">
            <w:pPr>
              <w:rPr>
                <w:lang w:val="en-GB"/>
              </w:rPr>
            </w:pPr>
            <w:r>
              <w:rPr>
                <w:lang w:val="en-GB"/>
              </w:rPr>
              <w:t>Intercultural centre</w:t>
            </w:r>
          </w:p>
        </w:tc>
        <w:tc>
          <w:tcPr>
            <w:tcW w:w="2254" w:type="dxa"/>
          </w:tcPr>
          <w:p w14:paraId="1A24A763" w14:textId="3BAB2CF0" w:rsidR="000906DF" w:rsidRDefault="000906DF">
            <w:pPr>
              <w:rPr>
                <w:lang w:val="en-GB"/>
              </w:rPr>
            </w:pPr>
            <w:r>
              <w:rPr>
                <w:lang w:val="en-GB"/>
              </w:rPr>
              <w:t>Tallaght</w:t>
            </w:r>
          </w:p>
        </w:tc>
        <w:tc>
          <w:tcPr>
            <w:tcW w:w="2254" w:type="dxa"/>
          </w:tcPr>
          <w:p w14:paraId="0B3646BA" w14:textId="222A9001" w:rsidR="000906DF" w:rsidRDefault="000906DF">
            <w:pPr>
              <w:rPr>
                <w:lang w:val="en-GB"/>
              </w:rPr>
            </w:pPr>
            <w:r>
              <w:t>€120,000</w:t>
            </w:r>
          </w:p>
        </w:tc>
      </w:tr>
      <w:tr w:rsidR="000906DF" w14:paraId="7B4E0437" w14:textId="77777777" w:rsidTr="000906DF">
        <w:tc>
          <w:tcPr>
            <w:tcW w:w="2254" w:type="dxa"/>
          </w:tcPr>
          <w:p w14:paraId="12D1399D" w14:textId="1E595AE9" w:rsidR="000906DF" w:rsidRDefault="000906DF">
            <w:pPr>
              <w:rPr>
                <w:lang w:val="en-GB"/>
              </w:rPr>
            </w:pPr>
            <w:proofErr w:type="spellStart"/>
            <w:r>
              <w:lastRenderedPageBreak/>
              <w:t>Kilnamanagh</w:t>
            </w:r>
            <w:proofErr w:type="spellEnd"/>
            <w:r>
              <w:t xml:space="preserve"> AFC</w:t>
            </w:r>
          </w:p>
        </w:tc>
        <w:tc>
          <w:tcPr>
            <w:tcW w:w="2254" w:type="dxa"/>
          </w:tcPr>
          <w:p w14:paraId="7F9C0862" w14:textId="7D03EB49" w:rsidR="000906DF" w:rsidRDefault="000906DF">
            <w:pPr>
              <w:rPr>
                <w:lang w:val="en-GB"/>
              </w:rPr>
            </w:pPr>
            <w:r>
              <w:t>Clubhouse &amp; external training area</w:t>
            </w:r>
          </w:p>
        </w:tc>
        <w:tc>
          <w:tcPr>
            <w:tcW w:w="2254" w:type="dxa"/>
          </w:tcPr>
          <w:p w14:paraId="1FFA9B54" w14:textId="75B267CE" w:rsidR="000906DF" w:rsidRDefault="000906DF">
            <w:pPr>
              <w:rPr>
                <w:lang w:val="en-GB"/>
              </w:rPr>
            </w:pPr>
            <w:r>
              <w:rPr>
                <w:lang w:val="en-GB"/>
              </w:rPr>
              <w:t>Tallaght</w:t>
            </w:r>
          </w:p>
        </w:tc>
        <w:tc>
          <w:tcPr>
            <w:tcW w:w="2254" w:type="dxa"/>
          </w:tcPr>
          <w:p w14:paraId="6C25A594" w14:textId="1B1A7AE0" w:rsidR="000906DF" w:rsidRDefault="000906DF">
            <w:pPr>
              <w:rPr>
                <w:lang w:val="en-GB"/>
              </w:rPr>
            </w:pPr>
            <w:r>
              <w:t>€100,000</w:t>
            </w:r>
          </w:p>
        </w:tc>
      </w:tr>
      <w:tr w:rsidR="000906DF" w14:paraId="045E8ABF" w14:textId="77777777" w:rsidTr="000906DF">
        <w:tc>
          <w:tcPr>
            <w:tcW w:w="2254" w:type="dxa"/>
          </w:tcPr>
          <w:p w14:paraId="19E7A7C2" w14:textId="58B49B72" w:rsidR="000906DF" w:rsidRDefault="000906DF">
            <w:proofErr w:type="spellStart"/>
            <w:r>
              <w:t>Crosscare</w:t>
            </w:r>
            <w:proofErr w:type="spellEnd"/>
            <w:r>
              <w:t xml:space="preserve"> Ucan Project YDP</w:t>
            </w:r>
          </w:p>
        </w:tc>
        <w:tc>
          <w:tcPr>
            <w:tcW w:w="2254" w:type="dxa"/>
          </w:tcPr>
          <w:p w14:paraId="671B809C" w14:textId="3441CEB4" w:rsidR="000906DF" w:rsidRDefault="000906DF">
            <w:pPr>
              <w:rPr>
                <w:lang w:val="en-GB"/>
              </w:rPr>
            </w:pPr>
            <w:r>
              <w:t>Ucan project expansion</w:t>
            </w:r>
          </w:p>
        </w:tc>
        <w:tc>
          <w:tcPr>
            <w:tcW w:w="2254" w:type="dxa"/>
          </w:tcPr>
          <w:p w14:paraId="2521D749" w14:textId="17A5D6A7" w:rsidR="000906DF" w:rsidRDefault="000906DF">
            <w:pPr>
              <w:rPr>
                <w:lang w:val="en-GB"/>
              </w:rPr>
            </w:pPr>
            <w:r>
              <w:rPr>
                <w:lang w:val="en-GB"/>
              </w:rPr>
              <w:t>Lucan</w:t>
            </w:r>
          </w:p>
        </w:tc>
        <w:tc>
          <w:tcPr>
            <w:tcW w:w="2254" w:type="dxa"/>
          </w:tcPr>
          <w:p w14:paraId="1E4CD39A" w14:textId="53196BA5" w:rsidR="000906DF" w:rsidRDefault="000906DF">
            <w:pPr>
              <w:rPr>
                <w:lang w:val="en-GB"/>
              </w:rPr>
            </w:pPr>
            <w:r>
              <w:t>€132,000</w:t>
            </w:r>
          </w:p>
        </w:tc>
      </w:tr>
      <w:tr w:rsidR="000906DF" w14:paraId="70000ADB" w14:textId="77777777" w:rsidTr="000906DF">
        <w:tc>
          <w:tcPr>
            <w:tcW w:w="2254" w:type="dxa"/>
          </w:tcPr>
          <w:p w14:paraId="224649A0" w14:textId="2E22718F" w:rsidR="000906DF" w:rsidRDefault="000906DF">
            <w:r>
              <w:t>South Dublin County Council</w:t>
            </w:r>
          </w:p>
        </w:tc>
        <w:tc>
          <w:tcPr>
            <w:tcW w:w="2254" w:type="dxa"/>
          </w:tcPr>
          <w:p w14:paraId="7D834B2C" w14:textId="02CD9420" w:rsidR="000906DF" w:rsidRDefault="000906DF">
            <w:pPr>
              <w:rPr>
                <w:lang w:val="en-GB"/>
              </w:rPr>
            </w:pPr>
            <w:r>
              <w:t>New path, public lighting and railing</w:t>
            </w:r>
          </w:p>
        </w:tc>
        <w:tc>
          <w:tcPr>
            <w:tcW w:w="2254" w:type="dxa"/>
          </w:tcPr>
          <w:p w14:paraId="30E7E533" w14:textId="6DA7F06A" w:rsidR="000906DF" w:rsidRDefault="000906DF">
            <w:pPr>
              <w:rPr>
                <w:lang w:val="en-GB"/>
              </w:rPr>
            </w:pPr>
            <w:r>
              <w:rPr>
                <w:lang w:val="en-GB"/>
              </w:rPr>
              <w:t>Lucan</w:t>
            </w:r>
          </w:p>
        </w:tc>
        <w:tc>
          <w:tcPr>
            <w:tcW w:w="2254" w:type="dxa"/>
          </w:tcPr>
          <w:p w14:paraId="4B50A613" w14:textId="0838180F" w:rsidR="000906DF" w:rsidRDefault="000906DF">
            <w:pPr>
              <w:rPr>
                <w:lang w:val="en-GB"/>
              </w:rPr>
            </w:pPr>
            <w:r>
              <w:t>€56,000</w:t>
            </w:r>
          </w:p>
        </w:tc>
      </w:tr>
    </w:tbl>
    <w:p w14:paraId="405DE50D" w14:textId="3C3BD0E1" w:rsidR="000906DF" w:rsidRDefault="000906DF">
      <w:pPr>
        <w:rPr>
          <w:lang w:val="en-GB"/>
        </w:rPr>
      </w:pPr>
    </w:p>
    <w:p w14:paraId="6EFBADBB" w14:textId="77777777" w:rsidR="000906DF" w:rsidRDefault="000906DF">
      <w:pPr>
        <w:rPr>
          <w:lang w:val="en-GB"/>
        </w:rPr>
      </w:pPr>
    </w:p>
    <w:p w14:paraId="5BFA6935" w14:textId="77777777" w:rsidR="00097ABA" w:rsidRDefault="00097ABA">
      <w:pPr>
        <w:rPr>
          <w:lang w:val="en-GB"/>
        </w:rPr>
      </w:pPr>
    </w:p>
    <w:p w14:paraId="79C70D83" w14:textId="77777777" w:rsidR="00097ABA" w:rsidRDefault="00097ABA">
      <w:pPr>
        <w:rPr>
          <w:lang w:val="en-GB"/>
        </w:rPr>
      </w:pPr>
    </w:p>
    <w:p w14:paraId="1127626F" w14:textId="77777777" w:rsidR="00097ABA" w:rsidRDefault="00097ABA">
      <w:pPr>
        <w:rPr>
          <w:lang w:val="en-GB"/>
        </w:rPr>
      </w:pPr>
    </w:p>
    <w:p w14:paraId="77728BC1" w14:textId="77777777" w:rsidR="00097ABA" w:rsidRDefault="00097ABA">
      <w:pPr>
        <w:rPr>
          <w:lang w:val="en-GB"/>
        </w:rPr>
      </w:pPr>
    </w:p>
    <w:p w14:paraId="41A4ABB1" w14:textId="77777777" w:rsidR="00097ABA" w:rsidRDefault="00097ABA">
      <w:pPr>
        <w:rPr>
          <w:lang w:val="en-GB"/>
        </w:rPr>
      </w:pPr>
    </w:p>
    <w:p w14:paraId="023207C1" w14:textId="77777777" w:rsidR="00097ABA" w:rsidRDefault="00097ABA">
      <w:pPr>
        <w:rPr>
          <w:lang w:val="en-GB"/>
        </w:rPr>
      </w:pPr>
    </w:p>
    <w:p w14:paraId="6C5F2C9A" w14:textId="4A2CE2D1" w:rsidR="00097ABA" w:rsidRPr="008154ED" w:rsidRDefault="00097ABA">
      <w:pPr>
        <w:rPr>
          <w:lang w:val="en-GB"/>
        </w:rPr>
      </w:pPr>
    </w:p>
    <w:sectPr w:rsidR="00097ABA" w:rsidRPr="008154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4ED"/>
    <w:rsid w:val="000906DF"/>
    <w:rsid w:val="00097ABA"/>
    <w:rsid w:val="000D4EA5"/>
    <w:rsid w:val="000E28AD"/>
    <w:rsid w:val="002656F8"/>
    <w:rsid w:val="00293178"/>
    <w:rsid w:val="00297557"/>
    <w:rsid w:val="002C1CBB"/>
    <w:rsid w:val="0040065B"/>
    <w:rsid w:val="00404B6C"/>
    <w:rsid w:val="004867E3"/>
    <w:rsid w:val="00675A86"/>
    <w:rsid w:val="008154ED"/>
    <w:rsid w:val="00885191"/>
    <w:rsid w:val="00A20CC5"/>
    <w:rsid w:val="00B337EB"/>
    <w:rsid w:val="00CC2903"/>
    <w:rsid w:val="00E67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AED94"/>
  <w15:chartTrackingRefBased/>
  <w15:docId w15:val="{A3C5F8D1-5CA7-4D3B-8AD6-65238F5CB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154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154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154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154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54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54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154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154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54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54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154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154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154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54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54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154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154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54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154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154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154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154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154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154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154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154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154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154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154E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154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5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56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80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3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Nicoletta Coppola</dc:creator>
  <cp:keywords/>
  <dc:description/>
  <cp:lastModifiedBy>Edel Clancy</cp:lastModifiedBy>
  <cp:revision>3</cp:revision>
  <dcterms:created xsi:type="dcterms:W3CDTF">2025-04-15T09:33:00Z</dcterms:created>
  <dcterms:modified xsi:type="dcterms:W3CDTF">2025-04-15T09:40:00Z</dcterms:modified>
</cp:coreProperties>
</file>