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69BE"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A guide to Planning Enforcement</w:t>
      </w:r>
    </w:p>
    <w:p w14:paraId="36D80176"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b/>
          <w:bCs/>
          <w:color w:val="000000"/>
          <w:kern w:val="0"/>
          <w:sz w:val="24"/>
          <w:szCs w:val="24"/>
          <w:lang w:eastAsia="en-IE"/>
          <w14:ligatures w14:val="none"/>
        </w:rPr>
        <w:t>Statutory Basis:</w:t>
      </w:r>
    </w:p>
    <w:p w14:paraId="17BCD96C"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 xml:space="preserve">Planning enforcement is currently legislated under Part VIII of the Planning and Development Act 2000 AS AMENDED </w:t>
      </w:r>
      <w:proofErr w:type="gramStart"/>
      <w:r w:rsidRPr="00082ACB">
        <w:rPr>
          <w:rFonts w:ascii="Verdana" w:eastAsia="Times New Roman" w:hAnsi="Verdana" w:cs="Times New Roman"/>
          <w:color w:val="000000"/>
          <w:kern w:val="0"/>
          <w:sz w:val="24"/>
          <w:szCs w:val="24"/>
          <w:lang w:eastAsia="en-IE"/>
          <w14:ligatures w14:val="none"/>
        </w:rPr>
        <w:t>( soon</w:t>
      </w:r>
      <w:proofErr w:type="gramEnd"/>
      <w:r w:rsidRPr="00082ACB">
        <w:rPr>
          <w:rFonts w:ascii="Verdana" w:eastAsia="Times New Roman" w:hAnsi="Verdana" w:cs="Times New Roman"/>
          <w:color w:val="000000"/>
          <w:kern w:val="0"/>
          <w:sz w:val="24"/>
          <w:szCs w:val="24"/>
          <w:lang w:eastAsia="en-IE"/>
          <w14:ligatures w14:val="none"/>
        </w:rPr>
        <w:t xml:space="preserve"> to be replaced by Part 11 of the Planning and Development Act 2024.</w:t>
      </w:r>
    </w:p>
    <w:p w14:paraId="42EDB7A3"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The effectiveness of planning legislation to plan for and manage the development of urban and rural areas is dependent on an enforcement system that can enforce breaches of planning control speedily and efficiently.</w:t>
      </w:r>
    </w:p>
    <w:p w14:paraId="34AAB2EB" w14:textId="5850AA8B"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b/>
          <w:bCs/>
          <w:color w:val="000000"/>
          <w:kern w:val="0"/>
          <w:sz w:val="24"/>
          <w:szCs w:val="24"/>
          <w:lang w:eastAsia="en-IE"/>
          <w14:ligatures w14:val="none"/>
        </w:rPr>
        <w:t xml:space="preserve">Planning </w:t>
      </w:r>
      <w:r>
        <w:rPr>
          <w:rFonts w:ascii="Verdana" w:eastAsia="Times New Roman" w:hAnsi="Verdana" w:cs="Times New Roman"/>
          <w:b/>
          <w:bCs/>
          <w:color w:val="000000"/>
          <w:kern w:val="0"/>
          <w:sz w:val="24"/>
          <w:szCs w:val="24"/>
          <w:lang w:eastAsia="en-IE"/>
          <w14:ligatures w14:val="none"/>
        </w:rPr>
        <w:t>E</w:t>
      </w:r>
      <w:r w:rsidRPr="00082ACB">
        <w:rPr>
          <w:rFonts w:ascii="Verdana" w:eastAsia="Times New Roman" w:hAnsi="Verdana" w:cs="Times New Roman"/>
          <w:b/>
          <w:bCs/>
          <w:color w:val="000000"/>
          <w:kern w:val="0"/>
          <w:sz w:val="24"/>
          <w:szCs w:val="24"/>
          <w:lang w:eastAsia="en-IE"/>
          <w14:ligatures w14:val="none"/>
        </w:rPr>
        <w:t>nforcement</w:t>
      </w:r>
      <w:r w:rsidRPr="00082ACB">
        <w:rPr>
          <w:rFonts w:ascii="Verdana" w:eastAsia="Times New Roman" w:hAnsi="Verdana" w:cs="Times New Roman"/>
          <w:color w:val="000000"/>
          <w:kern w:val="0"/>
          <w:sz w:val="24"/>
          <w:szCs w:val="24"/>
          <w:lang w:eastAsia="en-IE"/>
          <w14:ligatures w14:val="none"/>
        </w:rPr>
        <w:t xml:space="preserve"> should seek:</w:t>
      </w:r>
    </w:p>
    <w:p w14:paraId="139EBEE2" w14:textId="77777777" w:rsidR="00082ACB" w:rsidRPr="00082ACB" w:rsidRDefault="00082ACB" w:rsidP="00082ACB">
      <w:pPr>
        <w:numPr>
          <w:ilvl w:val="0"/>
          <w:numId w:val="1"/>
        </w:num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 xml:space="preserve">that planning permissions and any conditions attached to the permissions are complied </w:t>
      </w:r>
      <w:proofErr w:type="gramStart"/>
      <w:r w:rsidRPr="00082ACB">
        <w:rPr>
          <w:rFonts w:ascii="Verdana" w:eastAsia="Times New Roman" w:hAnsi="Verdana" w:cs="Times New Roman"/>
          <w:color w:val="000000"/>
          <w:kern w:val="0"/>
          <w:sz w:val="24"/>
          <w:szCs w:val="24"/>
          <w:lang w:eastAsia="en-IE"/>
          <w14:ligatures w14:val="none"/>
        </w:rPr>
        <w:t>with;</w:t>
      </w:r>
      <w:proofErr w:type="gramEnd"/>
    </w:p>
    <w:p w14:paraId="4C0DB1F4" w14:textId="77777777" w:rsidR="00082ACB" w:rsidRPr="00082ACB" w:rsidRDefault="00082ACB" w:rsidP="00082ACB">
      <w:pPr>
        <w:numPr>
          <w:ilvl w:val="0"/>
          <w:numId w:val="1"/>
        </w:num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that, insofar as is practicable, any land is restored to its condition prior to any unauthorised development having taken place; and</w:t>
      </w:r>
    </w:p>
    <w:p w14:paraId="4470ACEA" w14:textId="77777777" w:rsidR="00082ACB" w:rsidRPr="00082ACB" w:rsidRDefault="00082ACB" w:rsidP="00082ACB">
      <w:pPr>
        <w:numPr>
          <w:ilvl w:val="0"/>
          <w:numId w:val="1"/>
        </w:num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to address breaches of planning control which would have an unacceptable impact on the amenities of an area</w:t>
      </w:r>
    </w:p>
    <w:p w14:paraId="04C87234" w14:textId="18D1D962" w:rsidR="00082ACB" w:rsidRDefault="00082ACB" w:rsidP="00082ACB">
      <w:pPr>
        <w:spacing w:before="100" w:beforeAutospacing="1" w:after="100" w:afterAutospacing="1" w:line="240" w:lineRule="auto"/>
        <w:rPr>
          <w:rFonts w:ascii="Verdana" w:eastAsia="Times New Roman" w:hAnsi="Verdana" w:cs="Times New Roman"/>
          <w:b/>
          <w:bCs/>
          <w:color w:val="000000"/>
          <w:kern w:val="0"/>
          <w:sz w:val="24"/>
          <w:szCs w:val="24"/>
          <w:lang w:eastAsia="en-IE"/>
          <w14:ligatures w14:val="none"/>
        </w:rPr>
      </w:pPr>
      <w:r>
        <w:rPr>
          <w:rFonts w:ascii="Verdana" w:eastAsia="Times New Roman" w:hAnsi="Verdana" w:cs="Times New Roman"/>
          <w:b/>
          <w:bCs/>
          <w:color w:val="000000"/>
          <w:kern w:val="0"/>
          <w:sz w:val="24"/>
          <w:szCs w:val="24"/>
          <w:lang w:eastAsia="en-IE"/>
          <w14:ligatures w14:val="none"/>
        </w:rPr>
        <w:t>Unauthorised:</w:t>
      </w:r>
    </w:p>
    <w:p w14:paraId="31A66D97" w14:textId="60039719"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“U</w:t>
      </w:r>
      <w:r w:rsidRPr="00082ACB">
        <w:rPr>
          <w:rFonts w:ascii="Verdana" w:eastAsia="Times New Roman" w:hAnsi="Verdana" w:cs="Times New Roman"/>
          <w:b/>
          <w:bCs/>
          <w:color w:val="000000"/>
          <w:kern w:val="0"/>
          <w:sz w:val="24"/>
          <w:szCs w:val="24"/>
          <w:lang w:eastAsia="en-IE"/>
          <w14:ligatures w14:val="none"/>
        </w:rPr>
        <w:t>nauthorised development</w:t>
      </w:r>
      <w:r w:rsidRPr="00082ACB">
        <w:rPr>
          <w:rFonts w:ascii="Verdana" w:eastAsia="Times New Roman" w:hAnsi="Verdana" w:cs="Times New Roman"/>
          <w:color w:val="000000"/>
          <w:kern w:val="0"/>
          <w:sz w:val="24"/>
          <w:szCs w:val="24"/>
          <w:lang w:eastAsia="en-IE"/>
          <w14:ligatures w14:val="none"/>
        </w:rPr>
        <w:t xml:space="preserve">” means, in relation to land, the carrying out of any unauthorised works (including the construction, erection or making of any unauthorised structure) or the making of any unauthorised </w:t>
      </w:r>
      <w:proofErr w:type="gramStart"/>
      <w:r w:rsidRPr="00082ACB">
        <w:rPr>
          <w:rFonts w:ascii="Verdana" w:eastAsia="Times New Roman" w:hAnsi="Verdana" w:cs="Times New Roman"/>
          <w:color w:val="000000"/>
          <w:kern w:val="0"/>
          <w:sz w:val="24"/>
          <w:szCs w:val="24"/>
          <w:lang w:eastAsia="en-IE"/>
          <w14:ligatures w14:val="none"/>
        </w:rPr>
        <w:t>use;</w:t>
      </w:r>
      <w:proofErr w:type="gramEnd"/>
    </w:p>
    <w:p w14:paraId="58C718DD"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b/>
          <w:bCs/>
          <w:color w:val="000000"/>
          <w:kern w:val="0"/>
          <w:sz w:val="24"/>
          <w:szCs w:val="24"/>
          <w:lang w:eastAsia="en-IE"/>
          <w14:ligatures w14:val="none"/>
        </w:rPr>
        <w:t>“Unauthorised structure”</w:t>
      </w:r>
      <w:r w:rsidRPr="00082ACB">
        <w:rPr>
          <w:rFonts w:ascii="Verdana" w:eastAsia="Times New Roman" w:hAnsi="Verdana" w:cs="Times New Roman"/>
          <w:color w:val="000000"/>
          <w:kern w:val="0"/>
          <w:sz w:val="24"/>
          <w:szCs w:val="24"/>
          <w:lang w:eastAsia="en-IE"/>
          <w14:ligatures w14:val="none"/>
        </w:rPr>
        <w:t> means a structure other than— (a) a structure which was in existence on 1 October 1964, or (b) a structure, the construction, erection or making of which was the subject of a permission for development granted under Part IV of the Act of 1963 or deemed to be such under section 92 of that Act or under section 34, 37G or 37N or 293 of the 2000 Act, being a permission which has not been revoked, or which exists as a result of the carrying out of exempted development (within the meaning of section 4 of the Act of 1963 or section 4 of the 2000 Act).</w:t>
      </w:r>
    </w:p>
    <w:p w14:paraId="6911BC69"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b/>
          <w:bCs/>
          <w:color w:val="000000"/>
          <w:kern w:val="0"/>
          <w:sz w:val="24"/>
          <w:szCs w:val="24"/>
          <w:lang w:eastAsia="en-IE"/>
          <w14:ligatures w14:val="none"/>
        </w:rPr>
        <w:t>“Unauthorised use”</w:t>
      </w:r>
      <w:r w:rsidRPr="00082ACB">
        <w:rPr>
          <w:rFonts w:ascii="Verdana" w:eastAsia="Times New Roman" w:hAnsi="Verdana" w:cs="Times New Roman"/>
          <w:color w:val="000000"/>
          <w:kern w:val="0"/>
          <w:sz w:val="24"/>
          <w:szCs w:val="24"/>
          <w:lang w:eastAsia="en-IE"/>
          <w14:ligatures w14:val="none"/>
        </w:rPr>
        <w:t> means, in relation to land, use commenced on or after 1 October 1964, being a use which is a material change in use of any structure or other land and being development other than—</w:t>
      </w:r>
    </w:p>
    <w:p w14:paraId="6875F816"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(a) exempted development (within the meaning of section 4 of the Act of 1963 or section 4 of the 2000 Act), or</w:t>
      </w:r>
    </w:p>
    <w:p w14:paraId="10BB4C12"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 xml:space="preserve">(b) development which is the subject of a permission granted under Part IV of the Act of 1963 or under section 34, 37G, 37N or 293 of the 2000 </w:t>
      </w:r>
      <w:r w:rsidRPr="00082ACB">
        <w:rPr>
          <w:rFonts w:ascii="Verdana" w:eastAsia="Times New Roman" w:hAnsi="Verdana" w:cs="Times New Roman"/>
          <w:color w:val="000000"/>
          <w:kern w:val="0"/>
          <w:sz w:val="24"/>
          <w:szCs w:val="24"/>
          <w:lang w:eastAsia="en-IE"/>
          <w14:ligatures w14:val="none"/>
        </w:rPr>
        <w:lastRenderedPageBreak/>
        <w:t>Act, being a permission which has not been revoked, and which is carried out in compliance with that permission or any condition to which that permission is subject.</w:t>
      </w:r>
    </w:p>
    <w:p w14:paraId="7C620D7A"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b/>
          <w:bCs/>
          <w:color w:val="000000"/>
          <w:kern w:val="0"/>
          <w:sz w:val="24"/>
          <w:szCs w:val="24"/>
          <w:lang w:eastAsia="en-IE"/>
          <w14:ligatures w14:val="none"/>
        </w:rPr>
        <w:t>“Unauthorised works”</w:t>
      </w:r>
      <w:r w:rsidRPr="00082ACB">
        <w:rPr>
          <w:rFonts w:ascii="Verdana" w:eastAsia="Times New Roman" w:hAnsi="Verdana" w:cs="Times New Roman"/>
          <w:color w:val="000000"/>
          <w:kern w:val="0"/>
          <w:sz w:val="24"/>
          <w:szCs w:val="24"/>
          <w:lang w:eastAsia="en-IE"/>
          <w14:ligatures w14:val="none"/>
        </w:rPr>
        <w:t> means any works on, in, over or under land commenced on or after 1 October 1964, being development other than—</w:t>
      </w:r>
    </w:p>
    <w:p w14:paraId="58ABF156"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(a) exempted development (within the meaning of section 4 of the Act of 1963 or section 4 of the 2000 Act), or</w:t>
      </w:r>
    </w:p>
    <w:p w14:paraId="57565F5C"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(b) development which is the subject of a permission granted under Part IV of the Act of 1963 or under section 34, 37G, 37N or 293 of the 2000 Act, being a permission which has not been revoked, and which is carried out in compliance with that permission or any condition to which that permission is subject</w:t>
      </w:r>
    </w:p>
    <w:p w14:paraId="27953493"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b/>
          <w:bCs/>
          <w:color w:val="000000"/>
          <w:kern w:val="0"/>
          <w:sz w:val="24"/>
          <w:szCs w:val="24"/>
          <w:lang w:eastAsia="en-IE"/>
          <w14:ligatures w14:val="none"/>
        </w:rPr>
        <w:t>Process &amp; Procedure</w:t>
      </w:r>
    </w:p>
    <w:p w14:paraId="220EB150"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The legislation sets processes and procedures, including statutory time limits for enforcement proceedings within which complaints of planning infringements must be investigated. It establishes a common procedure for all type of planning offence – issue of a Warning Letter, service of an Enforcement Notice and institution of legal proceedings.</w:t>
      </w:r>
    </w:p>
    <w:p w14:paraId="28B50F99"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Where a </w:t>
      </w:r>
      <w:r w:rsidRPr="00082ACB">
        <w:rPr>
          <w:rFonts w:ascii="Verdana" w:eastAsia="Times New Roman" w:hAnsi="Verdana" w:cs="Times New Roman"/>
          <w:b/>
          <w:bCs/>
          <w:color w:val="000000"/>
          <w:kern w:val="0"/>
          <w:sz w:val="24"/>
          <w:szCs w:val="24"/>
          <w:lang w:eastAsia="en-IE"/>
          <w14:ligatures w14:val="none"/>
        </w:rPr>
        <w:t>"Warning Letter"</w:t>
      </w:r>
      <w:r w:rsidRPr="00082ACB">
        <w:rPr>
          <w:rFonts w:ascii="Verdana" w:eastAsia="Times New Roman" w:hAnsi="Verdana" w:cs="Times New Roman"/>
          <w:color w:val="000000"/>
          <w:kern w:val="0"/>
          <w:sz w:val="24"/>
          <w:szCs w:val="24"/>
          <w:lang w:eastAsia="en-IE"/>
          <w14:ligatures w14:val="none"/>
        </w:rPr>
        <w:t xml:space="preserve"> (S.152) has been issued, the planning authority affords the recipient a statutory </w:t>
      </w:r>
      <w:proofErr w:type="gramStart"/>
      <w:r w:rsidRPr="00082ACB">
        <w:rPr>
          <w:rFonts w:ascii="Verdana" w:eastAsia="Times New Roman" w:hAnsi="Verdana" w:cs="Times New Roman"/>
          <w:color w:val="000000"/>
          <w:kern w:val="0"/>
          <w:sz w:val="24"/>
          <w:szCs w:val="24"/>
          <w:lang w:eastAsia="en-IE"/>
          <w14:ligatures w14:val="none"/>
        </w:rPr>
        <w:t>four week</w:t>
      </w:r>
      <w:proofErr w:type="gramEnd"/>
      <w:r w:rsidRPr="00082ACB">
        <w:rPr>
          <w:rFonts w:ascii="Verdana" w:eastAsia="Times New Roman" w:hAnsi="Verdana" w:cs="Times New Roman"/>
          <w:color w:val="000000"/>
          <w:kern w:val="0"/>
          <w:sz w:val="24"/>
          <w:szCs w:val="24"/>
          <w:lang w:eastAsia="en-IE"/>
          <w14:ligatures w14:val="none"/>
        </w:rPr>
        <w:t xml:space="preserve"> period to respond and must carry out an investigation into the alleged unauthorised development. If the planning authority determines that unauthorised development has taken place, it must also determine whether the requirements of the warning letter have been met before taking further action.</w:t>
      </w:r>
    </w:p>
    <w:p w14:paraId="452429A3"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The planning authority should, where possible, make its decision on further action within 12 weeks of sending the warning letter. Further action will normally take the form of an enforcement notice requiring the person concerned to rectify the situation.</w:t>
      </w:r>
    </w:p>
    <w:p w14:paraId="175E2FE1"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An </w:t>
      </w:r>
      <w:r w:rsidRPr="00082ACB">
        <w:rPr>
          <w:rFonts w:ascii="Verdana" w:eastAsia="Times New Roman" w:hAnsi="Verdana" w:cs="Times New Roman"/>
          <w:b/>
          <w:bCs/>
          <w:color w:val="000000"/>
          <w:kern w:val="0"/>
          <w:sz w:val="24"/>
          <w:szCs w:val="24"/>
          <w:lang w:eastAsia="en-IE"/>
          <w14:ligatures w14:val="none"/>
        </w:rPr>
        <w:t>"Enforcement Notice"</w:t>
      </w:r>
      <w:r w:rsidRPr="00082ACB">
        <w:rPr>
          <w:rFonts w:ascii="Verdana" w:eastAsia="Times New Roman" w:hAnsi="Verdana" w:cs="Times New Roman"/>
          <w:color w:val="000000"/>
          <w:kern w:val="0"/>
          <w:sz w:val="24"/>
          <w:szCs w:val="24"/>
          <w:lang w:eastAsia="en-IE"/>
          <w14:ligatures w14:val="none"/>
        </w:rPr>
        <w:t> (S.154) will normally request specific action to be taken within a specific period.</w:t>
      </w:r>
    </w:p>
    <w:p w14:paraId="135F802A"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 xml:space="preserve">On the expiration of an Enforcement Notice a Planning Officer will visit the site to confirm </w:t>
      </w:r>
      <w:proofErr w:type="gramStart"/>
      <w:r w:rsidRPr="00082ACB">
        <w:rPr>
          <w:rFonts w:ascii="Verdana" w:eastAsia="Times New Roman" w:hAnsi="Verdana" w:cs="Times New Roman"/>
          <w:color w:val="000000"/>
          <w:kern w:val="0"/>
          <w:sz w:val="24"/>
          <w:szCs w:val="24"/>
          <w:lang w:eastAsia="en-IE"/>
          <w14:ligatures w14:val="none"/>
        </w:rPr>
        <w:t>whether or not</w:t>
      </w:r>
      <w:proofErr w:type="gramEnd"/>
      <w:r w:rsidRPr="00082ACB">
        <w:rPr>
          <w:rFonts w:ascii="Verdana" w:eastAsia="Times New Roman" w:hAnsi="Verdana" w:cs="Times New Roman"/>
          <w:color w:val="000000"/>
          <w:kern w:val="0"/>
          <w:sz w:val="24"/>
          <w:szCs w:val="24"/>
          <w:lang w:eastAsia="en-IE"/>
          <w14:ligatures w14:val="none"/>
        </w:rPr>
        <w:t xml:space="preserve"> the Enforcement Notice has been adhered too.</w:t>
      </w:r>
    </w:p>
    <w:p w14:paraId="51C4924A"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If the Enforcement Notice has been adhered to, a planning report is prepared and a Decision Memo signed with recommendation issued for the closing of the file and all parties notified of the decision.</w:t>
      </w:r>
    </w:p>
    <w:p w14:paraId="7D2D0236" w14:textId="7777777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lastRenderedPageBreak/>
        <w:t>Should the Enforcement Notice be found not to have been complied with, then a planning report is prepared and a Decision Memo signed with a recommendation for prosecution under Section 154(8) of the Planning and Development Act, 2000 (as amended).</w:t>
      </w:r>
    </w:p>
    <w:p w14:paraId="3709B1D2" w14:textId="77777777" w:rsidR="00082ACB" w:rsidRDefault="00082ACB" w:rsidP="00082ACB">
      <w:pPr>
        <w:spacing w:before="100" w:beforeAutospacing="1" w:after="100" w:afterAutospacing="1" w:line="240" w:lineRule="auto"/>
        <w:rPr>
          <w:rFonts w:ascii="Verdana" w:eastAsia="Times New Roman" w:hAnsi="Verdana" w:cs="Times New Roman"/>
          <w:b/>
          <w:bCs/>
          <w:color w:val="000000"/>
          <w:kern w:val="0"/>
          <w:sz w:val="24"/>
          <w:szCs w:val="24"/>
          <w:lang w:eastAsia="en-IE"/>
          <w14:ligatures w14:val="none"/>
        </w:rPr>
      </w:pPr>
      <w:r>
        <w:rPr>
          <w:rFonts w:ascii="Verdana" w:eastAsia="Times New Roman" w:hAnsi="Verdana" w:cs="Times New Roman"/>
          <w:b/>
          <w:bCs/>
          <w:color w:val="000000"/>
          <w:kern w:val="0"/>
          <w:sz w:val="24"/>
          <w:szCs w:val="24"/>
          <w:lang w:eastAsia="en-IE"/>
          <w14:ligatures w14:val="none"/>
        </w:rPr>
        <w:t>7 Year Limit:</w:t>
      </w:r>
    </w:p>
    <w:p w14:paraId="42BACFF2" w14:textId="497560A7"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 xml:space="preserve">For both Warning Letters and Enforcement Notices the </w:t>
      </w:r>
      <w:proofErr w:type="gramStart"/>
      <w:r w:rsidRPr="00082ACB">
        <w:rPr>
          <w:rFonts w:ascii="Verdana" w:eastAsia="Times New Roman" w:hAnsi="Verdana" w:cs="Times New Roman"/>
          <w:color w:val="000000"/>
          <w:kern w:val="0"/>
          <w:sz w:val="24"/>
          <w:szCs w:val="24"/>
          <w:lang w:eastAsia="en-IE"/>
          <w14:ligatures w14:val="none"/>
        </w:rPr>
        <w:t>7 year</w:t>
      </w:r>
      <w:proofErr w:type="gramEnd"/>
      <w:r w:rsidRPr="00082ACB">
        <w:rPr>
          <w:rFonts w:ascii="Verdana" w:eastAsia="Times New Roman" w:hAnsi="Verdana" w:cs="Times New Roman"/>
          <w:color w:val="000000"/>
          <w:kern w:val="0"/>
          <w:sz w:val="24"/>
          <w:szCs w:val="24"/>
          <w:lang w:eastAsia="en-IE"/>
          <w14:ligatures w14:val="none"/>
        </w:rPr>
        <w:t xml:space="preserve"> limit runs either from:</w:t>
      </w:r>
    </w:p>
    <w:p w14:paraId="13C85A59" w14:textId="77777777" w:rsidR="00082ACB" w:rsidRPr="00082ACB" w:rsidRDefault="00082ACB" w:rsidP="00082ACB">
      <w:pPr>
        <w:numPr>
          <w:ilvl w:val="0"/>
          <w:numId w:val="2"/>
        </w:num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the date of commencement of development (for development without a planning permission</w:t>
      </w:r>
      <w:proofErr w:type="gramStart"/>
      <w:r w:rsidRPr="00082ACB">
        <w:rPr>
          <w:rFonts w:ascii="Verdana" w:eastAsia="Times New Roman" w:hAnsi="Verdana" w:cs="Times New Roman"/>
          <w:color w:val="000000"/>
          <w:kern w:val="0"/>
          <w:sz w:val="24"/>
          <w:szCs w:val="24"/>
          <w:lang w:eastAsia="en-IE"/>
          <w14:ligatures w14:val="none"/>
        </w:rPr>
        <w:t>),   </w:t>
      </w:r>
      <w:proofErr w:type="gramEnd"/>
      <w:r w:rsidRPr="00082ACB">
        <w:rPr>
          <w:rFonts w:ascii="Verdana" w:eastAsia="Times New Roman" w:hAnsi="Verdana" w:cs="Times New Roman"/>
          <w:color w:val="000000"/>
          <w:kern w:val="0"/>
          <w:sz w:val="24"/>
          <w:szCs w:val="24"/>
          <w:lang w:eastAsia="en-IE"/>
          <w14:ligatures w14:val="none"/>
        </w:rPr>
        <w:t>OR</w:t>
      </w:r>
    </w:p>
    <w:p w14:paraId="083EBD3C" w14:textId="77777777" w:rsidR="00082ACB" w:rsidRPr="00082ACB" w:rsidRDefault="00082ACB" w:rsidP="00082ACB">
      <w:pPr>
        <w:numPr>
          <w:ilvl w:val="0"/>
          <w:numId w:val="2"/>
        </w:num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for seven years following the expiry of the planning permission.</w:t>
      </w:r>
    </w:p>
    <w:p w14:paraId="600E19F2" w14:textId="77777777" w:rsidR="00082ACB" w:rsidRDefault="00082ACB" w:rsidP="00082ACB">
      <w:pPr>
        <w:spacing w:before="100" w:beforeAutospacing="1" w:after="100" w:afterAutospacing="1" w:line="240" w:lineRule="auto"/>
        <w:rPr>
          <w:rFonts w:ascii="Verdana" w:eastAsia="Times New Roman" w:hAnsi="Verdana" w:cs="Times New Roman"/>
          <w:b/>
          <w:bCs/>
          <w:color w:val="000000"/>
          <w:kern w:val="0"/>
          <w:sz w:val="24"/>
          <w:szCs w:val="24"/>
          <w:lang w:eastAsia="en-IE"/>
          <w14:ligatures w14:val="none"/>
        </w:rPr>
      </w:pPr>
      <w:r>
        <w:rPr>
          <w:rFonts w:ascii="Verdana" w:eastAsia="Times New Roman" w:hAnsi="Verdana" w:cs="Times New Roman"/>
          <w:b/>
          <w:bCs/>
          <w:color w:val="000000"/>
          <w:kern w:val="0"/>
          <w:sz w:val="24"/>
          <w:szCs w:val="24"/>
          <w:lang w:eastAsia="en-IE"/>
          <w14:ligatures w14:val="none"/>
        </w:rPr>
        <w:t>Summary Prosecutions:</w:t>
      </w:r>
    </w:p>
    <w:p w14:paraId="69EE6369" w14:textId="56002EBE" w:rsidR="00082ACB" w:rsidRP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Legal proceedings should initiate with the registered owner(s) of the property.  Where summary prosecutions are instituted, these must commence</w:t>
      </w:r>
    </w:p>
    <w:p w14:paraId="7968B152" w14:textId="77777777" w:rsidR="00082ACB" w:rsidRPr="00082ACB" w:rsidRDefault="00082ACB" w:rsidP="00082ACB">
      <w:pPr>
        <w:numPr>
          <w:ilvl w:val="0"/>
          <w:numId w:val="3"/>
        </w:num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 xml:space="preserve">within 6 six months of the offence being </w:t>
      </w:r>
      <w:proofErr w:type="gramStart"/>
      <w:r w:rsidRPr="00082ACB">
        <w:rPr>
          <w:rFonts w:ascii="Verdana" w:eastAsia="Times New Roman" w:hAnsi="Verdana" w:cs="Times New Roman"/>
          <w:color w:val="000000"/>
          <w:kern w:val="0"/>
          <w:sz w:val="24"/>
          <w:szCs w:val="24"/>
          <w:lang w:eastAsia="en-IE"/>
          <w14:ligatures w14:val="none"/>
        </w:rPr>
        <w:t>committed ,</w:t>
      </w:r>
      <w:proofErr w:type="gramEnd"/>
      <w:r w:rsidRPr="00082ACB">
        <w:rPr>
          <w:rFonts w:ascii="Verdana" w:eastAsia="Times New Roman" w:hAnsi="Verdana" w:cs="Times New Roman"/>
          <w:color w:val="000000"/>
          <w:kern w:val="0"/>
          <w:sz w:val="24"/>
          <w:szCs w:val="24"/>
          <w:lang w:eastAsia="en-IE"/>
          <w14:ligatures w14:val="none"/>
        </w:rPr>
        <w:t xml:space="preserve"> OR,</w:t>
      </w:r>
    </w:p>
    <w:p w14:paraId="4067927F" w14:textId="477E7E26" w:rsidR="00082ACB" w:rsidRDefault="00082ACB" w:rsidP="00082ACB">
      <w:pPr>
        <w:numPr>
          <w:ilvl w:val="0"/>
          <w:numId w:val="3"/>
        </w:num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082ACB">
        <w:rPr>
          <w:rFonts w:ascii="Verdana" w:eastAsia="Times New Roman" w:hAnsi="Verdana" w:cs="Times New Roman"/>
          <w:color w:val="000000"/>
          <w:kern w:val="0"/>
          <w:sz w:val="24"/>
          <w:szCs w:val="24"/>
          <w:lang w:eastAsia="en-IE"/>
          <w14:ligatures w14:val="none"/>
        </w:rPr>
        <w:t>within 6 six months of sufficient evidence being available to justify, whichever is later. </w:t>
      </w:r>
    </w:p>
    <w:p w14:paraId="3398F79A" w14:textId="32C85B99" w:rsidR="00ED7107" w:rsidRDefault="00ED7107" w:rsidP="00ED7107">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ED7107">
        <w:rPr>
          <w:rFonts w:ascii="Verdana" w:eastAsia="Times New Roman" w:hAnsi="Verdana" w:cs="Times New Roman"/>
          <w:color w:val="000000"/>
          <w:kern w:val="0"/>
          <w:sz w:val="24"/>
          <w:szCs w:val="24"/>
          <w:lang w:eastAsia="en-IE"/>
          <w14:ligatures w14:val="none"/>
        </w:rPr>
        <w:lastRenderedPageBreak/>
        <w:drawing>
          <wp:inline distT="0" distB="0" distL="0" distR="0" wp14:anchorId="4B6ED30D" wp14:editId="185C0698">
            <wp:extent cx="5243014" cy="5509737"/>
            <wp:effectExtent l="0" t="0" r="0" b="0"/>
            <wp:docPr id="1383802345" name="Picture 1" descr="A diagram of warning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02345" name="Picture 1" descr="A diagram of warning letter&#10;&#10;AI-generated content may be incorrect."/>
                    <pic:cNvPicPr/>
                  </pic:nvPicPr>
                  <pic:blipFill>
                    <a:blip r:embed="rId5"/>
                    <a:stretch>
                      <a:fillRect/>
                    </a:stretch>
                  </pic:blipFill>
                  <pic:spPr>
                    <a:xfrm>
                      <a:off x="0" y="0"/>
                      <a:ext cx="5243014" cy="5509737"/>
                    </a:xfrm>
                    <a:prstGeom prst="rect">
                      <a:avLst/>
                    </a:prstGeom>
                  </pic:spPr>
                </pic:pic>
              </a:graphicData>
            </a:graphic>
          </wp:inline>
        </w:drawing>
      </w:r>
    </w:p>
    <w:p w14:paraId="49B1990B" w14:textId="77777777" w:rsid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p>
    <w:p w14:paraId="38EA7951" w14:textId="77777777" w:rsid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p>
    <w:p w14:paraId="724D9D0C" w14:textId="189115E4" w:rsidR="005D179C" w:rsidRDefault="00082ACB">
      <w:r>
        <w:rPr>
          <w:rFonts w:ascii="Verdana" w:eastAsia="Times New Roman" w:hAnsi="Verdana" w:cs="Times New Roman"/>
          <w:color w:val="000000"/>
          <w:kern w:val="0"/>
          <w:sz w:val="24"/>
          <w:szCs w:val="24"/>
          <w:lang w:eastAsia="en-IE"/>
          <w14:ligatures w14:val="none"/>
        </w:rPr>
        <w:br w:type="page"/>
      </w:r>
    </w:p>
    <w:sectPr w:rsidR="005D1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367"/>
    <w:multiLevelType w:val="multilevel"/>
    <w:tmpl w:val="546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B1F2F"/>
    <w:multiLevelType w:val="multilevel"/>
    <w:tmpl w:val="31A4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40AD2"/>
    <w:multiLevelType w:val="multilevel"/>
    <w:tmpl w:val="AF1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987631">
    <w:abstractNumId w:val="2"/>
  </w:num>
  <w:num w:numId="2" w16cid:durableId="1318656768">
    <w:abstractNumId w:val="1"/>
  </w:num>
  <w:num w:numId="3" w16cid:durableId="59763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CB"/>
    <w:rsid w:val="00082ACB"/>
    <w:rsid w:val="005D179C"/>
    <w:rsid w:val="00715E2F"/>
    <w:rsid w:val="00ED71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B8C8"/>
  <w15:chartTrackingRefBased/>
  <w15:docId w15:val="{026F7753-B50E-4367-8B91-07277699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A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A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A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A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A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A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A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A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A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A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ACB"/>
    <w:rPr>
      <w:rFonts w:eastAsiaTheme="majorEastAsia" w:cstheme="majorBidi"/>
      <w:color w:val="272727" w:themeColor="text1" w:themeTint="D8"/>
    </w:rPr>
  </w:style>
  <w:style w:type="paragraph" w:styleId="Title">
    <w:name w:val="Title"/>
    <w:basedOn w:val="Normal"/>
    <w:next w:val="Normal"/>
    <w:link w:val="TitleChar"/>
    <w:uiPriority w:val="10"/>
    <w:qFormat/>
    <w:rsid w:val="00082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2ACB"/>
    <w:rPr>
      <w:i/>
      <w:iCs/>
      <w:color w:val="404040" w:themeColor="text1" w:themeTint="BF"/>
    </w:rPr>
  </w:style>
  <w:style w:type="paragraph" w:styleId="ListParagraph">
    <w:name w:val="List Paragraph"/>
    <w:basedOn w:val="Normal"/>
    <w:uiPriority w:val="34"/>
    <w:qFormat/>
    <w:rsid w:val="00082ACB"/>
    <w:pPr>
      <w:ind w:left="720"/>
      <w:contextualSpacing/>
    </w:pPr>
  </w:style>
  <w:style w:type="character" w:styleId="IntenseEmphasis">
    <w:name w:val="Intense Emphasis"/>
    <w:basedOn w:val="DefaultParagraphFont"/>
    <w:uiPriority w:val="21"/>
    <w:qFormat/>
    <w:rsid w:val="00082ACB"/>
    <w:rPr>
      <w:i/>
      <w:iCs/>
      <w:color w:val="2F5496" w:themeColor="accent1" w:themeShade="BF"/>
    </w:rPr>
  </w:style>
  <w:style w:type="paragraph" w:styleId="IntenseQuote">
    <w:name w:val="Intense Quote"/>
    <w:basedOn w:val="Normal"/>
    <w:next w:val="Normal"/>
    <w:link w:val="IntenseQuoteChar"/>
    <w:uiPriority w:val="30"/>
    <w:qFormat/>
    <w:rsid w:val="00082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ACB"/>
    <w:rPr>
      <w:i/>
      <w:iCs/>
      <w:color w:val="2F5496" w:themeColor="accent1" w:themeShade="BF"/>
    </w:rPr>
  </w:style>
  <w:style w:type="character" w:styleId="IntenseReference">
    <w:name w:val="Intense Reference"/>
    <w:basedOn w:val="DefaultParagraphFont"/>
    <w:uiPriority w:val="32"/>
    <w:qFormat/>
    <w:rsid w:val="00082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1478">
      <w:bodyDiv w:val="1"/>
      <w:marLeft w:val="0"/>
      <w:marRight w:val="0"/>
      <w:marTop w:val="0"/>
      <w:marBottom w:val="0"/>
      <w:divBdr>
        <w:top w:val="none" w:sz="0" w:space="0" w:color="auto"/>
        <w:left w:val="none" w:sz="0" w:space="0" w:color="auto"/>
        <w:bottom w:val="none" w:sz="0" w:space="0" w:color="auto"/>
        <w:right w:val="none" w:sz="0" w:space="0" w:color="auto"/>
      </w:divBdr>
      <w:divsChild>
        <w:div w:id="971055708">
          <w:marLeft w:val="0"/>
          <w:marRight w:val="0"/>
          <w:marTop w:val="0"/>
          <w:marBottom w:val="0"/>
          <w:divBdr>
            <w:top w:val="none" w:sz="0" w:space="0" w:color="auto"/>
            <w:left w:val="none" w:sz="0" w:space="0" w:color="auto"/>
            <w:bottom w:val="none" w:sz="0" w:space="0" w:color="auto"/>
            <w:right w:val="none" w:sz="0" w:space="0" w:color="auto"/>
          </w:divBdr>
          <w:divsChild>
            <w:div w:id="10714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Maguire</dc:creator>
  <cp:keywords/>
  <dc:description/>
  <cp:lastModifiedBy>Mary Maguire</cp:lastModifiedBy>
  <cp:revision>2</cp:revision>
  <dcterms:created xsi:type="dcterms:W3CDTF">2025-02-19T11:55:00Z</dcterms:created>
  <dcterms:modified xsi:type="dcterms:W3CDTF">2025-02-19T12:05:00Z</dcterms:modified>
</cp:coreProperties>
</file>