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2E26C" w14:textId="017AEAEF" w:rsidR="008E4E5E" w:rsidRDefault="008E4E5E" w:rsidP="00420DA8">
      <w:pPr>
        <w:spacing w:after="0" w:line="259" w:lineRule="auto"/>
        <w:ind w:left="426" w:right="1" w:hanging="426"/>
        <w:jc w:val="center"/>
      </w:pPr>
      <w:bookmarkStart w:id="0" w:name="_Hlk152764155"/>
      <w:bookmarkEnd w:id="0"/>
      <w:r>
        <w:rPr>
          <w:rFonts w:ascii="Verdana" w:eastAsia="Verdana" w:hAnsi="Verdana" w:cs="Verdana"/>
          <w:b/>
          <w:u w:val="single" w:color="000000"/>
        </w:rPr>
        <w:t>COMHAIRLE CONTAE ÁTHA CLIATH THEAS</w:t>
      </w:r>
    </w:p>
    <w:p w14:paraId="6FF51AFB" w14:textId="639379EF" w:rsidR="008E4E5E" w:rsidRDefault="008E4E5E" w:rsidP="00420DA8">
      <w:pPr>
        <w:spacing w:after="0" w:line="259" w:lineRule="auto"/>
        <w:ind w:left="426" w:right="3" w:hanging="426"/>
        <w:jc w:val="center"/>
      </w:pPr>
      <w:r>
        <w:rPr>
          <w:rFonts w:ascii="Verdana" w:eastAsia="Verdana" w:hAnsi="Verdana" w:cs="Verdana"/>
          <w:b/>
          <w:u w:val="single" w:color="000000"/>
        </w:rPr>
        <w:t>SOUTH DUBLIN COUNTY COUNCIL</w:t>
      </w:r>
    </w:p>
    <w:p w14:paraId="2918EF8B" w14:textId="2BB9BEFC" w:rsidR="008E4E5E" w:rsidRDefault="008E4E5E" w:rsidP="00420DA8">
      <w:pPr>
        <w:spacing w:after="0" w:line="259" w:lineRule="auto"/>
        <w:ind w:left="426" w:hanging="426"/>
        <w:jc w:val="center"/>
      </w:pPr>
    </w:p>
    <w:p w14:paraId="3CAA71C0" w14:textId="77777777" w:rsidR="008E4E5E" w:rsidRDefault="008E4E5E" w:rsidP="00420DA8">
      <w:pPr>
        <w:spacing w:after="0" w:line="259" w:lineRule="auto"/>
        <w:ind w:left="426" w:hanging="426"/>
        <w:jc w:val="center"/>
      </w:pPr>
      <w:r>
        <w:rPr>
          <w:noProof/>
        </w:rPr>
        <w:drawing>
          <wp:inline distT="0" distB="0" distL="0" distR="0" wp14:anchorId="531C7166" wp14:editId="0537409B">
            <wp:extent cx="949325" cy="1165860"/>
            <wp:effectExtent l="0" t="0" r="0" b="0"/>
            <wp:docPr id="107" name="Picture 107" descr="P4#yIS1"/>
            <wp:cNvGraphicFramePr/>
            <a:graphic xmlns:a="http://schemas.openxmlformats.org/drawingml/2006/main">
              <a:graphicData uri="http://schemas.openxmlformats.org/drawingml/2006/picture">
                <pic:pic xmlns:pic="http://schemas.openxmlformats.org/drawingml/2006/picture">
                  <pic:nvPicPr>
                    <pic:cNvPr id="107" name="Picture 107" descr="P4#yIS1"/>
                    <pic:cNvPicPr/>
                  </pic:nvPicPr>
                  <pic:blipFill>
                    <a:blip r:embed="rId8"/>
                    <a:stretch>
                      <a:fillRect/>
                    </a:stretch>
                  </pic:blipFill>
                  <pic:spPr>
                    <a:xfrm>
                      <a:off x="0" y="0"/>
                      <a:ext cx="949325" cy="1165860"/>
                    </a:xfrm>
                    <a:prstGeom prst="rect">
                      <a:avLst/>
                    </a:prstGeom>
                  </pic:spPr>
                </pic:pic>
              </a:graphicData>
            </a:graphic>
          </wp:inline>
        </w:drawing>
      </w:r>
    </w:p>
    <w:p w14:paraId="71DAACD0" w14:textId="0FE0A3D7" w:rsidR="008E4E5E" w:rsidRDefault="008E4E5E" w:rsidP="00420DA8">
      <w:pPr>
        <w:spacing w:after="0" w:line="259" w:lineRule="auto"/>
        <w:ind w:left="426" w:hanging="426"/>
        <w:jc w:val="center"/>
      </w:pPr>
      <w:r>
        <w:rPr>
          <w:rFonts w:ascii="Verdana" w:eastAsia="Verdana" w:hAnsi="Verdana" w:cs="Verdana"/>
          <w:b/>
          <w:u w:val="single" w:color="000000"/>
        </w:rPr>
        <w:t>MEETING OF SOUTH DUBLIN COUNTY COUNCIL</w:t>
      </w:r>
    </w:p>
    <w:p w14:paraId="6D248E23" w14:textId="37FA1DDD" w:rsidR="008E4E5E" w:rsidRDefault="008E4E5E" w:rsidP="00420DA8">
      <w:pPr>
        <w:spacing w:after="0" w:line="259" w:lineRule="auto"/>
        <w:ind w:left="426" w:hanging="426"/>
        <w:jc w:val="center"/>
      </w:pPr>
    </w:p>
    <w:p w14:paraId="2E6DC82E" w14:textId="2E1F8707" w:rsidR="008E4E5E" w:rsidRDefault="008E4E5E" w:rsidP="00420DA8">
      <w:pPr>
        <w:spacing w:after="0" w:line="259" w:lineRule="auto"/>
        <w:ind w:left="426" w:right="8" w:hanging="426"/>
        <w:jc w:val="center"/>
      </w:pPr>
      <w:r>
        <w:rPr>
          <w:rFonts w:ascii="Verdana" w:eastAsia="Verdana" w:hAnsi="Verdana" w:cs="Verdana"/>
          <w:b/>
          <w:u w:val="single" w:color="000000"/>
        </w:rPr>
        <w:t>Monday, 1</w:t>
      </w:r>
      <w:r w:rsidR="00C73A13">
        <w:rPr>
          <w:rFonts w:ascii="Verdana" w:eastAsia="Verdana" w:hAnsi="Verdana" w:cs="Verdana"/>
          <w:b/>
          <w:u w:val="single" w:color="000000"/>
        </w:rPr>
        <w:t>0</w:t>
      </w:r>
      <w:r w:rsidRPr="003F4CE8">
        <w:rPr>
          <w:rFonts w:ascii="Verdana" w:eastAsia="Verdana" w:hAnsi="Verdana" w:cs="Verdana"/>
          <w:b/>
          <w:u w:val="single" w:color="000000"/>
          <w:vertAlign w:val="superscript"/>
        </w:rPr>
        <w:t>th</w:t>
      </w:r>
      <w:r>
        <w:rPr>
          <w:rFonts w:ascii="Verdana" w:eastAsia="Verdana" w:hAnsi="Verdana" w:cs="Verdana"/>
          <w:b/>
          <w:u w:val="single" w:color="000000"/>
        </w:rPr>
        <w:t xml:space="preserve"> </w:t>
      </w:r>
      <w:r w:rsidR="00C73A13">
        <w:rPr>
          <w:rFonts w:ascii="Verdana" w:eastAsia="Verdana" w:hAnsi="Verdana" w:cs="Verdana"/>
          <w:b/>
          <w:u w:val="single" w:color="000000"/>
        </w:rPr>
        <w:t>February</w:t>
      </w:r>
      <w:r>
        <w:rPr>
          <w:rFonts w:ascii="Verdana" w:eastAsia="Verdana" w:hAnsi="Verdana" w:cs="Verdana"/>
          <w:b/>
          <w:u w:val="single" w:color="000000"/>
        </w:rPr>
        <w:t xml:space="preserve"> 202</w:t>
      </w:r>
      <w:r w:rsidR="00C73A13">
        <w:rPr>
          <w:rFonts w:ascii="Verdana" w:eastAsia="Verdana" w:hAnsi="Verdana" w:cs="Verdana"/>
          <w:b/>
          <w:u w:val="single" w:color="000000"/>
        </w:rPr>
        <w:t>5</w:t>
      </w:r>
    </w:p>
    <w:p w14:paraId="44A5631A" w14:textId="0798A5C1" w:rsidR="008E4E5E" w:rsidRDefault="008E4E5E" w:rsidP="00420DA8">
      <w:pPr>
        <w:spacing w:after="0" w:line="259" w:lineRule="auto"/>
        <w:ind w:left="426" w:hanging="426"/>
        <w:jc w:val="center"/>
      </w:pPr>
    </w:p>
    <w:p w14:paraId="17D7C6D9" w14:textId="03A113D4" w:rsidR="008E4E5E" w:rsidRDefault="008E4E5E" w:rsidP="00420DA8">
      <w:pPr>
        <w:spacing w:after="0" w:line="259" w:lineRule="auto"/>
        <w:ind w:left="426" w:right="5" w:hanging="426"/>
        <w:jc w:val="center"/>
      </w:pPr>
      <w:r w:rsidRPr="3D03362E">
        <w:rPr>
          <w:rFonts w:ascii="Verdana" w:eastAsia="Verdana" w:hAnsi="Verdana" w:cs="Verdana"/>
          <w:b/>
          <w:bCs/>
          <w:u w:val="single"/>
        </w:rPr>
        <w:t xml:space="preserve">HEADED ITEM NO. </w:t>
      </w:r>
    </w:p>
    <w:p w14:paraId="4BF4239C" w14:textId="77777777" w:rsidR="008E4E5E" w:rsidRDefault="008E4E5E" w:rsidP="00420DA8">
      <w:pPr>
        <w:spacing w:after="0" w:line="259" w:lineRule="auto"/>
        <w:ind w:left="426" w:hanging="426"/>
        <w:jc w:val="center"/>
      </w:pPr>
    </w:p>
    <w:p w14:paraId="7006FB06" w14:textId="5EFBF98A" w:rsidR="008E4E5E" w:rsidRDefault="008E4E5E" w:rsidP="00420DA8">
      <w:pPr>
        <w:spacing w:after="0" w:line="259" w:lineRule="auto"/>
        <w:ind w:left="426" w:right="3" w:hanging="426"/>
        <w:jc w:val="center"/>
      </w:pPr>
      <w:r>
        <w:rPr>
          <w:rFonts w:ascii="Verdana" w:eastAsia="Verdana" w:hAnsi="Verdana" w:cs="Verdana"/>
          <w:b/>
          <w:u w:val="single" w:color="000000"/>
        </w:rPr>
        <w:t xml:space="preserve">Corporate Plan </w:t>
      </w:r>
      <w:r w:rsidR="00DD4AF9">
        <w:rPr>
          <w:rFonts w:ascii="Verdana" w:eastAsia="Verdana" w:hAnsi="Verdana" w:cs="Verdana"/>
          <w:b/>
          <w:u w:val="single" w:color="000000"/>
        </w:rPr>
        <w:t xml:space="preserve">Annual </w:t>
      </w:r>
      <w:r>
        <w:rPr>
          <w:rFonts w:ascii="Verdana" w:eastAsia="Verdana" w:hAnsi="Verdana" w:cs="Verdana"/>
          <w:b/>
          <w:u w:val="single" w:color="000000"/>
        </w:rPr>
        <w:t>Progress Report</w:t>
      </w:r>
      <w:r w:rsidR="00DD4AF9">
        <w:rPr>
          <w:rFonts w:ascii="Verdana" w:eastAsia="Verdana" w:hAnsi="Verdana" w:cs="Verdana"/>
          <w:b/>
          <w:u w:val="single" w:color="000000"/>
        </w:rPr>
        <w:t xml:space="preserve"> 202</w:t>
      </w:r>
      <w:r w:rsidR="00DD6381">
        <w:rPr>
          <w:rFonts w:ascii="Verdana" w:eastAsia="Verdana" w:hAnsi="Verdana" w:cs="Verdana"/>
          <w:b/>
          <w:u w:val="single" w:color="000000"/>
        </w:rPr>
        <w:t>4</w:t>
      </w:r>
    </w:p>
    <w:p w14:paraId="56D90FD6" w14:textId="77777777" w:rsidR="008E4E5E" w:rsidRPr="003E4E01" w:rsidRDefault="008E4E5E" w:rsidP="2FD25A97">
      <w:pPr>
        <w:spacing w:after="0" w:line="240" w:lineRule="auto"/>
        <w:ind w:left="426" w:hanging="426"/>
        <w:rPr>
          <w:rFonts w:asciiTheme="minorHAnsi" w:hAnsiTheme="minorHAnsi" w:cstheme="minorBidi"/>
        </w:rPr>
      </w:pPr>
    </w:p>
    <w:p w14:paraId="60416BEB" w14:textId="77777777" w:rsidR="008E4E5E" w:rsidRPr="003E4E01" w:rsidRDefault="008E4E5E" w:rsidP="2FD25A97">
      <w:pPr>
        <w:spacing w:line="240" w:lineRule="auto"/>
        <w:ind w:left="426" w:hanging="426"/>
        <w:rPr>
          <w:rFonts w:asciiTheme="minorHAnsi" w:hAnsiTheme="minorHAnsi" w:cstheme="minorBidi"/>
        </w:rPr>
      </w:pPr>
      <w:r w:rsidRPr="2FD25A97">
        <w:rPr>
          <w:rFonts w:asciiTheme="minorHAnsi" w:hAnsiTheme="minorHAnsi" w:cstheme="minorBidi"/>
        </w:rPr>
        <w:t>Mayor &amp; Councillors,</w:t>
      </w:r>
    </w:p>
    <w:p w14:paraId="48D5F4C8" w14:textId="77777777" w:rsidR="008E4E5E" w:rsidRPr="003E4E01" w:rsidRDefault="008E4E5E" w:rsidP="003233A1">
      <w:pPr>
        <w:spacing w:after="0" w:line="276" w:lineRule="auto"/>
        <w:ind w:left="426" w:hanging="426"/>
        <w:rPr>
          <w:rFonts w:asciiTheme="minorHAnsi" w:hAnsiTheme="minorHAnsi" w:cstheme="minorBidi"/>
        </w:rPr>
      </w:pPr>
    </w:p>
    <w:p w14:paraId="4F9120CE" w14:textId="2E8D110E" w:rsidR="008E4E5E" w:rsidRPr="003E4E01" w:rsidRDefault="008E4E5E" w:rsidP="003233A1">
      <w:pPr>
        <w:spacing w:after="0" w:line="276" w:lineRule="auto"/>
        <w:ind w:left="0" w:firstLine="0"/>
        <w:rPr>
          <w:rFonts w:asciiTheme="minorHAnsi" w:hAnsiTheme="minorHAnsi" w:cstheme="minorBidi"/>
        </w:rPr>
      </w:pPr>
      <w:r w:rsidRPr="2CEE952D">
        <w:rPr>
          <w:rFonts w:asciiTheme="minorHAnsi" w:hAnsiTheme="minorHAnsi" w:cstheme="minorBidi"/>
        </w:rPr>
        <w:t>The attached report on implementation of the Corporate Plan for 202</w:t>
      </w:r>
      <w:r w:rsidR="00DD6381">
        <w:rPr>
          <w:rFonts w:asciiTheme="minorHAnsi" w:hAnsiTheme="minorHAnsi" w:cstheme="minorBidi"/>
        </w:rPr>
        <w:t>4</w:t>
      </w:r>
      <w:r w:rsidRPr="2CEE952D">
        <w:rPr>
          <w:rFonts w:asciiTheme="minorHAnsi" w:hAnsiTheme="minorHAnsi" w:cstheme="minorBidi"/>
        </w:rPr>
        <w:t xml:space="preserve"> is presented in accordance with section 134 of the Local Government Act 2001</w:t>
      </w:r>
      <w:r w:rsidR="488EAD64" w:rsidRPr="2CEE952D">
        <w:rPr>
          <w:rFonts w:asciiTheme="minorHAnsi" w:hAnsiTheme="minorHAnsi" w:cstheme="minorBidi"/>
        </w:rPr>
        <w:t xml:space="preserve">. </w:t>
      </w:r>
      <w:r w:rsidRPr="0E257AE2">
        <w:rPr>
          <w:rFonts w:asciiTheme="minorHAnsi" w:hAnsiTheme="minorHAnsi" w:cstheme="minorBidi"/>
        </w:rPr>
        <w:t>Th</w:t>
      </w:r>
      <w:r w:rsidR="54F75E09" w:rsidRPr="0E257AE2">
        <w:rPr>
          <w:rFonts w:asciiTheme="minorHAnsi" w:hAnsiTheme="minorHAnsi" w:cstheme="minorBidi"/>
        </w:rPr>
        <w:t>is</w:t>
      </w:r>
      <w:r w:rsidRPr="2CEE952D">
        <w:rPr>
          <w:rFonts w:asciiTheme="minorHAnsi" w:hAnsiTheme="minorHAnsi" w:cstheme="minorBidi"/>
        </w:rPr>
        <w:t xml:space="preserve"> provides a summary of progress last year against each of the Corporate Plan objectives and can be read in conjunction with the various monthly Chief Executive’s reports presented at each monthly Council meeting.</w:t>
      </w:r>
    </w:p>
    <w:p w14:paraId="29BE7BBE" w14:textId="77777777" w:rsidR="00C6283B" w:rsidRPr="003E4E01" w:rsidRDefault="00C6283B" w:rsidP="00023B95">
      <w:pPr>
        <w:spacing w:after="0" w:line="276" w:lineRule="auto"/>
        <w:ind w:left="0" w:hanging="426"/>
        <w:rPr>
          <w:rFonts w:asciiTheme="minorHAnsi" w:hAnsiTheme="minorHAnsi" w:cstheme="minorBidi"/>
        </w:rPr>
      </w:pPr>
    </w:p>
    <w:p w14:paraId="75438FEB" w14:textId="5464DC0A" w:rsidR="008E4E5E" w:rsidRDefault="008E4E5E" w:rsidP="00CF46AE">
      <w:pPr>
        <w:spacing w:after="0" w:line="276" w:lineRule="auto"/>
        <w:ind w:left="0" w:hanging="426"/>
        <w:jc w:val="center"/>
        <w:textAlignment w:val="baseline"/>
        <w:rPr>
          <w:rFonts w:asciiTheme="minorHAnsi" w:eastAsia="Times New Roman" w:hAnsiTheme="minorHAnsi" w:cstheme="minorBidi"/>
          <w:color w:val="auto"/>
          <w:kern w:val="0"/>
          <w14:ligatures w14:val="none"/>
        </w:rPr>
      </w:pPr>
      <w:r w:rsidRPr="2FD25A97">
        <w:rPr>
          <w:rFonts w:asciiTheme="minorHAnsi" w:eastAsia="Times New Roman" w:hAnsiTheme="minorHAnsi" w:cstheme="minorBidi"/>
          <w:b/>
          <w:color w:val="auto"/>
          <w:kern w:val="0"/>
          <w14:ligatures w14:val="none"/>
        </w:rPr>
        <w:t>Economic, Enterprise and Tourism Development</w:t>
      </w:r>
    </w:p>
    <w:p w14:paraId="535BB9D5" w14:textId="77777777" w:rsidR="004D7C68" w:rsidRDefault="004D7C68" w:rsidP="00E72719">
      <w:pPr>
        <w:spacing w:after="0" w:line="276" w:lineRule="auto"/>
        <w:ind w:left="0" w:firstLine="0"/>
        <w:textAlignment w:val="baseline"/>
        <w:rPr>
          <w:rFonts w:asciiTheme="minorHAnsi" w:eastAsia="Times New Roman" w:hAnsiTheme="minorHAnsi" w:cstheme="minorBidi"/>
          <w:b/>
          <w:color w:val="auto"/>
          <w:kern w:val="0"/>
          <w14:ligatures w14:val="none"/>
        </w:rPr>
      </w:pPr>
    </w:p>
    <w:p w14:paraId="4704C002" w14:textId="22587668" w:rsidR="008E4E5E" w:rsidRPr="003E4E01" w:rsidRDefault="008E4E5E" w:rsidP="00E72719">
      <w:pPr>
        <w:spacing w:after="0" w:line="276" w:lineRule="auto"/>
        <w:ind w:left="0" w:firstLine="0"/>
        <w:textAlignment w:val="baseline"/>
        <w:rPr>
          <w:rFonts w:asciiTheme="minorHAnsi" w:eastAsia="Times New Roman" w:hAnsiTheme="minorHAnsi" w:cstheme="minorBidi"/>
          <w:color w:val="auto"/>
          <w:kern w:val="0"/>
          <w14:ligatures w14:val="none"/>
        </w:rPr>
      </w:pPr>
      <w:r w:rsidRPr="2FD25A97">
        <w:rPr>
          <w:rFonts w:asciiTheme="minorHAnsi" w:eastAsia="Times New Roman" w:hAnsiTheme="minorHAnsi" w:cstheme="minorBidi"/>
          <w:b/>
          <w:color w:val="auto"/>
          <w:kern w:val="0"/>
          <w14:ligatures w14:val="none"/>
        </w:rPr>
        <w:t xml:space="preserve">Maintain a </w:t>
      </w:r>
      <w:r w:rsidR="00161FC8">
        <w:rPr>
          <w:rFonts w:asciiTheme="minorHAnsi" w:eastAsia="Times New Roman" w:hAnsiTheme="minorHAnsi" w:cstheme="minorBidi"/>
          <w:b/>
          <w:color w:val="auto"/>
          <w:kern w:val="0"/>
          <w14:ligatures w14:val="none"/>
        </w:rPr>
        <w:t>s</w:t>
      </w:r>
      <w:r w:rsidRPr="2FD25A97">
        <w:rPr>
          <w:rFonts w:asciiTheme="minorHAnsi" w:eastAsia="Times New Roman" w:hAnsiTheme="minorHAnsi" w:cstheme="minorBidi"/>
          <w:b/>
          <w:color w:val="auto"/>
          <w:kern w:val="0"/>
          <w14:ligatures w14:val="none"/>
        </w:rPr>
        <w:t xml:space="preserve">upportive </w:t>
      </w:r>
      <w:r w:rsidR="00161FC8">
        <w:rPr>
          <w:rFonts w:asciiTheme="minorHAnsi" w:eastAsia="Times New Roman" w:hAnsiTheme="minorHAnsi" w:cstheme="minorBidi"/>
          <w:b/>
          <w:color w:val="auto"/>
          <w:kern w:val="0"/>
          <w14:ligatures w14:val="none"/>
        </w:rPr>
        <w:t>b</w:t>
      </w:r>
      <w:r w:rsidRPr="2FD25A97">
        <w:rPr>
          <w:rFonts w:asciiTheme="minorHAnsi" w:eastAsia="Times New Roman" w:hAnsiTheme="minorHAnsi" w:cstheme="minorBidi"/>
          <w:b/>
          <w:color w:val="auto"/>
          <w:kern w:val="0"/>
          <w14:ligatures w14:val="none"/>
        </w:rPr>
        <w:t xml:space="preserve">usiness </w:t>
      </w:r>
      <w:r w:rsidR="00161FC8">
        <w:rPr>
          <w:rFonts w:asciiTheme="minorHAnsi" w:eastAsia="Times New Roman" w:hAnsiTheme="minorHAnsi" w:cstheme="minorBidi"/>
          <w:b/>
          <w:color w:val="auto"/>
          <w:kern w:val="0"/>
          <w14:ligatures w14:val="none"/>
        </w:rPr>
        <w:t>e</w:t>
      </w:r>
      <w:r w:rsidRPr="2FD25A97">
        <w:rPr>
          <w:rFonts w:asciiTheme="minorHAnsi" w:eastAsia="Times New Roman" w:hAnsiTheme="minorHAnsi" w:cstheme="minorBidi"/>
          <w:b/>
          <w:color w:val="auto"/>
          <w:kern w:val="0"/>
          <w14:ligatures w14:val="none"/>
        </w:rPr>
        <w:t>nvironment</w:t>
      </w:r>
    </w:p>
    <w:p w14:paraId="4BBA20F6" w14:textId="429EE736" w:rsidR="008C39B0" w:rsidRPr="00383B17" w:rsidRDefault="008C39B0"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t>The LEO South Dublin Evaluation and Approvals Committee approved 37 projects providing the direct creation</w:t>
      </w:r>
      <w:r w:rsidR="00A501CD" w:rsidRPr="00383B17">
        <w:rPr>
          <w:rFonts w:asciiTheme="minorHAnsi" w:eastAsiaTheme="minorEastAsia" w:hAnsiTheme="minorHAnsi" w:cstheme="minorBidi"/>
          <w:color w:val="auto"/>
          <w:lang w:eastAsia="en-US"/>
        </w:rPr>
        <w:t xml:space="preserve"> </w:t>
      </w:r>
      <w:r w:rsidRPr="00383B17">
        <w:rPr>
          <w:rFonts w:asciiTheme="minorHAnsi" w:eastAsiaTheme="minorEastAsia" w:hAnsiTheme="minorHAnsi" w:cstheme="minorBidi"/>
          <w:color w:val="auto"/>
          <w:lang w:eastAsia="en-US"/>
        </w:rPr>
        <w:t>of</w:t>
      </w:r>
      <w:r w:rsidR="00226A85" w:rsidRPr="00383B17">
        <w:rPr>
          <w:rFonts w:asciiTheme="minorHAnsi" w:eastAsiaTheme="minorEastAsia" w:hAnsiTheme="minorHAnsi" w:cstheme="minorBidi"/>
          <w:color w:val="auto"/>
          <w:lang w:eastAsia="en-US"/>
        </w:rPr>
        <w:t xml:space="preserve"> </w:t>
      </w:r>
      <w:r w:rsidRPr="00205F32">
        <w:rPr>
          <w:rFonts w:asciiTheme="minorHAnsi" w:eastAsiaTheme="minorEastAsia" w:hAnsiTheme="minorHAnsi" w:cstheme="minorBidi"/>
          <w:color w:val="auto"/>
          <w:lang w:eastAsia="en-US"/>
        </w:rPr>
        <w:t>5</w:t>
      </w:r>
      <w:r w:rsidR="00205F32">
        <w:rPr>
          <w:rFonts w:asciiTheme="minorHAnsi" w:eastAsiaTheme="minorEastAsia" w:hAnsiTheme="minorHAnsi" w:cstheme="minorBidi"/>
          <w:color w:val="auto"/>
          <w:lang w:eastAsia="en-US"/>
        </w:rPr>
        <w:t>1</w:t>
      </w:r>
      <w:r w:rsidRPr="00383B17">
        <w:rPr>
          <w:rFonts w:asciiTheme="minorHAnsi" w:eastAsiaTheme="minorEastAsia" w:hAnsiTheme="minorHAnsi" w:cstheme="minorBidi"/>
          <w:color w:val="auto"/>
          <w:lang w:eastAsia="en-US"/>
        </w:rPr>
        <w:t xml:space="preserve"> new positions with the potential for a total of</w:t>
      </w:r>
      <w:r w:rsidRPr="00383B17">
        <w:rPr>
          <w:rFonts w:asciiTheme="minorHAnsi" w:eastAsiaTheme="minorEastAsia" w:hAnsiTheme="minorHAnsi" w:cstheme="minorBidi"/>
          <w:color w:val="FF0000"/>
          <w:lang w:eastAsia="en-US"/>
        </w:rPr>
        <w:t xml:space="preserve"> </w:t>
      </w:r>
      <w:r w:rsidRPr="00383B17">
        <w:rPr>
          <w:rFonts w:asciiTheme="minorHAnsi" w:eastAsiaTheme="minorEastAsia" w:hAnsiTheme="minorHAnsi" w:cstheme="minorBidi"/>
          <w:color w:val="auto"/>
          <w:lang w:eastAsia="en-US"/>
        </w:rPr>
        <w:t>230.5 jobs over a three-year period.</w:t>
      </w:r>
    </w:p>
    <w:p w14:paraId="3E8F68F7" w14:textId="77777777" w:rsidR="008C39B0" w:rsidRPr="00383B17" w:rsidRDefault="008C39B0"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t>96 Trading Online Vouchers were approved to help small businesses develop their online trading presence, exceeding our target of 55 set by Enterprise Ireland.</w:t>
      </w:r>
    </w:p>
    <w:p w14:paraId="1EBA9F47" w14:textId="77777777" w:rsidR="008C39B0" w:rsidRPr="00383B17" w:rsidRDefault="008C39B0"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t>A full LEO training programme was delivered comprising of 117 courses, which were attended by 1,668 participants. 13 Start Your Own Business courses were successfully delivered to over 183 participants.</w:t>
      </w:r>
    </w:p>
    <w:p w14:paraId="787D2E92" w14:textId="77777777" w:rsidR="008C39B0" w:rsidRPr="00383B17" w:rsidRDefault="008C39B0"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t>Under LEO South Dublin’s targeted training programmes, 15 clients successfully completed the export focused leadership and strategy development programme; 38 projects were approved for consultancy support under the national Green4Micro Programme; 19 companies were approved for the LEAN programme, and 25 companies participated in the Digital Start programme.</w:t>
      </w:r>
    </w:p>
    <w:p w14:paraId="7B78367E" w14:textId="1789D3D7" w:rsidR="008C39B0" w:rsidRPr="00383B17" w:rsidRDefault="008C39B0"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t>23 Technical Assistance for Micro Exporter grants were approved for businesses in sectors such as clothing and manufacturing, food, electronics, and med tech.</w:t>
      </w:r>
    </w:p>
    <w:p w14:paraId="29B5CADE" w14:textId="16E25504" w:rsidR="008C39B0" w:rsidRPr="00383B17" w:rsidRDefault="008C39B0"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t>675 mentoring assignments were made across all business sectors, including finance, social media/marketing, and business management.</w:t>
      </w:r>
    </w:p>
    <w:p w14:paraId="3E34607E" w14:textId="77777777" w:rsidR="008C39B0" w:rsidRPr="00383B17" w:rsidRDefault="008C39B0"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t>27 projects were approved for financial support through the Business Support Fund.</w:t>
      </w:r>
    </w:p>
    <w:p w14:paraId="4EBA18B4" w14:textId="5FEFAB3D" w:rsidR="008C39B0" w:rsidRPr="00383B17" w:rsidRDefault="00C0484E"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t>Seven</w:t>
      </w:r>
      <w:r w:rsidR="008C39B0" w:rsidRPr="00383B17">
        <w:rPr>
          <w:rFonts w:asciiTheme="minorHAnsi" w:eastAsiaTheme="minorEastAsia" w:hAnsiTheme="minorHAnsi" w:cstheme="minorBidi"/>
          <w:color w:val="auto"/>
          <w:lang w:eastAsia="en-US"/>
        </w:rPr>
        <w:t xml:space="preserve"> of South Dublin’s best up and coming craft and design businesses participated in the</w:t>
      </w:r>
      <w:r w:rsidR="00B7551C" w:rsidRPr="00383B17">
        <w:rPr>
          <w:rFonts w:asciiTheme="minorHAnsi" w:eastAsiaTheme="minorEastAsia" w:hAnsiTheme="minorHAnsi" w:cstheme="minorBidi"/>
          <w:color w:val="auto"/>
          <w:lang w:eastAsia="en-US"/>
        </w:rPr>
        <w:t xml:space="preserve"> </w:t>
      </w:r>
      <w:r w:rsidR="008C39B0" w:rsidRPr="00383B17">
        <w:rPr>
          <w:rFonts w:asciiTheme="minorHAnsi" w:eastAsiaTheme="minorEastAsia" w:hAnsiTheme="minorHAnsi" w:cstheme="minorBidi"/>
          <w:color w:val="auto"/>
          <w:lang w:eastAsia="en-US"/>
        </w:rPr>
        <w:t>Showcase Ireland Creative Expo 2024, one of Ireland’s largest international trade shows.</w:t>
      </w:r>
    </w:p>
    <w:p w14:paraId="00C204EF" w14:textId="3335B20E" w:rsidR="008C39B0" w:rsidRPr="00383B17" w:rsidRDefault="008C39B0"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lastRenderedPageBreak/>
        <w:t>Our Local Enterprise Week 2024 took place in March with LEO South Dublin hosting 16 events, including the South Dublin Local Enterprise Awards which saw Jim Dunne, Smart Studio winning the overall award. They went on to represent South Dublin in the National Enterprise Awards.</w:t>
      </w:r>
    </w:p>
    <w:p w14:paraId="458196BC" w14:textId="19E307AB" w:rsidR="008C39B0" w:rsidRPr="00383B17" w:rsidRDefault="008C39B0"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t>The LEO South Dublin Student Enterprise Programme County Final was held in March in Technological University Dublin, Tallaght, with an estimated 650 students from 20 schools taking part in the annual programme.</w:t>
      </w:r>
    </w:p>
    <w:p w14:paraId="17808171" w14:textId="7EB5F327" w:rsidR="008C39B0" w:rsidRPr="00383B17" w:rsidRDefault="0030301A"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Pr>
          <w:rFonts w:asciiTheme="minorHAnsi" w:eastAsiaTheme="minorEastAsia" w:hAnsiTheme="minorHAnsi" w:cstheme="minorBidi"/>
          <w:color w:val="auto"/>
          <w:lang w:eastAsia="en-US"/>
        </w:rPr>
        <w:t xml:space="preserve">In </w:t>
      </w:r>
      <w:r w:rsidR="008C39B0" w:rsidRPr="00383B17">
        <w:rPr>
          <w:rFonts w:asciiTheme="minorHAnsi" w:eastAsiaTheme="minorEastAsia" w:hAnsiTheme="minorHAnsi" w:cstheme="minorBidi"/>
          <w:color w:val="auto"/>
          <w:lang w:eastAsia="en-US"/>
        </w:rPr>
        <w:t>September</w:t>
      </w:r>
      <w:r w:rsidR="00810340">
        <w:rPr>
          <w:rFonts w:asciiTheme="minorHAnsi" w:eastAsiaTheme="minorEastAsia" w:hAnsiTheme="minorHAnsi" w:cstheme="minorBidi"/>
          <w:color w:val="auto"/>
          <w:lang w:eastAsia="en-US"/>
        </w:rPr>
        <w:t>,</w:t>
      </w:r>
      <w:r w:rsidR="008C39B0" w:rsidRPr="00383B17">
        <w:rPr>
          <w:rFonts w:asciiTheme="minorHAnsi" w:eastAsiaTheme="minorEastAsia" w:hAnsiTheme="minorHAnsi" w:cstheme="minorBidi"/>
          <w:color w:val="auto"/>
          <w:lang w:eastAsia="en-US"/>
        </w:rPr>
        <w:t xml:space="preserve"> the Local Enterprise Office held a </w:t>
      </w:r>
      <w:r w:rsidR="00924597">
        <w:rPr>
          <w:rFonts w:asciiTheme="minorHAnsi" w:eastAsiaTheme="minorEastAsia" w:hAnsiTheme="minorHAnsi" w:cstheme="minorBidi"/>
          <w:color w:val="auto"/>
          <w:lang w:eastAsia="en-US"/>
        </w:rPr>
        <w:t>Network for Enterprising Women in South Dublin (</w:t>
      </w:r>
      <w:r w:rsidR="008C39B0" w:rsidRPr="00383B17">
        <w:rPr>
          <w:rFonts w:asciiTheme="minorHAnsi" w:eastAsiaTheme="minorEastAsia" w:hAnsiTheme="minorHAnsi" w:cstheme="minorBidi"/>
          <w:color w:val="auto"/>
          <w:lang w:eastAsia="en-US"/>
        </w:rPr>
        <w:t>NEWS</w:t>
      </w:r>
      <w:r w:rsidR="00924597">
        <w:rPr>
          <w:rFonts w:asciiTheme="minorHAnsi" w:eastAsiaTheme="minorEastAsia" w:hAnsiTheme="minorHAnsi" w:cstheme="minorBidi"/>
          <w:color w:val="auto"/>
          <w:lang w:eastAsia="en-US"/>
        </w:rPr>
        <w:t>)</w:t>
      </w:r>
      <w:r w:rsidR="008C39B0" w:rsidRPr="00383B17">
        <w:rPr>
          <w:rFonts w:asciiTheme="minorHAnsi" w:eastAsiaTheme="minorEastAsia" w:hAnsiTheme="minorHAnsi" w:cstheme="minorBidi"/>
          <w:color w:val="auto"/>
          <w:lang w:eastAsia="en-US"/>
        </w:rPr>
        <w:t xml:space="preserve"> event for Women </w:t>
      </w:r>
      <w:proofErr w:type="gramStart"/>
      <w:r w:rsidR="008C39B0" w:rsidRPr="00383B17">
        <w:rPr>
          <w:rFonts w:asciiTheme="minorHAnsi" w:eastAsiaTheme="minorEastAsia" w:hAnsiTheme="minorHAnsi" w:cstheme="minorBidi"/>
          <w:color w:val="auto"/>
          <w:lang w:eastAsia="en-US"/>
        </w:rPr>
        <w:t>In</w:t>
      </w:r>
      <w:proofErr w:type="gramEnd"/>
      <w:r w:rsidR="008C39B0" w:rsidRPr="00383B17">
        <w:rPr>
          <w:rFonts w:asciiTheme="minorHAnsi" w:eastAsiaTheme="minorEastAsia" w:hAnsiTheme="minorHAnsi" w:cstheme="minorBidi"/>
          <w:color w:val="auto"/>
          <w:lang w:eastAsia="en-US"/>
        </w:rPr>
        <w:t xml:space="preserve"> Business in the </w:t>
      </w:r>
      <w:proofErr w:type="spellStart"/>
      <w:r w:rsidR="008C39B0" w:rsidRPr="00383B17">
        <w:rPr>
          <w:rFonts w:asciiTheme="minorHAnsi" w:eastAsiaTheme="minorEastAsia" w:hAnsiTheme="minorHAnsi" w:cstheme="minorBidi"/>
          <w:color w:val="auto"/>
          <w:lang w:eastAsia="en-US"/>
        </w:rPr>
        <w:t>Maldron</w:t>
      </w:r>
      <w:proofErr w:type="spellEnd"/>
      <w:r w:rsidR="008C39B0" w:rsidRPr="00383B17">
        <w:rPr>
          <w:rFonts w:asciiTheme="minorHAnsi" w:eastAsiaTheme="minorEastAsia" w:hAnsiTheme="minorHAnsi" w:cstheme="minorBidi"/>
          <w:color w:val="auto"/>
          <w:lang w:eastAsia="en-US"/>
        </w:rPr>
        <w:t xml:space="preserve"> Hotel, Tallaght and was hosted by Sarita Johnston, Director of Business Planning with Capstone Business Advisors Limited. The event was titled “Stepping Up: Stepping Out &amp; Empowerment.” The event brought together 80 industry leaders, entrepreneurs, and change-makers to discuss the journey of stepping out, taking risks and empowering others.</w:t>
      </w:r>
    </w:p>
    <w:p w14:paraId="37F2890B" w14:textId="226D7D6E" w:rsidR="008C39B0" w:rsidRPr="00383B17" w:rsidRDefault="002878C6"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Pr>
          <w:rFonts w:asciiTheme="minorHAnsi" w:eastAsiaTheme="minorEastAsia" w:hAnsiTheme="minorHAnsi" w:cstheme="minorBidi"/>
          <w:color w:val="auto"/>
          <w:lang w:eastAsia="en-US"/>
        </w:rPr>
        <w:t xml:space="preserve">In October, </w:t>
      </w:r>
      <w:r w:rsidR="002948F3">
        <w:rPr>
          <w:rFonts w:asciiTheme="minorHAnsi" w:eastAsiaTheme="minorEastAsia" w:hAnsiTheme="minorHAnsi" w:cstheme="minorBidi"/>
          <w:color w:val="auto"/>
          <w:lang w:eastAsia="en-US"/>
        </w:rPr>
        <w:t>t</w:t>
      </w:r>
      <w:r w:rsidR="008C39B0" w:rsidRPr="00383B17">
        <w:rPr>
          <w:rFonts w:asciiTheme="minorHAnsi" w:eastAsiaTheme="minorEastAsia" w:hAnsiTheme="minorHAnsi" w:cstheme="minorBidi"/>
          <w:color w:val="auto"/>
          <w:lang w:eastAsia="en-US"/>
        </w:rPr>
        <w:t xml:space="preserve">he LEO South Dublin Leaders Network was launched at a special event in Work IQ as part of </w:t>
      </w:r>
      <w:r w:rsidR="00142698">
        <w:rPr>
          <w:rFonts w:asciiTheme="minorHAnsi" w:eastAsiaTheme="minorEastAsia" w:hAnsiTheme="minorHAnsi" w:cstheme="minorBidi"/>
          <w:color w:val="auto"/>
          <w:lang w:eastAsia="en-US"/>
        </w:rPr>
        <w:t xml:space="preserve">a </w:t>
      </w:r>
      <w:r w:rsidR="008C39B0" w:rsidRPr="00383B17">
        <w:rPr>
          <w:rFonts w:asciiTheme="minorHAnsi" w:eastAsiaTheme="minorEastAsia" w:hAnsiTheme="minorHAnsi" w:cstheme="minorBidi"/>
          <w:color w:val="auto"/>
          <w:lang w:eastAsia="en-US"/>
        </w:rPr>
        <w:t>LEO Certificate Awards ceremony</w:t>
      </w:r>
      <w:r w:rsidR="00142698">
        <w:rPr>
          <w:rFonts w:asciiTheme="minorHAnsi" w:eastAsiaTheme="minorEastAsia" w:hAnsiTheme="minorHAnsi" w:cstheme="minorBidi"/>
          <w:color w:val="auto"/>
          <w:lang w:eastAsia="en-US"/>
        </w:rPr>
        <w:t xml:space="preserve"> to </w:t>
      </w:r>
      <w:r w:rsidR="008C39B0" w:rsidRPr="00383B17">
        <w:rPr>
          <w:rFonts w:asciiTheme="minorHAnsi" w:eastAsiaTheme="minorEastAsia" w:hAnsiTheme="minorHAnsi" w:cstheme="minorBidi"/>
          <w:color w:val="auto"/>
          <w:lang w:eastAsia="en-US"/>
        </w:rPr>
        <w:t xml:space="preserve">build on the success of the Strategic Leadership for Growth </w:t>
      </w:r>
      <w:r w:rsidR="00F60A4D">
        <w:rPr>
          <w:rFonts w:asciiTheme="minorHAnsi" w:eastAsiaTheme="minorEastAsia" w:hAnsiTheme="minorHAnsi" w:cstheme="minorBidi"/>
          <w:color w:val="auto"/>
          <w:lang w:eastAsia="en-US"/>
        </w:rPr>
        <w:t>p</w:t>
      </w:r>
      <w:r w:rsidR="008C39B0" w:rsidRPr="00383B17">
        <w:rPr>
          <w:rFonts w:asciiTheme="minorHAnsi" w:eastAsiaTheme="minorEastAsia" w:hAnsiTheme="minorHAnsi" w:cstheme="minorBidi"/>
          <w:color w:val="auto"/>
          <w:lang w:eastAsia="en-US"/>
        </w:rPr>
        <w:t>rogramme</w:t>
      </w:r>
      <w:r w:rsidR="00142698">
        <w:rPr>
          <w:rFonts w:asciiTheme="minorHAnsi" w:eastAsiaTheme="minorEastAsia" w:hAnsiTheme="minorHAnsi" w:cstheme="minorBidi"/>
          <w:color w:val="auto"/>
          <w:lang w:eastAsia="en-US"/>
        </w:rPr>
        <w:t xml:space="preserve"> by </w:t>
      </w:r>
      <w:r w:rsidR="008C39B0" w:rsidRPr="00383B17">
        <w:rPr>
          <w:rFonts w:asciiTheme="minorHAnsi" w:eastAsiaTheme="minorEastAsia" w:hAnsiTheme="minorHAnsi" w:cstheme="minorBidi"/>
          <w:color w:val="auto"/>
          <w:lang w:eastAsia="en-US"/>
        </w:rPr>
        <w:t>sustain</w:t>
      </w:r>
      <w:r w:rsidR="00142698">
        <w:rPr>
          <w:rFonts w:asciiTheme="minorHAnsi" w:eastAsiaTheme="minorEastAsia" w:hAnsiTheme="minorHAnsi" w:cstheme="minorBidi"/>
          <w:color w:val="auto"/>
          <w:lang w:eastAsia="en-US"/>
        </w:rPr>
        <w:t>ing</w:t>
      </w:r>
      <w:r w:rsidR="008C39B0" w:rsidRPr="00383B17">
        <w:rPr>
          <w:rFonts w:asciiTheme="minorHAnsi" w:eastAsiaTheme="minorEastAsia" w:hAnsiTheme="minorHAnsi" w:cstheme="minorBidi"/>
          <w:color w:val="auto"/>
          <w:lang w:eastAsia="en-US"/>
        </w:rPr>
        <w:t xml:space="preserve"> the development and growth of these leaders and their businesses.</w:t>
      </w:r>
    </w:p>
    <w:p w14:paraId="0E933FCA" w14:textId="7C5DFDE7" w:rsidR="008C39B0" w:rsidRPr="00383B17" w:rsidRDefault="008C39B0"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t xml:space="preserve">LEO supported business networks continued to expand with NEWS membership increasing to 426 and SCENE (South Dublin Creative Economy Network) growing to 295 members. A full programme of events took place throughout 2024 for both networks. The Dublin regional event for the flagship National Women’s Enterprise Day took place in October and was attended by over 240 female entrepreneurs. </w:t>
      </w:r>
    </w:p>
    <w:p w14:paraId="4202E97F" w14:textId="64CF3F39" w:rsidR="008C39B0" w:rsidRPr="00383B17" w:rsidRDefault="008C39B0"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t xml:space="preserve">13 participants from the third Strategic Leadership for Growth programme were presented with their Advanced Certificates in SME Strategic Management, following their participation on the </w:t>
      </w:r>
      <w:r w:rsidR="00933AE2" w:rsidRPr="00383B17">
        <w:rPr>
          <w:rFonts w:asciiTheme="minorHAnsi" w:eastAsiaTheme="minorEastAsia" w:hAnsiTheme="minorHAnsi" w:cstheme="minorBidi"/>
          <w:color w:val="auto"/>
          <w:lang w:eastAsia="en-US"/>
        </w:rPr>
        <w:t>six-month</w:t>
      </w:r>
      <w:r w:rsidRPr="00383B17">
        <w:rPr>
          <w:rFonts w:asciiTheme="minorHAnsi" w:eastAsiaTheme="minorEastAsia" w:hAnsiTheme="minorHAnsi" w:cstheme="minorBidi"/>
          <w:color w:val="auto"/>
          <w:lang w:eastAsia="en-US"/>
        </w:rPr>
        <w:t xml:space="preserve"> programme and submission of their Growth and Export Plans. </w:t>
      </w:r>
    </w:p>
    <w:p w14:paraId="04C4810F" w14:textId="408044EF" w:rsidR="008C39B0" w:rsidRPr="00383B17" w:rsidRDefault="008C39B0" w:rsidP="00383B17">
      <w:pPr>
        <w:pStyle w:val="ListParagraph"/>
        <w:numPr>
          <w:ilvl w:val="0"/>
          <w:numId w:val="38"/>
        </w:numPr>
        <w:spacing w:after="0" w:line="276" w:lineRule="auto"/>
        <w:ind w:left="360"/>
        <w:mirrorIndents/>
        <w:rPr>
          <w:rFonts w:asciiTheme="minorHAnsi" w:eastAsiaTheme="minorEastAsia" w:hAnsiTheme="minorHAnsi" w:cstheme="minorBidi"/>
          <w:color w:val="auto"/>
          <w:lang w:eastAsia="en-US"/>
        </w:rPr>
      </w:pPr>
      <w:r w:rsidRPr="00383B17">
        <w:rPr>
          <w:rFonts w:asciiTheme="minorHAnsi" w:eastAsiaTheme="minorEastAsia" w:hAnsiTheme="minorHAnsi" w:cstheme="minorBidi"/>
          <w:color w:val="auto"/>
          <w:lang w:eastAsia="en-US"/>
        </w:rPr>
        <w:t xml:space="preserve">Construction of the new Work IQ €16m Innovation Centre was completed and </w:t>
      </w:r>
      <w:r w:rsidR="00222A02">
        <w:rPr>
          <w:rFonts w:asciiTheme="minorHAnsi" w:eastAsiaTheme="minorEastAsia" w:hAnsiTheme="minorHAnsi" w:cstheme="minorBidi"/>
          <w:color w:val="auto"/>
          <w:lang w:eastAsia="en-US"/>
        </w:rPr>
        <w:t xml:space="preserve">the </w:t>
      </w:r>
      <w:r w:rsidRPr="00383B17">
        <w:rPr>
          <w:rFonts w:asciiTheme="minorHAnsi" w:eastAsiaTheme="minorEastAsia" w:hAnsiTheme="minorHAnsi" w:cstheme="minorBidi"/>
          <w:color w:val="auto"/>
          <w:lang w:eastAsia="en-US"/>
        </w:rPr>
        <w:t xml:space="preserve">2,980 m2 facility for entrepreneurs, start-ups, and SMEs </w:t>
      </w:r>
      <w:r w:rsidR="00222A02">
        <w:rPr>
          <w:rFonts w:asciiTheme="minorHAnsi" w:eastAsiaTheme="minorEastAsia" w:hAnsiTheme="minorHAnsi" w:cstheme="minorBidi"/>
          <w:color w:val="auto"/>
          <w:lang w:eastAsia="en-US"/>
        </w:rPr>
        <w:t xml:space="preserve">which </w:t>
      </w:r>
      <w:r w:rsidRPr="00383B17">
        <w:rPr>
          <w:rFonts w:asciiTheme="minorHAnsi" w:eastAsiaTheme="minorEastAsia" w:hAnsiTheme="minorHAnsi" w:cstheme="minorBidi"/>
          <w:color w:val="auto"/>
          <w:lang w:eastAsia="en-US"/>
        </w:rPr>
        <w:t xml:space="preserve">will </w:t>
      </w:r>
      <w:r w:rsidR="00222A02">
        <w:rPr>
          <w:rFonts w:asciiTheme="minorHAnsi" w:eastAsiaTheme="minorEastAsia" w:hAnsiTheme="minorHAnsi" w:cstheme="minorBidi"/>
          <w:color w:val="auto"/>
          <w:lang w:eastAsia="en-US"/>
        </w:rPr>
        <w:t xml:space="preserve">ultimately </w:t>
      </w:r>
      <w:r w:rsidRPr="00383B17">
        <w:rPr>
          <w:rFonts w:asciiTheme="minorHAnsi" w:eastAsiaTheme="minorEastAsia" w:hAnsiTheme="minorHAnsi" w:cstheme="minorBidi"/>
          <w:color w:val="auto"/>
          <w:lang w:eastAsia="en-US"/>
        </w:rPr>
        <w:t>be home to up to 60 businesses</w:t>
      </w:r>
      <w:r w:rsidR="003B7B62">
        <w:rPr>
          <w:rFonts w:asciiTheme="minorHAnsi" w:eastAsiaTheme="minorEastAsia" w:hAnsiTheme="minorHAnsi" w:cstheme="minorBidi"/>
          <w:color w:val="auto"/>
          <w:lang w:eastAsia="en-US"/>
        </w:rPr>
        <w:t xml:space="preserve">, was officially opened </w:t>
      </w:r>
      <w:r w:rsidR="00E07115">
        <w:rPr>
          <w:rFonts w:asciiTheme="minorHAnsi" w:eastAsiaTheme="minorEastAsia" w:hAnsiTheme="minorHAnsi" w:cstheme="minorBidi"/>
          <w:color w:val="auto"/>
          <w:lang w:eastAsia="en-US"/>
        </w:rPr>
        <w:t>in May 2024</w:t>
      </w:r>
      <w:r w:rsidR="00E07115" w:rsidRPr="00383B17">
        <w:rPr>
          <w:rFonts w:asciiTheme="minorHAnsi" w:eastAsiaTheme="minorEastAsia" w:hAnsiTheme="minorHAnsi" w:cstheme="minorBidi"/>
          <w:color w:val="auto"/>
          <w:lang w:eastAsia="en-US"/>
        </w:rPr>
        <w:t xml:space="preserve"> </w:t>
      </w:r>
      <w:r w:rsidR="003B7B62">
        <w:rPr>
          <w:rFonts w:asciiTheme="minorHAnsi" w:eastAsiaTheme="minorEastAsia" w:hAnsiTheme="minorHAnsi" w:cstheme="minorBidi"/>
          <w:color w:val="auto"/>
          <w:lang w:eastAsia="en-US"/>
        </w:rPr>
        <w:t xml:space="preserve">by then </w:t>
      </w:r>
      <w:r w:rsidR="00E07115">
        <w:rPr>
          <w:rFonts w:asciiTheme="minorHAnsi" w:eastAsiaTheme="minorEastAsia" w:hAnsiTheme="minorHAnsi" w:cstheme="minorBidi"/>
          <w:color w:val="auto"/>
          <w:lang w:eastAsia="en-US"/>
        </w:rPr>
        <w:t xml:space="preserve">Mayor, Cllr. Alan Edge and then </w:t>
      </w:r>
      <w:r w:rsidR="003B7B62">
        <w:rPr>
          <w:rFonts w:asciiTheme="minorHAnsi" w:eastAsiaTheme="minorEastAsia" w:hAnsiTheme="minorHAnsi" w:cstheme="minorBidi"/>
          <w:color w:val="auto"/>
          <w:lang w:eastAsia="en-US"/>
        </w:rPr>
        <w:t>Minister</w:t>
      </w:r>
      <w:r w:rsidR="00924597">
        <w:rPr>
          <w:rFonts w:asciiTheme="minorHAnsi" w:eastAsiaTheme="minorEastAsia" w:hAnsiTheme="minorHAnsi" w:cstheme="minorBidi"/>
          <w:color w:val="auto"/>
          <w:lang w:eastAsia="en-US"/>
        </w:rPr>
        <w:t xml:space="preserve"> of Health,</w:t>
      </w:r>
      <w:r w:rsidR="003B7B62">
        <w:rPr>
          <w:rFonts w:asciiTheme="minorHAnsi" w:eastAsiaTheme="minorEastAsia" w:hAnsiTheme="minorHAnsi" w:cstheme="minorBidi"/>
          <w:color w:val="auto"/>
          <w:lang w:eastAsia="en-US"/>
        </w:rPr>
        <w:t xml:space="preserve"> Stephen Donnelly T.D.</w:t>
      </w:r>
      <w:r w:rsidR="00924597">
        <w:rPr>
          <w:rFonts w:asciiTheme="minorHAnsi" w:eastAsiaTheme="minorEastAsia" w:hAnsiTheme="minorHAnsi" w:cstheme="minorBidi"/>
          <w:color w:val="auto"/>
          <w:lang w:eastAsia="en-US"/>
        </w:rPr>
        <w:t>,</w:t>
      </w:r>
      <w:r w:rsidR="003B7B62">
        <w:rPr>
          <w:rFonts w:asciiTheme="minorHAnsi" w:eastAsiaTheme="minorEastAsia" w:hAnsiTheme="minorHAnsi" w:cstheme="minorBidi"/>
          <w:color w:val="auto"/>
          <w:lang w:eastAsia="en-US"/>
        </w:rPr>
        <w:t xml:space="preserve"> </w:t>
      </w:r>
      <w:r w:rsidRPr="00383B17">
        <w:rPr>
          <w:rFonts w:asciiTheme="minorHAnsi" w:eastAsiaTheme="minorEastAsia" w:hAnsiTheme="minorHAnsi" w:cstheme="minorBidi"/>
          <w:color w:val="auto"/>
          <w:lang w:eastAsia="en-US"/>
        </w:rPr>
        <w:t xml:space="preserve">and </w:t>
      </w:r>
      <w:r w:rsidR="00924597">
        <w:rPr>
          <w:rFonts w:asciiTheme="minorHAnsi" w:eastAsiaTheme="minorEastAsia" w:hAnsiTheme="minorHAnsi" w:cstheme="minorBidi"/>
          <w:color w:val="auto"/>
          <w:lang w:eastAsia="en-US"/>
        </w:rPr>
        <w:t xml:space="preserve">currently </w:t>
      </w:r>
      <w:r w:rsidRPr="00383B17">
        <w:rPr>
          <w:rFonts w:asciiTheme="minorHAnsi" w:eastAsiaTheme="minorEastAsia" w:hAnsiTheme="minorHAnsi" w:cstheme="minorBidi"/>
          <w:color w:val="auto"/>
          <w:lang w:eastAsia="en-US"/>
        </w:rPr>
        <w:t xml:space="preserve">has 11 businesses in </w:t>
      </w:r>
      <w:r w:rsidR="00924597">
        <w:rPr>
          <w:rFonts w:asciiTheme="minorHAnsi" w:eastAsiaTheme="minorEastAsia" w:hAnsiTheme="minorHAnsi" w:cstheme="minorBidi"/>
          <w:color w:val="auto"/>
          <w:lang w:eastAsia="en-US"/>
        </w:rPr>
        <w:t>occupation.</w:t>
      </w:r>
    </w:p>
    <w:p w14:paraId="529F50F6" w14:textId="77777777" w:rsidR="00DD6381" w:rsidRDefault="00DD6381" w:rsidP="00E72719">
      <w:pPr>
        <w:spacing w:after="0" w:line="276" w:lineRule="auto"/>
        <w:ind w:left="0" w:firstLine="0"/>
        <w:textAlignment w:val="baseline"/>
        <w:rPr>
          <w:rFonts w:asciiTheme="minorHAnsi" w:eastAsia="Times New Roman" w:hAnsiTheme="minorHAnsi" w:cstheme="minorBidi"/>
          <w:b/>
          <w:color w:val="auto"/>
          <w:kern w:val="0"/>
          <w14:ligatures w14:val="none"/>
        </w:rPr>
      </w:pPr>
    </w:p>
    <w:p w14:paraId="0BDBF9C9" w14:textId="10020F7E" w:rsidR="008E4E5E" w:rsidRPr="00E77D63" w:rsidRDefault="008E4E5E" w:rsidP="00E72719">
      <w:pPr>
        <w:spacing w:after="0" w:line="276" w:lineRule="auto"/>
        <w:ind w:left="0" w:firstLine="0"/>
        <w:textAlignment w:val="baseline"/>
        <w:rPr>
          <w:rFonts w:asciiTheme="minorHAnsi" w:eastAsia="Times New Roman" w:hAnsiTheme="minorHAnsi" w:cstheme="minorBidi"/>
          <w:b/>
          <w:color w:val="auto"/>
          <w:kern w:val="0"/>
          <w14:ligatures w14:val="none"/>
        </w:rPr>
      </w:pPr>
      <w:r w:rsidRPr="00E77D63">
        <w:rPr>
          <w:rFonts w:asciiTheme="minorHAnsi" w:eastAsia="Times New Roman" w:hAnsiTheme="minorHAnsi" w:cstheme="minorBidi"/>
          <w:b/>
          <w:color w:val="auto"/>
          <w:kern w:val="0"/>
          <w14:ligatures w14:val="none"/>
        </w:rPr>
        <w:t xml:space="preserve">Support and </w:t>
      </w:r>
      <w:r w:rsidR="00161FC8" w:rsidRPr="00E77D63">
        <w:rPr>
          <w:rFonts w:asciiTheme="minorHAnsi" w:eastAsia="Times New Roman" w:hAnsiTheme="minorHAnsi" w:cstheme="minorBidi"/>
          <w:b/>
          <w:color w:val="auto"/>
          <w:kern w:val="0"/>
          <w14:ligatures w14:val="none"/>
        </w:rPr>
        <w:t>i</w:t>
      </w:r>
      <w:r w:rsidRPr="00E77D63">
        <w:rPr>
          <w:rFonts w:asciiTheme="minorHAnsi" w:eastAsia="Times New Roman" w:hAnsiTheme="minorHAnsi" w:cstheme="minorBidi"/>
          <w:b/>
          <w:color w:val="auto"/>
          <w:kern w:val="0"/>
          <w14:ligatures w14:val="none"/>
        </w:rPr>
        <w:t xml:space="preserve">ncrease </w:t>
      </w:r>
      <w:r w:rsidR="00161FC8" w:rsidRPr="00E77D63">
        <w:rPr>
          <w:rFonts w:asciiTheme="minorHAnsi" w:eastAsia="Times New Roman" w:hAnsiTheme="minorHAnsi" w:cstheme="minorBidi"/>
          <w:b/>
          <w:color w:val="auto"/>
          <w:kern w:val="0"/>
          <w14:ligatures w14:val="none"/>
        </w:rPr>
        <w:t>f</w:t>
      </w:r>
      <w:r w:rsidRPr="00E77D63">
        <w:rPr>
          <w:rFonts w:asciiTheme="minorHAnsi" w:eastAsia="Times New Roman" w:hAnsiTheme="minorHAnsi" w:cstheme="minorBidi"/>
          <w:b/>
          <w:color w:val="auto"/>
          <w:kern w:val="0"/>
          <w14:ligatures w14:val="none"/>
        </w:rPr>
        <w:t xml:space="preserve">oreign </w:t>
      </w:r>
      <w:r w:rsidR="00161FC8" w:rsidRPr="00E77D63">
        <w:rPr>
          <w:rFonts w:asciiTheme="minorHAnsi" w:eastAsia="Times New Roman" w:hAnsiTheme="minorHAnsi" w:cstheme="minorBidi"/>
          <w:b/>
          <w:color w:val="auto"/>
          <w:kern w:val="0"/>
          <w14:ligatures w14:val="none"/>
        </w:rPr>
        <w:t>d</w:t>
      </w:r>
      <w:r w:rsidRPr="00E77D63">
        <w:rPr>
          <w:rFonts w:asciiTheme="minorHAnsi" w:eastAsia="Times New Roman" w:hAnsiTheme="minorHAnsi" w:cstheme="minorBidi"/>
          <w:b/>
          <w:color w:val="auto"/>
          <w:kern w:val="0"/>
          <w14:ligatures w14:val="none"/>
        </w:rPr>
        <w:t xml:space="preserve">irect and </w:t>
      </w:r>
      <w:r w:rsidR="00161FC8" w:rsidRPr="00E77D63">
        <w:rPr>
          <w:rFonts w:asciiTheme="minorHAnsi" w:eastAsia="Times New Roman" w:hAnsiTheme="minorHAnsi" w:cstheme="minorBidi"/>
          <w:b/>
          <w:color w:val="auto"/>
          <w:kern w:val="0"/>
          <w14:ligatures w14:val="none"/>
        </w:rPr>
        <w:t>i</w:t>
      </w:r>
      <w:r w:rsidRPr="00E77D63">
        <w:rPr>
          <w:rFonts w:asciiTheme="minorHAnsi" w:eastAsia="Times New Roman" w:hAnsiTheme="minorHAnsi" w:cstheme="minorBidi"/>
          <w:b/>
          <w:color w:val="auto"/>
          <w:kern w:val="0"/>
          <w14:ligatures w14:val="none"/>
        </w:rPr>
        <w:t xml:space="preserve">ndigenous </w:t>
      </w:r>
      <w:r w:rsidR="00161FC8" w:rsidRPr="00E77D63">
        <w:rPr>
          <w:rFonts w:asciiTheme="minorHAnsi" w:eastAsia="Times New Roman" w:hAnsiTheme="minorHAnsi" w:cstheme="minorBidi"/>
          <w:b/>
          <w:color w:val="auto"/>
          <w:kern w:val="0"/>
          <w14:ligatures w14:val="none"/>
        </w:rPr>
        <w:t>i</w:t>
      </w:r>
      <w:r w:rsidRPr="00E77D63">
        <w:rPr>
          <w:rFonts w:asciiTheme="minorHAnsi" w:eastAsia="Times New Roman" w:hAnsiTheme="minorHAnsi" w:cstheme="minorBidi"/>
          <w:b/>
          <w:color w:val="auto"/>
          <w:kern w:val="0"/>
          <w14:ligatures w14:val="none"/>
        </w:rPr>
        <w:t xml:space="preserve">nvestment in the </w:t>
      </w:r>
      <w:r w:rsidR="00CB66AD" w:rsidRPr="00E77D63">
        <w:rPr>
          <w:rFonts w:asciiTheme="minorHAnsi" w:eastAsia="Times New Roman" w:hAnsiTheme="minorHAnsi" w:cstheme="minorBidi"/>
          <w:b/>
          <w:color w:val="auto"/>
          <w:kern w:val="0"/>
          <w14:ligatures w14:val="none"/>
        </w:rPr>
        <w:t>c</w:t>
      </w:r>
      <w:r w:rsidRPr="00E77D63">
        <w:rPr>
          <w:rFonts w:asciiTheme="minorHAnsi" w:eastAsia="Times New Roman" w:hAnsiTheme="minorHAnsi" w:cstheme="minorBidi"/>
          <w:b/>
          <w:color w:val="auto"/>
          <w:kern w:val="0"/>
          <w14:ligatures w14:val="none"/>
        </w:rPr>
        <w:t>ounty</w:t>
      </w:r>
    </w:p>
    <w:p w14:paraId="1DC83AAC" w14:textId="16BAFC4A" w:rsidR="00794A95" w:rsidRPr="00E77D63" w:rsidRDefault="00794A95" w:rsidP="00794A95">
      <w:pPr>
        <w:pStyle w:val="ListParagraph"/>
        <w:numPr>
          <w:ilvl w:val="0"/>
          <w:numId w:val="10"/>
        </w:numPr>
        <w:spacing w:after="0" w:line="276" w:lineRule="auto"/>
        <w:ind w:left="357" w:hanging="357"/>
        <w:contextualSpacing w:val="0"/>
        <w:rPr>
          <w:rFonts w:cstheme="minorBidi"/>
        </w:rPr>
      </w:pPr>
      <w:r w:rsidRPr="00E77D63">
        <w:rPr>
          <w:rFonts w:cstheme="minorBidi"/>
        </w:rPr>
        <w:t xml:space="preserve">Construction commenced on </w:t>
      </w:r>
      <w:r w:rsidR="006F16E4" w:rsidRPr="00E77D63">
        <w:rPr>
          <w:rFonts w:cstheme="minorBidi"/>
        </w:rPr>
        <w:t>Phase 2 of the Grange Castle West Access Road</w:t>
      </w:r>
      <w:r w:rsidRPr="00E77D63">
        <w:rPr>
          <w:rFonts w:cstheme="minorBidi"/>
        </w:rPr>
        <w:t xml:space="preserve"> as part of the activation of the Grange Castle Masterplan which aims to create up to 12,000 jobs.</w:t>
      </w:r>
    </w:p>
    <w:p w14:paraId="6BDF4A7F" w14:textId="61C4E12D" w:rsidR="006F16E4" w:rsidRPr="00E77D63" w:rsidRDefault="006F16E4" w:rsidP="003B1BF8">
      <w:pPr>
        <w:pStyle w:val="ListParagraph"/>
        <w:numPr>
          <w:ilvl w:val="0"/>
          <w:numId w:val="10"/>
        </w:numPr>
        <w:spacing w:after="0" w:line="276" w:lineRule="auto"/>
        <w:ind w:left="357"/>
        <w:rPr>
          <w:rFonts w:cstheme="minorBidi"/>
        </w:rPr>
      </w:pPr>
      <w:r w:rsidRPr="00E77D63">
        <w:rPr>
          <w:rFonts w:cstheme="minorBidi"/>
        </w:rPr>
        <w:t xml:space="preserve">Development </w:t>
      </w:r>
      <w:r w:rsidR="00DE07A0" w:rsidRPr="00E77D63">
        <w:rPr>
          <w:rFonts w:cstheme="minorBidi"/>
        </w:rPr>
        <w:t>and expansion work continued by several major Grange Castle clients le</w:t>
      </w:r>
      <w:r w:rsidR="00794A95" w:rsidRPr="00E77D63">
        <w:rPr>
          <w:rFonts w:cstheme="minorBidi"/>
        </w:rPr>
        <w:t xml:space="preserve">ading to </w:t>
      </w:r>
      <w:r w:rsidR="00D565F9" w:rsidRPr="00E77D63">
        <w:rPr>
          <w:rFonts w:cstheme="minorBidi"/>
        </w:rPr>
        <w:t xml:space="preserve">increased jobs both during construction and </w:t>
      </w:r>
      <w:r w:rsidRPr="00E77D63">
        <w:rPr>
          <w:rFonts w:cstheme="minorBidi"/>
        </w:rPr>
        <w:t>in the longer term.</w:t>
      </w:r>
    </w:p>
    <w:p w14:paraId="4160C468" w14:textId="5984D8CA" w:rsidR="006F16E4" w:rsidRPr="00E77D63" w:rsidRDefault="006F16E4" w:rsidP="003B1BF8">
      <w:pPr>
        <w:pStyle w:val="ListParagraph"/>
        <w:numPr>
          <w:ilvl w:val="0"/>
          <w:numId w:val="10"/>
        </w:numPr>
        <w:spacing w:after="0" w:line="276" w:lineRule="auto"/>
        <w:ind w:left="357"/>
        <w:rPr>
          <w:rFonts w:cstheme="minorBidi"/>
        </w:rPr>
      </w:pPr>
      <w:r w:rsidRPr="00E77D63">
        <w:rPr>
          <w:rFonts w:cstheme="minorBidi"/>
        </w:rPr>
        <w:t>The proposed studio /media park development by Lens Media moved forward with a grant of planning issued in December.</w:t>
      </w:r>
    </w:p>
    <w:p w14:paraId="63C976B3" w14:textId="011A2EDB" w:rsidR="006F16E4" w:rsidRPr="00E77D63" w:rsidRDefault="006F16E4" w:rsidP="2D5BE602">
      <w:pPr>
        <w:pStyle w:val="ListParagraph"/>
        <w:numPr>
          <w:ilvl w:val="0"/>
          <w:numId w:val="10"/>
        </w:numPr>
        <w:spacing w:after="0" w:line="276" w:lineRule="auto"/>
        <w:ind w:left="357" w:hanging="357"/>
        <w:rPr>
          <w:rFonts w:cstheme="minorBidi"/>
        </w:rPr>
      </w:pPr>
      <w:r w:rsidRPr="00E77D63">
        <w:rPr>
          <w:rFonts w:cstheme="minorBidi"/>
        </w:rPr>
        <w:t>Significant progress was made on progressing the 12</w:t>
      </w:r>
      <w:r w:rsidR="63119371" w:rsidRPr="00E77D63">
        <w:rPr>
          <w:rFonts w:cstheme="minorBidi"/>
          <w:vertAlign w:val="superscript"/>
        </w:rPr>
        <w:t>th</w:t>
      </w:r>
      <w:r w:rsidR="63119371" w:rsidRPr="00E77D63">
        <w:rPr>
          <w:rFonts w:cstheme="minorBidi"/>
        </w:rPr>
        <w:t xml:space="preserve"> </w:t>
      </w:r>
      <w:r w:rsidRPr="00E77D63">
        <w:rPr>
          <w:rFonts w:cstheme="minorBidi"/>
        </w:rPr>
        <w:t>Lock Masterplan</w:t>
      </w:r>
      <w:r w:rsidR="00DE07A0" w:rsidRPr="00E77D63">
        <w:rPr>
          <w:rFonts w:cstheme="minorBidi"/>
        </w:rPr>
        <w:t xml:space="preserve"> to </w:t>
      </w:r>
      <w:r w:rsidRPr="00E77D63">
        <w:rPr>
          <w:rFonts w:cstheme="minorBidi"/>
        </w:rPr>
        <w:t>creat</w:t>
      </w:r>
      <w:r w:rsidR="00DE07A0" w:rsidRPr="00E77D63">
        <w:rPr>
          <w:rFonts w:cstheme="minorBidi"/>
        </w:rPr>
        <w:t xml:space="preserve">e </w:t>
      </w:r>
      <w:r w:rsidRPr="00E77D63">
        <w:rPr>
          <w:rFonts w:cstheme="minorBidi"/>
        </w:rPr>
        <w:t xml:space="preserve">a new economic, cultural, and social quarter. Part 8 </w:t>
      </w:r>
      <w:r w:rsidR="00642C02" w:rsidRPr="00E77D63">
        <w:rPr>
          <w:rFonts w:cstheme="minorBidi"/>
        </w:rPr>
        <w:t>a</w:t>
      </w:r>
      <w:r w:rsidRPr="00E77D63">
        <w:rPr>
          <w:rFonts w:cstheme="minorBidi"/>
        </w:rPr>
        <w:t>pproval was granted for the 12</w:t>
      </w:r>
      <w:r w:rsidRPr="00E77D63">
        <w:rPr>
          <w:rFonts w:cstheme="minorBidi"/>
          <w:vertAlign w:val="superscript"/>
        </w:rPr>
        <w:t>th</w:t>
      </w:r>
      <w:r w:rsidRPr="00E77D63">
        <w:rPr>
          <w:rFonts w:cstheme="minorBidi"/>
        </w:rPr>
        <w:t xml:space="preserve"> Lock Studio and for the Grange Cottage and Outbuildings proposals</w:t>
      </w:r>
      <w:r w:rsidR="003717DF" w:rsidRPr="00E77D63">
        <w:rPr>
          <w:rFonts w:cstheme="minorBidi"/>
        </w:rPr>
        <w:t xml:space="preserve"> and </w:t>
      </w:r>
      <w:r w:rsidR="352B59FE" w:rsidRPr="00E77D63">
        <w:rPr>
          <w:rFonts w:cstheme="minorBidi"/>
        </w:rPr>
        <w:t xml:space="preserve">an </w:t>
      </w:r>
      <w:r w:rsidR="003D1AD2" w:rsidRPr="00E77D63">
        <w:rPr>
          <w:rFonts w:cstheme="minorBidi"/>
        </w:rPr>
        <w:t>a</w:t>
      </w:r>
      <w:r w:rsidRPr="00E77D63">
        <w:rPr>
          <w:rFonts w:cstheme="minorBidi"/>
        </w:rPr>
        <w:t>rchitect</w:t>
      </w:r>
      <w:r w:rsidR="003717DF" w:rsidRPr="00E77D63">
        <w:rPr>
          <w:rFonts w:cstheme="minorBidi"/>
        </w:rPr>
        <w:t>-</w:t>
      </w:r>
      <w:r w:rsidRPr="00E77D63">
        <w:rPr>
          <w:rFonts w:cstheme="minorBidi"/>
        </w:rPr>
        <w:t xml:space="preserve">led design team was appointed </w:t>
      </w:r>
      <w:r w:rsidR="00C6495C" w:rsidRPr="00E77D63">
        <w:rPr>
          <w:rFonts w:cstheme="minorBidi"/>
        </w:rPr>
        <w:t>to lead its development</w:t>
      </w:r>
      <w:r w:rsidR="00E67843" w:rsidRPr="00E77D63">
        <w:rPr>
          <w:rFonts w:cstheme="minorBidi"/>
        </w:rPr>
        <w:t>.</w:t>
      </w:r>
    </w:p>
    <w:p w14:paraId="7DDDDC20" w14:textId="550ACCCF" w:rsidR="006F16E4" w:rsidRPr="00E77D63" w:rsidRDefault="006F16E4" w:rsidP="003B1BF8">
      <w:pPr>
        <w:pStyle w:val="ListParagraph"/>
        <w:numPr>
          <w:ilvl w:val="0"/>
          <w:numId w:val="10"/>
        </w:numPr>
        <w:spacing w:after="0" w:line="276" w:lineRule="auto"/>
        <w:ind w:left="357" w:hanging="357"/>
        <w:contextualSpacing w:val="0"/>
        <w:rPr>
          <w:rFonts w:cstheme="minorBidi"/>
        </w:rPr>
      </w:pPr>
      <w:proofErr w:type="spellStart"/>
      <w:r w:rsidRPr="00E77D63">
        <w:rPr>
          <w:rFonts w:cstheme="minorBidi"/>
        </w:rPr>
        <w:t>Mountpark</w:t>
      </w:r>
      <w:proofErr w:type="spellEnd"/>
      <w:r w:rsidRPr="00E77D63">
        <w:rPr>
          <w:rFonts w:cstheme="minorBidi"/>
        </w:rPr>
        <w:t xml:space="preserve"> Ltd commenced construction of a new large-scale logistics facility, which is accessed through Grange Castle West. This is a significant investment for the </w:t>
      </w:r>
      <w:r w:rsidR="00A928A8" w:rsidRPr="00E77D63">
        <w:rPr>
          <w:rFonts w:cstheme="minorBidi"/>
        </w:rPr>
        <w:t>c</w:t>
      </w:r>
      <w:r w:rsidRPr="00E77D63">
        <w:rPr>
          <w:rFonts w:cstheme="minorBidi"/>
        </w:rPr>
        <w:t>ounty and the area delivering much needed facilities for the logistics sector.</w:t>
      </w:r>
    </w:p>
    <w:p w14:paraId="35882AB9" w14:textId="77777777" w:rsidR="006F16E4" w:rsidRPr="000C44EA" w:rsidRDefault="006F16E4" w:rsidP="00E72719">
      <w:pPr>
        <w:spacing w:after="0" w:line="276" w:lineRule="auto"/>
        <w:ind w:left="0" w:firstLine="0"/>
        <w:textAlignment w:val="baseline"/>
        <w:rPr>
          <w:rFonts w:asciiTheme="minorHAnsi" w:eastAsia="Times New Roman" w:hAnsiTheme="minorHAnsi" w:cstheme="minorBidi"/>
          <w:color w:val="auto"/>
          <w:kern w:val="0"/>
          <w14:ligatures w14:val="none"/>
        </w:rPr>
      </w:pPr>
    </w:p>
    <w:p w14:paraId="4BF75DA1" w14:textId="1F72978F" w:rsidR="008E4E5E" w:rsidRDefault="008E4E5E" w:rsidP="00E72719">
      <w:pPr>
        <w:spacing w:after="0" w:line="276" w:lineRule="auto"/>
        <w:ind w:left="0" w:firstLine="0"/>
        <w:textAlignment w:val="baseline"/>
        <w:rPr>
          <w:rFonts w:asciiTheme="minorHAnsi" w:eastAsia="Times New Roman" w:hAnsiTheme="minorHAnsi" w:cstheme="minorBidi"/>
          <w:b/>
          <w:color w:val="auto"/>
          <w:kern w:val="0"/>
          <w14:ligatures w14:val="none"/>
        </w:rPr>
      </w:pPr>
      <w:r w:rsidRPr="2FD25A97">
        <w:rPr>
          <w:rFonts w:asciiTheme="minorHAnsi" w:eastAsia="Times New Roman" w:hAnsiTheme="minorHAnsi" w:cstheme="minorBidi"/>
          <w:b/>
          <w:color w:val="auto"/>
          <w:kern w:val="0"/>
          <w14:ligatures w14:val="none"/>
        </w:rPr>
        <w:t xml:space="preserve">Manage </w:t>
      </w:r>
      <w:r w:rsidR="00783FB5" w:rsidRPr="2FD25A97">
        <w:rPr>
          <w:rFonts w:asciiTheme="minorHAnsi" w:eastAsia="Times New Roman" w:hAnsiTheme="minorHAnsi" w:cstheme="minorBidi"/>
          <w:b/>
          <w:color w:val="auto"/>
          <w:kern w:val="0"/>
          <w14:ligatures w14:val="none"/>
        </w:rPr>
        <w:t>our</w:t>
      </w:r>
      <w:r w:rsidRPr="2FD25A97">
        <w:rPr>
          <w:rFonts w:asciiTheme="minorHAnsi" w:eastAsia="Times New Roman" w:hAnsiTheme="minorHAnsi" w:cstheme="minorBidi"/>
          <w:b/>
          <w:color w:val="auto"/>
          <w:kern w:val="0"/>
          <w14:ligatures w14:val="none"/>
        </w:rPr>
        <w:t xml:space="preserve"> </w:t>
      </w:r>
      <w:r w:rsidR="00161FC8">
        <w:rPr>
          <w:rFonts w:asciiTheme="minorHAnsi" w:eastAsia="Times New Roman" w:hAnsiTheme="minorHAnsi" w:cstheme="minorBidi"/>
          <w:b/>
          <w:color w:val="auto"/>
          <w:kern w:val="0"/>
          <w14:ligatures w14:val="none"/>
        </w:rPr>
        <w:t>a</w:t>
      </w:r>
      <w:r w:rsidRPr="2FD25A97">
        <w:rPr>
          <w:rFonts w:asciiTheme="minorHAnsi" w:eastAsia="Times New Roman" w:hAnsiTheme="minorHAnsi" w:cstheme="minorBidi"/>
          <w:b/>
          <w:color w:val="auto"/>
          <w:kern w:val="0"/>
          <w14:ligatures w14:val="none"/>
        </w:rPr>
        <w:t xml:space="preserve">ssets </w:t>
      </w:r>
      <w:r w:rsidR="00FF04CD" w:rsidRPr="2FD25A97">
        <w:rPr>
          <w:rFonts w:asciiTheme="minorHAnsi" w:eastAsia="Times New Roman" w:hAnsiTheme="minorHAnsi" w:cstheme="minorBidi"/>
          <w:b/>
          <w:color w:val="auto"/>
          <w:kern w:val="0"/>
          <w14:ligatures w14:val="none"/>
        </w:rPr>
        <w:t>to</w:t>
      </w:r>
      <w:r w:rsidRPr="2FD25A97">
        <w:rPr>
          <w:rFonts w:asciiTheme="minorHAnsi" w:eastAsia="Times New Roman" w:hAnsiTheme="minorHAnsi" w:cstheme="minorBidi"/>
          <w:b/>
          <w:color w:val="auto"/>
          <w:kern w:val="0"/>
          <w14:ligatures w14:val="none"/>
        </w:rPr>
        <w:t xml:space="preserve"> </w:t>
      </w:r>
      <w:r w:rsidR="00161FC8">
        <w:rPr>
          <w:rFonts w:asciiTheme="minorHAnsi" w:eastAsia="Times New Roman" w:hAnsiTheme="minorHAnsi" w:cstheme="minorBidi"/>
          <w:b/>
          <w:color w:val="auto"/>
          <w:kern w:val="0"/>
          <w14:ligatures w14:val="none"/>
        </w:rPr>
        <w:t>f</w:t>
      </w:r>
      <w:r w:rsidRPr="2FD25A97">
        <w:rPr>
          <w:rFonts w:asciiTheme="minorHAnsi" w:eastAsia="Times New Roman" w:hAnsiTheme="minorHAnsi" w:cstheme="minorBidi"/>
          <w:b/>
          <w:color w:val="auto"/>
          <w:kern w:val="0"/>
          <w14:ligatures w14:val="none"/>
        </w:rPr>
        <w:t xml:space="preserve">ully </w:t>
      </w:r>
      <w:r w:rsidR="00161FC8">
        <w:rPr>
          <w:rFonts w:asciiTheme="minorHAnsi" w:eastAsia="Times New Roman" w:hAnsiTheme="minorHAnsi" w:cstheme="minorBidi"/>
          <w:b/>
          <w:color w:val="auto"/>
          <w:kern w:val="0"/>
          <w14:ligatures w14:val="none"/>
        </w:rPr>
        <w:t>s</w:t>
      </w:r>
      <w:r w:rsidRPr="2FD25A97">
        <w:rPr>
          <w:rFonts w:asciiTheme="minorHAnsi" w:eastAsia="Times New Roman" w:hAnsiTheme="minorHAnsi" w:cstheme="minorBidi"/>
          <w:b/>
          <w:color w:val="auto"/>
          <w:kern w:val="0"/>
          <w14:ligatures w14:val="none"/>
        </w:rPr>
        <w:t xml:space="preserve">upport </w:t>
      </w:r>
      <w:r w:rsidR="00161FC8">
        <w:rPr>
          <w:rFonts w:asciiTheme="minorHAnsi" w:eastAsia="Times New Roman" w:hAnsiTheme="minorHAnsi" w:cstheme="minorBidi"/>
          <w:b/>
          <w:color w:val="auto"/>
          <w:kern w:val="0"/>
          <w14:ligatures w14:val="none"/>
        </w:rPr>
        <w:t>e</w:t>
      </w:r>
      <w:r w:rsidRPr="2FD25A97">
        <w:rPr>
          <w:rFonts w:asciiTheme="minorHAnsi" w:eastAsia="Times New Roman" w:hAnsiTheme="minorHAnsi" w:cstheme="minorBidi"/>
          <w:b/>
          <w:color w:val="auto"/>
          <w:kern w:val="0"/>
          <w14:ligatures w14:val="none"/>
        </w:rPr>
        <w:t xml:space="preserve">conomic </w:t>
      </w:r>
      <w:r w:rsidR="00161FC8">
        <w:rPr>
          <w:rFonts w:asciiTheme="minorHAnsi" w:eastAsia="Times New Roman" w:hAnsiTheme="minorHAnsi" w:cstheme="minorBidi"/>
          <w:b/>
          <w:color w:val="auto"/>
          <w:kern w:val="0"/>
          <w14:ligatures w14:val="none"/>
        </w:rPr>
        <w:t>d</w:t>
      </w:r>
      <w:r w:rsidRPr="2FD25A97">
        <w:rPr>
          <w:rFonts w:asciiTheme="minorHAnsi" w:eastAsia="Times New Roman" w:hAnsiTheme="minorHAnsi" w:cstheme="minorBidi"/>
          <w:b/>
          <w:color w:val="auto"/>
          <w:kern w:val="0"/>
          <w14:ligatures w14:val="none"/>
        </w:rPr>
        <w:t>evelopment</w:t>
      </w:r>
    </w:p>
    <w:p w14:paraId="097C0266" w14:textId="74BF0AB5" w:rsidR="00401C99" w:rsidRPr="00C547A4" w:rsidRDefault="00D41797" w:rsidP="00C547A4">
      <w:pPr>
        <w:pStyle w:val="ListParagraph"/>
        <w:numPr>
          <w:ilvl w:val="0"/>
          <w:numId w:val="36"/>
        </w:numPr>
        <w:spacing w:after="0" w:line="276" w:lineRule="auto"/>
        <w:ind w:left="360"/>
        <w:rPr>
          <w:rFonts w:asciiTheme="minorHAnsi" w:eastAsiaTheme="minorEastAsia" w:hAnsiTheme="minorHAnsi" w:cstheme="minorBidi"/>
          <w:color w:val="auto"/>
          <w:lang w:eastAsia="en-US"/>
        </w:rPr>
      </w:pPr>
      <w:r>
        <w:rPr>
          <w:rFonts w:asciiTheme="minorHAnsi" w:eastAsiaTheme="minorEastAsia" w:hAnsiTheme="minorHAnsi" w:cstheme="minorBidi"/>
          <w:color w:val="auto"/>
          <w:lang w:eastAsia="en-US"/>
        </w:rPr>
        <w:t>F</w:t>
      </w:r>
      <w:r w:rsidR="00401C99" w:rsidRPr="001E659C">
        <w:rPr>
          <w:rFonts w:asciiTheme="minorHAnsi" w:eastAsiaTheme="minorEastAsia" w:hAnsiTheme="minorHAnsi" w:cstheme="minorBidi"/>
          <w:color w:val="auto"/>
          <w:lang w:eastAsia="en-US"/>
        </w:rPr>
        <w:t xml:space="preserve">ollowing the completion of </w:t>
      </w:r>
      <w:r w:rsidR="00FD4934" w:rsidRPr="001E659C">
        <w:rPr>
          <w:rFonts w:asciiTheme="minorHAnsi" w:eastAsiaTheme="minorEastAsia" w:hAnsiTheme="minorHAnsi" w:cstheme="minorBidi"/>
          <w:color w:val="auto"/>
          <w:lang w:eastAsia="en-US"/>
        </w:rPr>
        <w:t xml:space="preserve">the </w:t>
      </w:r>
      <w:r w:rsidR="00E21620">
        <w:rPr>
          <w:rFonts w:asciiTheme="minorHAnsi" w:eastAsiaTheme="minorEastAsia" w:hAnsiTheme="minorHAnsi" w:cstheme="minorBidi"/>
          <w:color w:val="auto"/>
          <w:lang w:eastAsia="en-US"/>
        </w:rPr>
        <w:t xml:space="preserve">new </w:t>
      </w:r>
      <w:r w:rsidR="00D22CA2">
        <w:rPr>
          <w:rFonts w:asciiTheme="minorHAnsi" w:eastAsiaTheme="minorEastAsia" w:hAnsiTheme="minorHAnsi" w:cstheme="minorBidi"/>
          <w:color w:val="auto"/>
          <w:lang w:eastAsia="en-US"/>
        </w:rPr>
        <w:t>North S</w:t>
      </w:r>
      <w:r w:rsidR="00401C99" w:rsidRPr="001E659C">
        <w:rPr>
          <w:rFonts w:asciiTheme="minorHAnsi" w:eastAsiaTheme="minorEastAsia" w:hAnsiTheme="minorHAnsi" w:cstheme="minorBidi"/>
          <w:color w:val="auto"/>
          <w:lang w:eastAsia="en-US"/>
        </w:rPr>
        <w:t xml:space="preserve">tand </w:t>
      </w:r>
      <w:r w:rsidR="00924597">
        <w:rPr>
          <w:rFonts w:asciiTheme="minorHAnsi" w:eastAsiaTheme="minorEastAsia" w:hAnsiTheme="minorHAnsi" w:cstheme="minorBidi"/>
          <w:color w:val="auto"/>
          <w:lang w:eastAsia="en-US"/>
        </w:rPr>
        <w:t>which w</w:t>
      </w:r>
      <w:r w:rsidR="00E21620">
        <w:rPr>
          <w:rFonts w:asciiTheme="minorHAnsi" w:eastAsiaTheme="minorEastAsia" w:hAnsiTheme="minorHAnsi" w:cstheme="minorBidi"/>
          <w:color w:val="auto"/>
          <w:lang w:eastAsia="en-US"/>
        </w:rPr>
        <w:t>as</w:t>
      </w:r>
      <w:r w:rsidR="00924597">
        <w:rPr>
          <w:rFonts w:asciiTheme="minorHAnsi" w:eastAsiaTheme="minorEastAsia" w:hAnsiTheme="minorHAnsi" w:cstheme="minorBidi"/>
          <w:color w:val="auto"/>
          <w:lang w:eastAsia="en-US"/>
        </w:rPr>
        <w:t xml:space="preserve"> officially opened at the Shamrock Rovers v. Bohemians League of Ireland </w:t>
      </w:r>
      <w:r w:rsidR="00C547A4">
        <w:rPr>
          <w:rFonts w:asciiTheme="minorHAnsi" w:eastAsiaTheme="minorEastAsia" w:hAnsiTheme="minorHAnsi" w:cstheme="minorBidi"/>
          <w:color w:val="auto"/>
          <w:lang w:eastAsia="en-US"/>
        </w:rPr>
        <w:t xml:space="preserve">fixture </w:t>
      </w:r>
      <w:r w:rsidR="00924597" w:rsidRPr="00C547A4">
        <w:rPr>
          <w:rFonts w:asciiTheme="minorHAnsi" w:eastAsiaTheme="minorEastAsia" w:hAnsiTheme="minorHAnsi" w:cstheme="minorBidi"/>
          <w:color w:val="auto"/>
          <w:lang w:eastAsia="en-US"/>
        </w:rPr>
        <w:t>in September</w:t>
      </w:r>
      <w:r w:rsidR="00C547A4" w:rsidRPr="00C547A4">
        <w:rPr>
          <w:rFonts w:asciiTheme="minorHAnsi" w:eastAsiaTheme="minorEastAsia" w:hAnsiTheme="minorHAnsi" w:cstheme="minorBidi"/>
          <w:color w:val="auto"/>
          <w:lang w:eastAsia="en-US"/>
        </w:rPr>
        <w:t xml:space="preserve"> </w:t>
      </w:r>
      <w:r w:rsidR="00924597" w:rsidRPr="00C547A4">
        <w:rPr>
          <w:rFonts w:asciiTheme="minorHAnsi" w:eastAsiaTheme="minorEastAsia" w:hAnsiTheme="minorHAnsi" w:cstheme="minorBidi"/>
          <w:color w:val="auto"/>
          <w:lang w:eastAsia="en-US"/>
        </w:rPr>
        <w:t xml:space="preserve">by Mayor Baby </w:t>
      </w:r>
      <w:proofErr w:type="spellStart"/>
      <w:r w:rsidR="00924597" w:rsidRPr="00C547A4">
        <w:rPr>
          <w:rFonts w:asciiTheme="minorHAnsi" w:eastAsiaTheme="minorEastAsia" w:hAnsiTheme="minorHAnsi" w:cstheme="minorBidi"/>
          <w:color w:val="auto"/>
          <w:lang w:eastAsia="en-US"/>
        </w:rPr>
        <w:t>Perrepadan</w:t>
      </w:r>
      <w:proofErr w:type="spellEnd"/>
      <w:r w:rsidR="00924597" w:rsidRPr="00C547A4">
        <w:rPr>
          <w:rFonts w:asciiTheme="minorHAnsi" w:eastAsiaTheme="minorEastAsia" w:hAnsiTheme="minorHAnsi" w:cstheme="minorBidi"/>
          <w:color w:val="auto"/>
          <w:lang w:eastAsia="en-US"/>
        </w:rPr>
        <w:t xml:space="preserve"> and then Minister for Housing, Darragh O’Brien T.D.</w:t>
      </w:r>
      <w:r w:rsidR="00FD4934" w:rsidRPr="00C547A4">
        <w:rPr>
          <w:rFonts w:asciiTheme="minorHAnsi" w:eastAsiaTheme="minorEastAsia" w:hAnsiTheme="minorHAnsi" w:cstheme="minorBidi"/>
          <w:color w:val="auto"/>
          <w:lang w:eastAsia="en-US"/>
        </w:rPr>
        <w:t>,</w:t>
      </w:r>
      <w:r w:rsidR="00401C99" w:rsidRPr="00C547A4">
        <w:rPr>
          <w:rFonts w:asciiTheme="minorHAnsi" w:eastAsiaTheme="minorEastAsia" w:hAnsiTheme="minorHAnsi" w:cstheme="minorBidi"/>
          <w:color w:val="auto"/>
          <w:lang w:eastAsia="en-US"/>
        </w:rPr>
        <w:t xml:space="preserve"> </w:t>
      </w:r>
      <w:r w:rsidR="00E21620">
        <w:rPr>
          <w:rFonts w:asciiTheme="minorHAnsi" w:eastAsiaTheme="minorEastAsia" w:hAnsiTheme="minorHAnsi" w:cstheme="minorBidi"/>
          <w:color w:val="auto"/>
          <w:lang w:eastAsia="en-US"/>
        </w:rPr>
        <w:t xml:space="preserve">Tallaght Stadium </w:t>
      </w:r>
      <w:r w:rsidR="00401C99" w:rsidRPr="00C547A4">
        <w:rPr>
          <w:rFonts w:asciiTheme="minorHAnsi" w:eastAsiaTheme="minorEastAsia" w:hAnsiTheme="minorHAnsi" w:cstheme="minorBidi"/>
          <w:color w:val="auto"/>
          <w:lang w:eastAsia="en-US"/>
        </w:rPr>
        <w:t>can now accommodate over 10,000</w:t>
      </w:r>
      <w:r w:rsidR="69AA1013" w:rsidRPr="2D5DD1C0">
        <w:rPr>
          <w:rFonts w:asciiTheme="minorHAnsi" w:eastAsiaTheme="minorEastAsia" w:hAnsiTheme="minorHAnsi" w:cstheme="minorBidi"/>
          <w:color w:val="auto"/>
          <w:lang w:eastAsia="en-US"/>
        </w:rPr>
        <w:t xml:space="preserve"> </w:t>
      </w:r>
      <w:r w:rsidR="00401C99" w:rsidRPr="00C547A4">
        <w:rPr>
          <w:rFonts w:asciiTheme="minorHAnsi" w:eastAsiaTheme="minorEastAsia" w:hAnsiTheme="minorHAnsi" w:cstheme="minorBidi"/>
          <w:color w:val="auto"/>
          <w:lang w:eastAsia="en-US"/>
        </w:rPr>
        <w:t xml:space="preserve">supporters. The </w:t>
      </w:r>
      <w:r w:rsidR="000F1B85" w:rsidRPr="00C547A4">
        <w:rPr>
          <w:rFonts w:asciiTheme="minorHAnsi" w:eastAsiaTheme="minorEastAsia" w:hAnsiTheme="minorHAnsi" w:cstheme="minorBidi"/>
          <w:color w:val="auto"/>
          <w:lang w:eastAsia="en-US"/>
        </w:rPr>
        <w:t>s</w:t>
      </w:r>
      <w:r w:rsidR="00401C99" w:rsidRPr="00C547A4">
        <w:rPr>
          <w:rFonts w:asciiTheme="minorHAnsi" w:eastAsiaTheme="minorEastAsia" w:hAnsiTheme="minorHAnsi" w:cstheme="minorBidi"/>
          <w:color w:val="auto"/>
          <w:lang w:eastAsia="en-US"/>
        </w:rPr>
        <w:t xml:space="preserve">tadium hosted many memorable </w:t>
      </w:r>
      <w:r w:rsidR="00D22CA2" w:rsidRPr="00C547A4">
        <w:rPr>
          <w:rFonts w:asciiTheme="minorHAnsi" w:eastAsiaTheme="minorEastAsia" w:hAnsiTheme="minorHAnsi" w:cstheme="minorBidi"/>
          <w:color w:val="auto"/>
          <w:lang w:eastAsia="en-US"/>
        </w:rPr>
        <w:t xml:space="preserve">domestic, </w:t>
      </w:r>
      <w:r w:rsidR="005578B7" w:rsidRPr="00C547A4">
        <w:rPr>
          <w:rFonts w:asciiTheme="minorHAnsi" w:eastAsiaTheme="minorEastAsia" w:hAnsiTheme="minorHAnsi" w:cstheme="minorBidi"/>
          <w:color w:val="auto"/>
          <w:lang w:eastAsia="en-US"/>
        </w:rPr>
        <w:t xml:space="preserve">continental and </w:t>
      </w:r>
      <w:r w:rsidR="00D22CA2" w:rsidRPr="00C547A4">
        <w:rPr>
          <w:rFonts w:asciiTheme="minorHAnsi" w:eastAsiaTheme="minorEastAsia" w:hAnsiTheme="minorHAnsi" w:cstheme="minorBidi"/>
          <w:color w:val="auto"/>
          <w:lang w:eastAsia="en-US"/>
        </w:rPr>
        <w:t xml:space="preserve">international </w:t>
      </w:r>
      <w:r w:rsidR="00401C99" w:rsidRPr="00C547A4">
        <w:rPr>
          <w:rFonts w:asciiTheme="minorHAnsi" w:eastAsiaTheme="minorEastAsia" w:hAnsiTheme="minorHAnsi" w:cstheme="minorBidi"/>
          <w:color w:val="auto"/>
          <w:lang w:eastAsia="en-US"/>
        </w:rPr>
        <w:t xml:space="preserve">fixtures during </w:t>
      </w:r>
      <w:r w:rsidR="00B73E69" w:rsidRPr="00C547A4">
        <w:rPr>
          <w:rFonts w:asciiTheme="minorHAnsi" w:eastAsiaTheme="minorEastAsia" w:hAnsiTheme="minorHAnsi" w:cstheme="minorBidi"/>
          <w:color w:val="auto"/>
          <w:lang w:eastAsia="en-US"/>
        </w:rPr>
        <w:t>the year</w:t>
      </w:r>
      <w:r w:rsidR="00401C99" w:rsidRPr="00C547A4">
        <w:rPr>
          <w:rFonts w:asciiTheme="minorHAnsi" w:eastAsiaTheme="minorEastAsia" w:hAnsiTheme="minorHAnsi" w:cstheme="minorBidi"/>
          <w:color w:val="auto"/>
          <w:lang w:eastAsia="en-US"/>
        </w:rPr>
        <w:t xml:space="preserve"> to record crowds.</w:t>
      </w:r>
    </w:p>
    <w:p w14:paraId="1937F4D5" w14:textId="3FC07EB0" w:rsidR="00401C99" w:rsidRPr="001E659C" w:rsidRDefault="00AB2C78" w:rsidP="001E659C">
      <w:pPr>
        <w:pStyle w:val="ListParagraph"/>
        <w:numPr>
          <w:ilvl w:val="0"/>
          <w:numId w:val="36"/>
        </w:numPr>
        <w:spacing w:after="0" w:line="276" w:lineRule="auto"/>
        <w:ind w:left="360"/>
        <w:rPr>
          <w:rFonts w:asciiTheme="minorHAnsi" w:eastAsiaTheme="minorEastAsia" w:hAnsiTheme="minorHAnsi" w:cstheme="minorBidi"/>
          <w:color w:val="auto"/>
          <w:lang w:eastAsia="en-US"/>
        </w:rPr>
      </w:pPr>
      <w:r>
        <w:rPr>
          <w:rFonts w:asciiTheme="minorHAnsi" w:eastAsiaTheme="minorEastAsia" w:hAnsiTheme="minorHAnsi" w:cstheme="minorBidi"/>
          <w:color w:val="auto"/>
          <w:lang w:eastAsia="en-US"/>
        </w:rPr>
        <w:lastRenderedPageBreak/>
        <w:t>A new</w:t>
      </w:r>
      <w:r w:rsidR="00401C99" w:rsidRPr="001E659C">
        <w:rPr>
          <w:rFonts w:asciiTheme="minorHAnsi" w:eastAsiaTheme="minorEastAsia" w:hAnsiTheme="minorHAnsi" w:cstheme="minorBidi"/>
          <w:color w:val="auto"/>
          <w:lang w:eastAsia="en-US"/>
        </w:rPr>
        <w:t xml:space="preserve"> 15-year lease </w:t>
      </w:r>
      <w:r>
        <w:rPr>
          <w:rFonts w:asciiTheme="minorHAnsi" w:eastAsiaTheme="minorEastAsia" w:hAnsiTheme="minorHAnsi" w:cstheme="minorBidi"/>
          <w:color w:val="auto"/>
          <w:lang w:eastAsia="en-US"/>
        </w:rPr>
        <w:t xml:space="preserve">was secured </w:t>
      </w:r>
      <w:r w:rsidR="00401C99" w:rsidRPr="001E659C">
        <w:rPr>
          <w:rFonts w:asciiTheme="minorHAnsi" w:eastAsiaTheme="minorEastAsia" w:hAnsiTheme="minorHAnsi" w:cstheme="minorBidi"/>
          <w:color w:val="auto"/>
          <w:lang w:eastAsia="en-US"/>
        </w:rPr>
        <w:t>with Shamrock Rovers FC as long-term tenant for Tallaght Stadium</w:t>
      </w:r>
      <w:r w:rsidR="00E91AA4">
        <w:rPr>
          <w:rFonts w:asciiTheme="minorHAnsi" w:eastAsiaTheme="minorEastAsia" w:hAnsiTheme="minorHAnsi" w:cstheme="minorBidi"/>
          <w:color w:val="auto"/>
          <w:lang w:eastAsia="en-US"/>
        </w:rPr>
        <w:t xml:space="preserve"> while </w:t>
      </w:r>
      <w:r w:rsidR="00401C99" w:rsidRPr="001E659C">
        <w:rPr>
          <w:rFonts w:asciiTheme="minorHAnsi" w:eastAsiaTheme="minorEastAsia" w:hAnsiTheme="minorHAnsi" w:cstheme="minorBidi"/>
          <w:color w:val="auto"/>
          <w:lang w:eastAsia="en-US"/>
        </w:rPr>
        <w:t xml:space="preserve">a 5-year Memorandum of Understanding </w:t>
      </w:r>
      <w:r w:rsidR="009331D6">
        <w:rPr>
          <w:rFonts w:asciiTheme="minorHAnsi" w:eastAsiaTheme="minorEastAsia" w:hAnsiTheme="minorHAnsi" w:cstheme="minorBidi"/>
          <w:color w:val="auto"/>
          <w:lang w:eastAsia="en-US"/>
        </w:rPr>
        <w:t xml:space="preserve">was agreed </w:t>
      </w:r>
      <w:r w:rsidR="00401C99" w:rsidRPr="001E659C">
        <w:rPr>
          <w:rFonts w:asciiTheme="minorHAnsi" w:eastAsiaTheme="minorEastAsia" w:hAnsiTheme="minorHAnsi" w:cstheme="minorBidi"/>
          <w:color w:val="auto"/>
          <w:lang w:eastAsia="en-US"/>
        </w:rPr>
        <w:t xml:space="preserve">with the FAI for use of the stadium </w:t>
      </w:r>
      <w:r w:rsidR="00142698">
        <w:rPr>
          <w:rFonts w:asciiTheme="minorHAnsi" w:eastAsiaTheme="minorEastAsia" w:hAnsiTheme="minorHAnsi" w:cstheme="minorBidi"/>
          <w:color w:val="auto"/>
          <w:lang w:eastAsia="en-US"/>
        </w:rPr>
        <w:t xml:space="preserve">by </w:t>
      </w:r>
      <w:r w:rsidR="00401C99" w:rsidRPr="001E659C">
        <w:rPr>
          <w:rFonts w:asciiTheme="minorHAnsi" w:eastAsiaTheme="minorEastAsia" w:hAnsiTheme="minorHAnsi" w:cstheme="minorBidi"/>
          <w:color w:val="auto"/>
          <w:lang w:eastAsia="en-US"/>
        </w:rPr>
        <w:t>international teams.</w:t>
      </w:r>
    </w:p>
    <w:p w14:paraId="4284D63F" w14:textId="6890872A" w:rsidR="00401C99" w:rsidRPr="001E659C" w:rsidRDefault="00401C99" w:rsidP="001E659C">
      <w:pPr>
        <w:pStyle w:val="ListParagraph"/>
        <w:numPr>
          <w:ilvl w:val="0"/>
          <w:numId w:val="36"/>
        </w:numPr>
        <w:spacing w:after="0" w:line="276" w:lineRule="auto"/>
        <w:ind w:left="360"/>
        <w:rPr>
          <w:rFonts w:asciiTheme="minorHAnsi" w:eastAsiaTheme="minorEastAsia" w:hAnsiTheme="minorHAnsi" w:cstheme="minorBidi"/>
          <w:color w:val="auto"/>
          <w:lang w:eastAsia="en-US"/>
        </w:rPr>
      </w:pPr>
      <w:r w:rsidRPr="001E659C">
        <w:rPr>
          <w:rFonts w:asciiTheme="minorHAnsi" w:eastAsiaTheme="minorEastAsia" w:hAnsiTheme="minorHAnsi" w:cstheme="minorBidi"/>
          <w:color w:val="auto"/>
          <w:lang w:eastAsia="en-US"/>
        </w:rPr>
        <w:t xml:space="preserve">A </w:t>
      </w:r>
      <w:r w:rsidR="0058712F">
        <w:rPr>
          <w:rFonts w:asciiTheme="minorHAnsi" w:eastAsiaTheme="minorEastAsia" w:hAnsiTheme="minorHAnsi" w:cstheme="minorBidi"/>
          <w:color w:val="auto"/>
          <w:lang w:eastAsia="en-US"/>
        </w:rPr>
        <w:t xml:space="preserve">competitive </w:t>
      </w:r>
      <w:r w:rsidRPr="001E659C">
        <w:rPr>
          <w:rFonts w:asciiTheme="minorHAnsi" w:eastAsiaTheme="minorEastAsia" w:hAnsiTheme="minorHAnsi" w:cstheme="minorBidi"/>
          <w:color w:val="auto"/>
          <w:lang w:eastAsia="en-US"/>
        </w:rPr>
        <w:t xml:space="preserve">process to secure a new tenant for the </w:t>
      </w:r>
      <w:proofErr w:type="spellStart"/>
      <w:r w:rsidRPr="001E659C">
        <w:rPr>
          <w:rFonts w:asciiTheme="minorHAnsi" w:eastAsiaTheme="minorEastAsia" w:hAnsiTheme="minorHAnsi" w:cstheme="minorBidi"/>
          <w:color w:val="auto"/>
          <w:lang w:eastAsia="en-US"/>
        </w:rPr>
        <w:t>undercroft</w:t>
      </w:r>
      <w:proofErr w:type="spellEnd"/>
      <w:r w:rsidRPr="001E659C">
        <w:rPr>
          <w:rFonts w:asciiTheme="minorHAnsi" w:eastAsiaTheme="minorEastAsia" w:hAnsiTheme="minorHAnsi" w:cstheme="minorBidi"/>
          <w:color w:val="auto"/>
          <w:lang w:eastAsia="en-US"/>
        </w:rPr>
        <w:t xml:space="preserve"> space of Tallaght Stadium’s North Stand was carried out and Tallaght Martial Arts, a local sports club</w:t>
      </w:r>
      <w:r w:rsidR="0058712F">
        <w:rPr>
          <w:rFonts w:asciiTheme="minorHAnsi" w:eastAsiaTheme="minorEastAsia" w:hAnsiTheme="minorHAnsi" w:cstheme="minorBidi"/>
          <w:color w:val="auto"/>
          <w:lang w:eastAsia="en-US"/>
        </w:rPr>
        <w:t xml:space="preserve"> with a </w:t>
      </w:r>
      <w:r w:rsidR="00536435">
        <w:rPr>
          <w:rFonts w:asciiTheme="minorHAnsi" w:eastAsiaTheme="minorEastAsia" w:hAnsiTheme="minorHAnsi" w:cstheme="minorBidi"/>
          <w:color w:val="auto"/>
          <w:lang w:eastAsia="en-US"/>
        </w:rPr>
        <w:t>track record of national and international success,</w:t>
      </w:r>
      <w:r w:rsidRPr="001E659C">
        <w:rPr>
          <w:rFonts w:asciiTheme="minorHAnsi" w:eastAsiaTheme="minorEastAsia" w:hAnsiTheme="minorHAnsi" w:cstheme="minorBidi"/>
          <w:color w:val="auto"/>
          <w:lang w:eastAsia="en-US"/>
        </w:rPr>
        <w:t xml:space="preserve"> will take up occupation in 2025.</w:t>
      </w:r>
    </w:p>
    <w:p w14:paraId="42766E91" w14:textId="6DDE2F6F" w:rsidR="00401C99" w:rsidRPr="001E659C" w:rsidRDefault="00401C99" w:rsidP="001E659C">
      <w:pPr>
        <w:pStyle w:val="ListParagraph"/>
        <w:numPr>
          <w:ilvl w:val="0"/>
          <w:numId w:val="36"/>
        </w:numPr>
        <w:spacing w:after="0" w:line="276" w:lineRule="auto"/>
        <w:ind w:left="360"/>
        <w:rPr>
          <w:rFonts w:asciiTheme="minorHAnsi" w:eastAsiaTheme="minorEastAsia" w:hAnsiTheme="minorHAnsi" w:cstheme="minorBidi"/>
          <w:color w:val="auto"/>
          <w:lang w:eastAsia="en-US"/>
        </w:rPr>
      </w:pPr>
      <w:r w:rsidRPr="001E659C">
        <w:rPr>
          <w:rFonts w:asciiTheme="minorHAnsi" w:eastAsiaTheme="minorEastAsia" w:hAnsiTheme="minorHAnsi" w:cstheme="minorBidi"/>
          <w:color w:val="auto"/>
          <w:lang w:eastAsia="en-US"/>
        </w:rPr>
        <w:t xml:space="preserve">The acquisition of Lucan House and </w:t>
      </w:r>
      <w:r w:rsidRPr="005B5B64">
        <w:rPr>
          <w:rFonts w:asciiTheme="minorHAnsi" w:eastAsiaTheme="minorEastAsia" w:hAnsiTheme="minorHAnsi" w:cstheme="minorBidi"/>
          <w:color w:val="auto"/>
          <w:lang w:eastAsia="en-US"/>
        </w:rPr>
        <w:t xml:space="preserve">accompanying </w:t>
      </w:r>
      <w:r w:rsidR="00883780" w:rsidRPr="005B5B64">
        <w:rPr>
          <w:rFonts w:asciiTheme="minorHAnsi" w:eastAsiaTheme="minorEastAsia" w:hAnsiTheme="minorHAnsi" w:cstheme="minorBidi"/>
          <w:color w:val="auto"/>
          <w:lang w:eastAsia="en-US"/>
        </w:rPr>
        <w:t>D</w:t>
      </w:r>
      <w:r w:rsidRPr="005B5B64">
        <w:rPr>
          <w:rFonts w:asciiTheme="minorHAnsi" w:eastAsiaTheme="minorEastAsia" w:hAnsiTheme="minorHAnsi" w:cstheme="minorBidi"/>
          <w:color w:val="auto"/>
          <w:lang w:eastAsia="en-US"/>
        </w:rPr>
        <w:t>emesne</w:t>
      </w:r>
      <w:r w:rsidRPr="001E659C">
        <w:rPr>
          <w:rFonts w:asciiTheme="minorHAnsi" w:eastAsiaTheme="minorEastAsia" w:hAnsiTheme="minorHAnsi" w:cstheme="minorBidi"/>
          <w:color w:val="auto"/>
          <w:lang w:eastAsia="en-US"/>
        </w:rPr>
        <w:t xml:space="preserve"> lands of 30 acres from the Italian government was completed in mid-2024. Procurement of an </w:t>
      </w:r>
      <w:r w:rsidR="00C87BEC">
        <w:rPr>
          <w:rFonts w:asciiTheme="minorHAnsi" w:eastAsiaTheme="minorEastAsia" w:hAnsiTheme="minorHAnsi" w:cstheme="minorBidi"/>
          <w:color w:val="auto"/>
          <w:lang w:eastAsia="en-US"/>
        </w:rPr>
        <w:t>a</w:t>
      </w:r>
      <w:r w:rsidRPr="001E659C">
        <w:rPr>
          <w:rFonts w:asciiTheme="minorHAnsi" w:eastAsiaTheme="minorEastAsia" w:hAnsiTheme="minorHAnsi" w:cstheme="minorBidi"/>
          <w:color w:val="auto"/>
          <w:lang w:eastAsia="en-US"/>
        </w:rPr>
        <w:t xml:space="preserve">rchitect led team to prepare a </w:t>
      </w:r>
      <w:r w:rsidR="00C87BEC">
        <w:rPr>
          <w:rFonts w:asciiTheme="minorHAnsi" w:eastAsiaTheme="minorEastAsia" w:hAnsiTheme="minorHAnsi" w:cstheme="minorBidi"/>
          <w:color w:val="auto"/>
          <w:lang w:eastAsia="en-US"/>
        </w:rPr>
        <w:t>m</w:t>
      </w:r>
      <w:r w:rsidRPr="001E659C">
        <w:rPr>
          <w:rFonts w:asciiTheme="minorHAnsi" w:eastAsiaTheme="minorEastAsia" w:hAnsiTheme="minorHAnsi" w:cstheme="minorBidi"/>
          <w:color w:val="auto"/>
          <w:lang w:eastAsia="en-US"/>
        </w:rPr>
        <w:t xml:space="preserve">asterplan for the future use followed. The potential offered by this strategic investment given the history, heritage, and amenity value of the property, is extremely significant for the local area and the wider </w:t>
      </w:r>
      <w:r w:rsidR="00A928A8">
        <w:rPr>
          <w:rFonts w:asciiTheme="minorHAnsi" w:eastAsiaTheme="minorEastAsia" w:hAnsiTheme="minorHAnsi" w:cstheme="minorBidi"/>
          <w:color w:val="auto"/>
          <w:lang w:eastAsia="en-US"/>
        </w:rPr>
        <w:t>c</w:t>
      </w:r>
      <w:r w:rsidRPr="001E659C">
        <w:rPr>
          <w:rFonts w:asciiTheme="minorHAnsi" w:eastAsiaTheme="minorEastAsia" w:hAnsiTheme="minorHAnsi" w:cstheme="minorBidi"/>
          <w:color w:val="auto"/>
          <w:lang w:eastAsia="en-US"/>
        </w:rPr>
        <w:t xml:space="preserve">ounty. </w:t>
      </w:r>
    </w:p>
    <w:p w14:paraId="11E20A62" w14:textId="77777777" w:rsidR="00770CC8" w:rsidRDefault="00770CC8" w:rsidP="00E72719">
      <w:pPr>
        <w:spacing w:after="0" w:line="276" w:lineRule="auto"/>
        <w:ind w:left="0" w:firstLine="0"/>
        <w:textAlignment w:val="baseline"/>
        <w:rPr>
          <w:rFonts w:asciiTheme="minorHAnsi" w:eastAsia="Times New Roman" w:hAnsiTheme="minorHAnsi" w:cstheme="minorBidi"/>
          <w:b/>
          <w:color w:val="auto"/>
          <w:kern w:val="0"/>
          <w14:ligatures w14:val="none"/>
        </w:rPr>
      </w:pPr>
    </w:p>
    <w:p w14:paraId="1887B593" w14:textId="47A70F61" w:rsidR="008E4E5E" w:rsidRPr="00783FB5" w:rsidRDefault="008E4E5E" w:rsidP="00E72719">
      <w:pPr>
        <w:spacing w:after="0" w:line="276" w:lineRule="auto"/>
        <w:ind w:left="0" w:firstLine="0"/>
        <w:textAlignment w:val="baseline"/>
        <w:rPr>
          <w:rFonts w:asciiTheme="minorHAnsi" w:eastAsia="Times New Roman" w:hAnsiTheme="minorHAnsi" w:cstheme="minorBidi"/>
          <w:b/>
          <w:color w:val="auto"/>
          <w:kern w:val="0"/>
          <w14:ligatures w14:val="none"/>
        </w:rPr>
      </w:pPr>
      <w:r w:rsidRPr="2FD25A97">
        <w:rPr>
          <w:rFonts w:asciiTheme="minorHAnsi" w:eastAsia="Times New Roman" w:hAnsiTheme="minorHAnsi" w:cstheme="minorBidi"/>
          <w:b/>
          <w:color w:val="auto"/>
          <w:kern w:val="0"/>
          <w14:ligatures w14:val="none"/>
        </w:rPr>
        <w:t xml:space="preserve">Maximise the contribution of </w:t>
      </w:r>
      <w:r w:rsidR="00161FC8">
        <w:rPr>
          <w:rFonts w:asciiTheme="minorHAnsi" w:eastAsia="Times New Roman" w:hAnsiTheme="minorHAnsi" w:cstheme="minorBidi"/>
          <w:b/>
          <w:color w:val="auto"/>
          <w:kern w:val="0"/>
          <w14:ligatures w14:val="none"/>
        </w:rPr>
        <w:t>a</w:t>
      </w:r>
      <w:r w:rsidRPr="2FD25A97">
        <w:rPr>
          <w:rFonts w:asciiTheme="minorHAnsi" w:eastAsia="Times New Roman" w:hAnsiTheme="minorHAnsi" w:cstheme="minorBidi"/>
          <w:b/>
          <w:color w:val="auto"/>
          <w:kern w:val="0"/>
          <w14:ligatures w14:val="none"/>
        </w:rPr>
        <w:t xml:space="preserve">rts, </w:t>
      </w:r>
      <w:r w:rsidR="00161FC8">
        <w:rPr>
          <w:rFonts w:asciiTheme="minorHAnsi" w:eastAsia="Times New Roman" w:hAnsiTheme="minorHAnsi" w:cstheme="minorBidi"/>
          <w:b/>
          <w:color w:val="auto"/>
          <w:kern w:val="0"/>
          <w14:ligatures w14:val="none"/>
        </w:rPr>
        <w:t>l</w:t>
      </w:r>
      <w:r w:rsidRPr="2FD25A97">
        <w:rPr>
          <w:rFonts w:asciiTheme="minorHAnsi" w:eastAsia="Times New Roman" w:hAnsiTheme="minorHAnsi" w:cstheme="minorBidi"/>
          <w:b/>
          <w:color w:val="auto"/>
          <w:kern w:val="0"/>
          <w14:ligatures w14:val="none"/>
        </w:rPr>
        <w:t xml:space="preserve">ibraries, </w:t>
      </w:r>
      <w:r w:rsidR="00161FC8">
        <w:rPr>
          <w:rFonts w:asciiTheme="minorHAnsi" w:eastAsia="Times New Roman" w:hAnsiTheme="minorHAnsi" w:cstheme="minorBidi"/>
          <w:b/>
          <w:color w:val="auto"/>
          <w:kern w:val="0"/>
          <w14:ligatures w14:val="none"/>
        </w:rPr>
        <w:t>h</w:t>
      </w:r>
      <w:r w:rsidRPr="2FD25A97">
        <w:rPr>
          <w:rFonts w:asciiTheme="minorHAnsi" w:eastAsia="Times New Roman" w:hAnsiTheme="minorHAnsi" w:cstheme="minorBidi"/>
          <w:b/>
          <w:color w:val="auto"/>
          <w:kern w:val="0"/>
          <w14:ligatures w14:val="none"/>
        </w:rPr>
        <w:t xml:space="preserve">eritage and the Irish </w:t>
      </w:r>
      <w:r w:rsidR="00161FC8">
        <w:rPr>
          <w:rFonts w:asciiTheme="minorHAnsi" w:eastAsia="Times New Roman" w:hAnsiTheme="minorHAnsi" w:cstheme="minorBidi"/>
          <w:b/>
          <w:color w:val="auto"/>
          <w:kern w:val="0"/>
          <w14:ligatures w14:val="none"/>
        </w:rPr>
        <w:t>l</w:t>
      </w:r>
      <w:r w:rsidRPr="2FD25A97">
        <w:rPr>
          <w:rFonts w:asciiTheme="minorHAnsi" w:eastAsia="Times New Roman" w:hAnsiTheme="minorHAnsi" w:cstheme="minorBidi"/>
          <w:b/>
          <w:color w:val="auto"/>
          <w:kern w:val="0"/>
          <w14:ligatures w14:val="none"/>
        </w:rPr>
        <w:t xml:space="preserve">anguage to the </w:t>
      </w:r>
      <w:r w:rsidR="00161FC8">
        <w:rPr>
          <w:rFonts w:asciiTheme="minorHAnsi" w:eastAsia="Times New Roman" w:hAnsiTheme="minorHAnsi" w:cstheme="minorBidi"/>
          <w:b/>
          <w:color w:val="auto"/>
          <w:kern w:val="0"/>
          <w14:ligatures w14:val="none"/>
        </w:rPr>
        <w:t>c</w:t>
      </w:r>
      <w:r w:rsidRPr="2FD25A97">
        <w:rPr>
          <w:rFonts w:asciiTheme="minorHAnsi" w:eastAsia="Times New Roman" w:hAnsiTheme="minorHAnsi" w:cstheme="minorBidi"/>
          <w:b/>
          <w:color w:val="auto"/>
          <w:kern w:val="0"/>
          <w14:ligatures w14:val="none"/>
        </w:rPr>
        <w:t xml:space="preserve">itizen and </w:t>
      </w:r>
      <w:r w:rsidR="00161FC8">
        <w:rPr>
          <w:rFonts w:asciiTheme="minorHAnsi" w:eastAsia="Times New Roman" w:hAnsiTheme="minorHAnsi" w:cstheme="minorBidi"/>
          <w:b/>
          <w:color w:val="auto"/>
          <w:kern w:val="0"/>
          <w14:ligatures w14:val="none"/>
        </w:rPr>
        <w:t>v</w:t>
      </w:r>
      <w:r w:rsidRPr="2FD25A97">
        <w:rPr>
          <w:rFonts w:asciiTheme="minorHAnsi" w:eastAsia="Times New Roman" w:hAnsiTheme="minorHAnsi" w:cstheme="minorBidi"/>
          <w:b/>
          <w:color w:val="auto"/>
          <w:kern w:val="0"/>
          <w14:ligatures w14:val="none"/>
        </w:rPr>
        <w:t xml:space="preserve">isitor </w:t>
      </w:r>
      <w:r w:rsidR="00161FC8">
        <w:rPr>
          <w:rFonts w:asciiTheme="minorHAnsi" w:eastAsia="Times New Roman" w:hAnsiTheme="minorHAnsi" w:cstheme="minorBidi"/>
          <w:b/>
          <w:color w:val="auto"/>
          <w:kern w:val="0"/>
          <w14:ligatures w14:val="none"/>
        </w:rPr>
        <w:t>c</w:t>
      </w:r>
      <w:r w:rsidRPr="2FD25A97">
        <w:rPr>
          <w:rFonts w:asciiTheme="minorHAnsi" w:eastAsia="Times New Roman" w:hAnsiTheme="minorHAnsi" w:cstheme="minorBidi"/>
          <w:b/>
          <w:color w:val="auto"/>
          <w:kern w:val="0"/>
          <w14:ligatures w14:val="none"/>
        </w:rPr>
        <w:t xml:space="preserve">ultural </w:t>
      </w:r>
      <w:r w:rsidR="00161FC8">
        <w:rPr>
          <w:rFonts w:asciiTheme="minorHAnsi" w:eastAsia="Times New Roman" w:hAnsiTheme="minorHAnsi" w:cstheme="minorBidi"/>
          <w:b/>
          <w:color w:val="auto"/>
          <w:kern w:val="0"/>
          <w14:ligatures w14:val="none"/>
        </w:rPr>
        <w:t>e</w:t>
      </w:r>
      <w:r w:rsidRPr="2FD25A97">
        <w:rPr>
          <w:rFonts w:asciiTheme="minorHAnsi" w:eastAsia="Times New Roman" w:hAnsiTheme="minorHAnsi" w:cstheme="minorBidi"/>
          <w:b/>
          <w:color w:val="auto"/>
          <w:kern w:val="0"/>
          <w14:ligatures w14:val="none"/>
        </w:rPr>
        <w:t>xperience</w:t>
      </w:r>
    </w:p>
    <w:p w14:paraId="6FBEB68A" w14:textId="5CB17730" w:rsidR="00BC71D8" w:rsidRPr="003359FC" w:rsidRDefault="00BC71D8" w:rsidP="003B1BF8">
      <w:pPr>
        <w:pStyle w:val="ListParagraph"/>
        <w:numPr>
          <w:ilvl w:val="0"/>
          <w:numId w:val="14"/>
        </w:numPr>
        <w:spacing w:after="0" w:line="276" w:lineRule="auto"/>
        <w:ind w:left="357"/>
      </w:pPr>
      <w:r w:rsidRPr="003359FC">
        <w:t xml:space="preserve">2024 was another successful year for our </w:t>
      </w:r>
      <w:r w:rsidR="006E05FD">
        <w:t>l</w:t>
      </w:r>
      <w:r w:rsidRPr="003359FC">
        <w:t xml:space="preserve">ibraries with more than 60,000 active members across the branch network engaging in </w:t>
      </w:r>
      <w:r w:rsidR="009331D6">
        <w:t xml:space="preserve">over </w:t>
      </w:r>
      <w:r w:rsidRPr="003359FC">
        <w:t xml:space="preserve">1.3m </w:t>
      </w:r>
      <w:r>
        <w:t xml:space="preserve">library related </w:t>
      </w:r>
      <w:r w:rsidRPr="003359FC">
        <w:t xml:space="preserve">transactions during </w:t>
      </w:r>
      <w:r w:rsidR="00DA1193">
        <w:t>946,412</w:t>
      </w:r>
      <w:r w:rsidRPr="003359FC">
        <w:t xml:space="preserve"> visits</w:t>
      </w:r>
      <w:r>
        <w:t xml:space="preserve"> from members of the public</w:t>
      </w:r>
      <w:r w:rsidRPr="003359FC">
        <w:t>.</w:t>
      </w:r>
    </w:p>
    <w:p w14:paraId="2003F5AF" w14:textId="2D5A0A06" w:rsidR="00BC71D8" w:rsidRPr="003359FC" w:rsidRDefault="00BC71D8" w:rsidP="003B1BF8">
      <w:pPr>
        <w:pStyle w:val="ListParagraph"/>
        <w:numPr>
          <w:ilvl w:val="0"/>
          <w:numId w:val="14"/>
        </w:numPr>
        <w:spacing w:after="0" w:line="276" w:lineRule="auto"/>
        <w:ind w:left="357"/>
      </w:pPr>
      <w:r w:rsidRPr="003359FC">
        <w:t xml:space="preserve">Our libraries continue to deliver a vibrant programme of events, workshops and classes. 7,761 events were held, attracting almost 150,000 </w:t>
      </w:r>
      <w:r w:rsidR="00A86859">
        <w:t>attendees.</w:t>
      </w:r>
    </w:p>
    <w:p w14:paraId="52F50354" w14:textId="2B489A63" w:rsidR="00BC71D8" w:rsidRPr="003359FC" w:rsidRDefault="00BC71D8">
      <w:pPr>
        <w:pStyle w:val="ListParagraph"/>
        <w:numPr>
          <w:ilvl w:val="0"/>
          <w:numId w:val="14"/>
        </w:numPr>
        <w:spacing w:after="0" w:line="276" w:lineRule="auto"/>
        <w:ind w:left="357"/>
      </w:pPr>
      <w:r w:rsidRPr="003359FC">
        <w:t>The My Open Library service launched at Lucan Library in September</w:t>
      </w:r>
      <w:r w:rsidR="00F609D0" w:rsidRPr="00F609D0">
        <w:t xml:space="preserve"> </w:t>
      </w:r>
      <w:r w:rsidR="00F609D0">
        <w:t xml:space="preserve">providing </w:t>
      </w:r>
      <w:r w:rsidR="00F609D0" w:rsidRPr="003359FC">
        <w:t>7</w:t>
      </w:r>
      <w:r w:rsidR="00F609D0">
        <w:t xml:space="preserve"> </w:t>
      </w:r>
      <w:r w:rsidR="00F609D0" w:rsidRPr="003359FC">
        <w:t>days a week, 365-days a year</w:t>
      </w:r>
      <w:r w:rsidR="00F609D0">
        <w:t xml:space="preserve"> opening </w:t>
      </w:r>
      <w:r w:rsidR="00F609D0" w:rsidRPr="003359FC">
        <w:t>adding an additional 43 opening hours per week</w:t>
      </w:r>
      <w:r w:rsidR="00354485">
        <w:t xml:space="preserve">, </w:t>
      </w:r>
      <w:r w:rsidRPr="003359FC">
        <w:t xml:space="preserve">with plans to extend the service to more branches in 2025. </w:t>
      </w:r>
    </w:p>
    <w:p w14:paraId="1C8D95AB" w14:textId="200818AB" w:rsidR="00BC71D8" w:rsidRPr="003359FC" w:rsidRDefault="00BC71D8" w:rsidP="003B1BF8">
      <w:pPr>
        <w:pStyle w:val="ListParagraph"/>
        <w:numPr>
          <w:ilvl w:val="0"/>
          <w:numId w:val="14"/>
        </w:numPr>
        <w:spacing w:after="0" w:line="276" w:lineRule="auto"/>
        <w:ind w:left="357"/>
      </w:pPr>
      <w:r w:rsidRPr="003359FC">
        <w:t xml:space="preserve">South Dublin Libraries now offers 429 opening hours per week across our branch network of </w:t>
      </w:r>
      <w:r w:rsidR="004301A7">
        <w:t>seven</w:t>
      </w:r>
      <w:r w:rsidRPr="003359FC">
        <w:t xml:space="preserve"> libraries, up from 372 in 2022.</w:t>
      </w:r>
    </w:p>
    <w:p w14:paraId="7EB38707" w14:textId="0BA8117F" w:rsidR="00BC71D8" w:rsidRPr="003359FC" w:rsidRDefault="00BC71D8" w:rsidP="003B1BF8">
      <w:pPr>
        <w:pStyle w:val="ListParagraph"/>
        <w:numPr>
          <w:ilvl w:val="0"/>
          <w:numId w:val="14"/>
        </w:numPr>
        <w:spacing w:after="0" w:line="276" w:lineRule="auto"/>
        <w:ind w:left="357"/>
      </w:pPr>
      <w:r w:rsidRPr="003359FC">
        <w:t xml:space="preserve">In addition, visits to </w:t>
      </w:r>
      <w:r w:rsidR="00232BF7">
        <w:t>m</w:t>
      </w:r>
      <w:r w:rsidRPr="003359FC">
        <w:t xml:space="preserve">obile </w:t>
      </w:r>
      <w:r w:rsidR="00232BF7">
        <w:t>l</w:t>
      </w:r>
      <w:r w:rsidRPr="003359FC">
        <w:t>ibrary stops in 202</w:t>
      </w:r>
      <w:r>
        <w:t>4</w:t>
      </w:r>
      <w:r w:rsidRPr="003359FC">
        <w:t xml:space="preserve"> totalled </w:t>
      </w:r>
      <w:r>
        <w:t xml:space="preserve">35,722, up from </w:t>
      </w:r>
      <w:r w:rsidRPr="003359FC">
        <w:t>27,284</w:t>
      </w:r>
      <w:r>
        <w:t xml:space="preserve"> i</w:t>
      </w:r>
      <w:r w:rsidRPr="003359FC">
        <w:t>n 202</w:t>
      </w:r>
      <w:r>
        <w:t xml:space="preserve">3, which represented a </w:t>
      </w:r>
      <w:r w:rsidRPr="003359FC">
        <w:t>31</w:t>
      </w:r>
      <w:r>
        <w:t xml:space="preserve">% </w:t>
      </w:r>
      <w:r w:rsidRPr="003359FC">
        <w:t xml:space="preserve">increase. </w:t>
      </w:r>
    </w:p>
    <w:p w14:paraId="48500371" w14:textId="016CA3A8" w:rsidR="00BC71D8" w:rsidRPr="003359FC" w:rsidRDefault="00BC71D8" w:rsidP="003B1BF8">
      <w:pPr>
        <w:pStyle w:val="ListParagraph"/>
        <w:numPr>
          <w:ilvl w:val="0"/>
          <w:numId w:val="14"/>
        </w:numPr>
        <w:spacing w:after="0" w:line="276" w:lineRule="auto"/>
        <w:ind w:left="357"/>
      </w:pPr>
      <w:r w:rsidRPr="003359FC">
        <w:t xml:space="preserve">We continued work to expand the library network with significant progress made on the delivery of Citywest Library, </w:t>
      </w:r>
      <w:r w:rsidR="00536435">
        <w:t xml:space="preserve">with work due to commence </w:t>
      </w:r>
      <w:r w:rsidRPr="003359FC">
        <w:t xml:space="preserve">in </w:t>
      </w:r>
      <w:r w:rsidR="00536435">
        <w:t>2</w:t>
      </w:r>
      <w:r w:rsidRPr="003359FC">
        <w:t xml:space="preserve">025. </w:t>
      </w:r>
      <w:r w:rsidR="004109C2">
        <w:t xml:space="preserve"> P</w:t>
      </w:r>
      <w:r w:rsidR="00536435">
        <w:t xml:space="preserve">lans </w:t>
      </w:r>
      <w:r w:rsidR="004109C2">
        <w:t xml:space="preserve">were </w:t>
      </w:r>
      <w:r w:rsidR="00536435">
        <w:t>progressed for a</w:t>
      </w:r>
      <w:r w:rsidRPr="003359FC">
        <w:t>ccess improvement</w:t>
      </w:r>
      <w:r w:rsidR="009553B5">
        <w:t>s</w:t>
      </w:r>
      <w:r w:rsidRPr="003359FC">
        <w:t xml:space="preserve"> and refurbishment works at Clondalkin Library under the Part 8 </w:t>
      </w:r>
      <w:r w:rsidR="00AA6548">
        <w:t>p</w:t>
      </w:r>
      <w:r w:rsidRPr="003359FC">
        <w:t xml:space="preserve">lanning </w:t>
      </w:r>
      <w:r w:rsidR="00AA6548">
        <w:t>p</w:t>
      </w:r>
      <w:r w:rsidRPr="003359FC">
        <w:t>rocess</w:t>
      </w:r>
      <w:r w:rsidR="00AA7855">
        <w:t xml:space="preserve"> while</w:t>
      </w:r>
      <w:r w:rsidRPr="003359FC">
        <w:t xml:space="preserve"> </w:t>
      </w:r>
      <w:r w:rsidR="00AC2CDF">
        <w:t>a</w:t>
      </w:r>
      <w:r w:rsidR="004109C2" w:rsidRPr="003359FC">
        <w:t xml:space="preserve"> </w:t>
      </w:r>
      <w:proofErr w:type="spellStart"/>
      <w:r w:rsidR="004109C2" w:rsidRPr="003359FC">
        <w:t>pre-planning</w:t>
      </w:r>
      <w:proofErr w:type="spellEnd"/>
      <w:r w:rsidR="004109C2" w:rsidRPr="003359FC">
        <w:t xml:space="preserve"> application </w:t>
      </w:r>
      <w:r w:rsidR="00AC2CDF">
        <w:t xml:space="preserve">for Adamstown Library is </w:t>
      </w:r>
      <w:r w:rsidR="004109C2" w:rsidRPr="003359FC">
        <w:t>expected to be lodged in the first half of 2025</w:t>
      </w:r>
      <w:r w:rsidR="00AC2CDF">
        <w:t>.</w:t>
      </w:r>
    </w:p>
    <w:p w14:paraId="40A0CF1B" w14:textId="21BC3BDF" w:rsidR="00BC71D8" w:rsidRPr="003359FC" w:rsidRDefault="00BC71D8" w:rsidP="003B1BF8">
      <w:pPr>
        <w:pStyle w:val="ListParagraph"/>
        <w:numPr>
          <w:ilvl w:val="0"/>
          <w:numId w:val="14"/>
        </w:numPr>
        <w:spacing w:after="0" w:line="276" w:lineRule="auto"/>
        <w:ind w:left="357"/>
      </w:pPr>
      <w:r w:rsidRPr="003359FC">
        <w:t xml:space="preserve">The Red Line Book Festival took place in October. The programme was a true testament to the power of the written word, with 50 events which spanned genres, voices, and perspectives. The events were attended by 5,051 people (up from 2,934 people attending 40 events in 2023). </w:t>
      </w:r>
    </w:p>
    <w:p w14:paraId="74361C77" w14:textId="1D1C5A9B" w:rsidR="00BC71D8" w:rsidRPr="003359FC" w:rsidRDefault="00BC71D8" w:rsidP="003B1BF8">
      <w:pPr>
        <w:pStyle w:val="ListParagraph"/>
        <w:numPr>
          <w:ilvl w:val="0"/>
          <w:numId w:val="14"/>
        </w:numPr>
        <w:spacing w:after="0" w:line="276" w:lineRule="auto"/>
        <w:ind w:left="357"/>
      </w:pPr>
      <w:r w:rsidRPr="003359FC">
        <w:t xml:space="preserve">The Parthalán Place naming process was completed and launched in September. The first major public event to take place in the newly developed public square at Parthalán Place was the </w:t>
      </w:r>
      <w:proofErr w:type="spellStart"/>
      <w:r w:rsidRPr="003359FC">
        <w:t>Tallaween</w:t>
      </w:r>
      <w:proofErr w:type="spellEnd"/>
      <w:r w:rsidRPr="003359FC">
        <w:t xml:space="preserve"> launch event on 19</w:t>
      </w:r>
      <w:r w:rsidRPr="003359FC">
        <w:rPr>
          <w:vertAlign w:val="superscript"/>
        </w:rPr>
        <w:t>th</w:t>
      </w:r>
      <w:r w:rsidRPr="003359FC">
        <w:t xml:space="preserve"> October. The </w:t>
      </w:r>
      <w:proofErr w:type="spellStart"/>
      <w:r w:rsidRPr="003359FC">
        <w:t>Tallaween</w:t>
      </w:r>
      <w:proofErr w:type="spellEnd"/>
      <w:r w:rsidRPr="003359FC">
        <w:t xml:space="preserve"> installation was seen by 5,672 people u</w:t>
      </w:r>
      <w:r w:rsidR="00BD3151">
        <w:t xml:space="preserve">p to its </w:t>
      </w:r>
      <w:r w:rsidRPr="003359FC">
        <w:t>close on 31</w:t>
      </w:r>
      <w:r w:rsidRPr="003359FC">
        <w:rPr>
          <w:vertAlign w:val="superscript"/>
        </w:rPr>
        <w:t>st</w:t>
      </w:r>
      <w:r w:rsidRPr="003359FC">
        <w:t xml:space="preserve"> October. </w:t>
      </w:r>
    </w:p>
    <w:p w14:paraId="5AEF0361" w14:textId="5E331DA7" w:rsidR="00BC71D8" w:rsidRPr="003359FC" w:rsidRDefault="00BC71D8" w:rsidP="003B1BF8">
      <w:pPr>
        <w:pStyle w:val="ListParagraph"/>
        <w:numPr>
          <w:ilvl w:val="0"/>
          <w:numId w:val="14"/>
        </w:numPr>
        <w:spacing w:after="0" w:line="276" w:lineRule="auto"/>
        <w:ind w:left="357"/>
      </w:pPr>
      <w:r w:rsidRPr="003359FC">
        <w:t xml:space="preserve">The Library Labs programme was introduced in 2024, </w:t>
      </w:r>
      <w:r w:rsidR="6DB9A4BE">
        <w:t>which</w:t>
      </w:r>
      <w:r w:rsidRPr="003359FC">
        <w:t xml:space="preserve"> is a year-long STEAM (Science, Technology, Engineering, Arts and Maths) events programme, devised to promote digital learning and STEAM amongst all ages across the </w:t>
      </w:r>
      <w:r w:rsidR="00A928A8">
        <w:t>c</w:t>
      </w:r>
      <w:r w:rsidRPr="003359FC">
        <w:t>ounty. 5</w:t>
      </w:r>
      <w:r>
        <w:t>,</w:t>
      </w:r>
      <w:r w:rsidRPr="003359FC">
        <w:t>911 people attended 396 STEAM events in libraries in 2024.</w:t>
      </w:r>
    </w:p>
    <w:p w14:paraId="1E618DB6" w14:textId="77777777" w:rsidR="00BC71D8" w:rsidRPr="003359FC" w:rsidRDefault="00BC71D8" w:rsidP="003B1BF8">
      <w:pPr>
        <w:pStyle w:val="ListParagraph"/>
        <w:numPr>
          <w:ilvl w:val="0"/>
          <w:numId w:val="14"/>
        </w:numPr>
        <w:spacing w:after="0" w:line="276" w:lineRule="auto"/>
        <w:ind w:left="357"/>
      </w:pPr>
      <w:r w:rsidRPr="003359FC">
        <w:t>Following its launch in 2022, Think Big Space has continued to engage the local community in digital education. In 2024, over 7,000 students participated in workshops on Lego Robotics and Virtual Reality.</w:t>
      </w:r>
    </w:p>
    <w:p w14:paraId="6B3C0C13" w14:textId="766A236C" w:rsidR="009E613D" w:rsidRDefault="00BC71D8" w:rsidP="003B1BF8">
      <w:pPr>
        <w:pStyle w:val="ListParagraph"/>
        <w:numPr>
          <w:ilvl w:val="0"/>
          <w:numId w:val="12"/>
        </w:numPr>
        <w:spacing w:after="0" w:line="276" w:lineRule="auto"/>
        <w:ind w:left="357"/>
      </w:pPr>
      <w:r w:rsidRPr="003359FC">
        <w:t xml:space="preserve">Our libraries continue to promote </w:t>
      </w:r>
      <w:r w:rsidR="00AC359E">
        <w:t>the</w:t>
      </w:r>
      <w:r w:rsidRPr="003359FC">
        <w:t xml:space="preserve"> heritage and the history of the </w:t>
      </w:r>
      <w:r w:rsidR="00A928A8">
        <w:t>co</w:t>
      </w:r>
      <w:r w:rsidRPr="003359FC">
        <w:t xml:space="preserve">unty through regular events programmes, including </w:t>
      </w:r>
      <w:proofErr w:type="spellStart"/>
      <w:r w:rsidRPr="003359FC">
        <w:t>Seachtain</w:t>
      </w:r>
      <w:proofErr w:type="spellEnd"/>
      <w:r w:rsidRPr="003359FC">
        <w:t xml:space="preserve"> </w:t>
      </w:r>
      <w:proofErr w:type="spellStart"/>
      <w:r w:rsidRPr="003359FC">
        <w:t>na</w:t>
      </w:r>
      <w:proofErr w:type="spellEnd"/>
      <w:r w:rsidRPr="003359FC">
        <w:t xml:space="preserve"> Gaeilge in March, National Heritage Week in August, and with the launch of the South Dublin Stories podcast. 2,374 people attended 118 history events in libraries in 2024. </w:t>
      </w:r>
    </w:p>
    <w:p w14:paraId="71DC118F" w14:textId="77777777" w:rsidR="00D50AAC" w:rsidRPr="003359FC" w:rsidRDefault="00D50AAC" w:rsidP="00D50AAC">
      <w:pPr>
        <w:numPr>
          <w:ilvl w:val="0"/>
          <w:numId w:val="12"/>
        </w:numPr>
        <w:spacing w:after="0" w:line="276" w:lineRule="auto"/>
        <w:ind w:left="357"/>
      </w:pPr>
      <w:r w:rsidRPr="003359FC">
        <w:t>390,161 visits were made to arts centres and venues</w:t>
      </w:r>
      <w:r>
        <w:t>.</w:t>
      </w:r>
    </w:p>
    <w:p w14:paraId="7C7A89ED" w14:textId="12F1B356" w:rsidR="00BC71D8" w:rsidRPr="003359FC" w:rsidRDefault="00BC71D8" w:rsidP="003B1BF8">
      <w:pPr>
        <w:pStyle w:val="ListParagraph"/>
        <w:numPr>
          <w:ilvl w:val="0"/>
          <w:numId w:val="12"/>
        </w:numPr>
        <w:spacing w:after="0" w:line="276" w:lineRule="auto"/>
        <w:ind w:left="357"/>
      </w:pPr>
      <w:r w:rsidRPr="003359FC">
        <w:t xml:space="preserve">The Arts Office presented 119 live performance events, attended by audiences of 34,127 through South Dublin Live, the Night Belongs to Us, </w:t>
      </w:r>
      <w:proofErr w:type="spellStart"/>
      <w:r w:rsidRPr="003359FC">
        <w:t>Ruaille</w:t>
      </w:r>
      <w:proofErr w:type="spellEnd"/>
      <w:r w:rsidRPr="003359FC">
        <w:t xml:space="preserve"> </w:t>
      </w:r>
      <w:proofErr w:type="spellStart"/>
      <w:r w:rsidRPr="003359FC">
        <w:t>Buaille</w:t>
      </w:r>
      <w:proofErr w:type="spellEnd"/>
      <w:r w:rsidRPr="003359FC">
        <w:t xml:space="preserve"> Lucan </w:t>
      </w:r>
      <w:proofErr w:type="spellStart"/>
      <w:r w:rsidRPr="003359FC">
        <w:t>Childrens</w:t>
      </w:r>
      <w:proofErr w:type="spellEnd"/>
      <w:r w:rsidRPr="003359FC">
        <w:t xml:space="preserve"> Music Festival, Culture Night, and Music Generation South Dublin</w:t>
      </w:r>
      <w:r w:rsidR="00802D46">
        <w:t>.</w:t>
      </w:r>
    </w:p>
    <w:p w14:paraId="3986E2C0" w14:textId="08611697" w:rsidR="00BC71D8" w:rsidRPr="003359FC" w:rsidRDefault="00BC71D8">
      <w:pPr>
        <w:numPr>
          <w:ilvl w:val="0"/>
          <w:numId w:val="12"/>
        </w:numPr>
        <w:spacing w:after="0" w:line="276" w:lineRule="auto"/>
        <w:ind w:left="357"/>
      </w:pPr>
      <w:r w:rsidRPr="003359FC">
        <w:lastRenderedPageBreak/>
        <w:t>NOISE Music had a total attendance of 1,884 in 295 DJing, music production and performance workshops held in 30 locations</w:t>
      </w:r>
      <w:r>
        <w:t>,</w:t>
      </w:r>
      <w:r w:rsidRPr="003359FC">
        <w:t xml:space="preserve"> including schools, libraries and youth centres.</w:t>
      </w:r>
      <w:r w:rsidR="007E01AD">
        <w:t xml:space="preserve">  </w:t>
      </w:r>
      <w:r w:rsidRPr="003359FC">
        <w:t xml:space="preserve">1,623 children and young people participated in music education in </w:t>
      </w:r>
      <w:r w:rsidR="00213831">
        <w:t xml:space="preserve">various school, community, library </w:t>
      </w:r>
      <w:r w:rsidR="00802D46">
        <w:t>and other events and programmes t</w:t>
      </w:r>
      <w:r w:rsidRPr="003359FC">
        <w:t>hrough Music Generation South Dublin.</w:t>
      </w:r>
    </w:p>
    <w:p w14:paraId="033EF74F" w14:textId="220B8667" w:rsidR="00BC71D8" w:rsidRPr="003359FC" w:rsidRDefault="00BC71D8">
      <w:pPr>
        <w:numPr>
          <w:ilvl w:val="0"/>
          <w:numId w:val="12"/>
        </w:numPr>
        <w:spacing w:after="0" w:line="276" w:lineRule="auto"/>
        <w:ind w:left="357"/>
      </w:pPr>
      <w:r w:rsidRPr="00177764">
        <w:rPr>
          <w:i/>
          <w:iCs/>
        </w:rPr>
        <w:t>Seedlings</w:t>
      </w:r>
      <w:r w:rsidRPr="003359FC">
        <w:t xml:space="preserve"> Children’s and Early Years Arts programme delivered </w:t>
      </w:r>
      <w:r w:rsidR="00F8306E">
        <w:t>six</w:t>
      </w:r>
      <w:r w:rsidRPr="003359FC">
        <w:t xml:space="preserve"> artists residencies, in </w:t>
      </w:r>
      <w:r w:rsidR="007C20B4">
        <w:t>e</w:t>
      </w:r>
      <w:r w:rsidRPr="003359FC">
        <w:t xml:space="preserve">arly </w:t>
      </w:r>
      <w:r w:rsidR="007C20B4">
        <w:t>y</w:t>
      </w:r>
      <w:r w:rsidRPr="003359FC">
        <w:t xml:space="preserve">ears settings and schools reaching over 120 children. </w:t>
      </w:r>
      <w:r w:rsidR="00177764">
        <w:t xml:space="preserve"> </w:t>
      </w:r>
      <w:r w:rsidRPr="003359FC">
        <w:t xml:space="preserve">The </w:t>
      </w:r>
      <w:r w:rsidRPr="00177764">
        <w:rPr>
          <w:i/>
          <w:iCs/>
        </w:rPr>
        <w:t>MAD Mag</w:t>
      </w:r>
      <w:r w:rsidRPr="003359FC">
        <w:t xml:space="preserve"> Creative Writing programme was initiated for children aged 7 – 12 and took place in </w:t>
      </w:r>
      <w:r w:rsidR="006120D6">
        <w:t>three</w:t>
      </w:r>
      <w:r w:rsidRPr="003359FC">
        <w:t xml:space="preserve"> schools and the Mother Tongues Language Explorers programme took place in </w:t>
      </w:r>
      <w:r w:rsidR="006120D6">
        <w:t>l</w:t>
      </w:r>
      <w:r w:rsidRPr="003359FC">
        <w:t xml:space="preserve">ibraries, community centres and Direct </w:t>
      </w:r>
      <w:r>
        <w:t>P</w:t>
      </w:r>
      <w:r w:rsidRPr="003359FC">
        <w:t xml:space="preserve">rovision </w:t>
      </w:r>
      <w:r>
        <w:t>C</w:t>
      </w:r>
      <w:r w:rsidRPr="003359FC">
        <w:t>entres.</w:t>
      </w:r>
    </w:p>
    <w:p w14:paraId="21A248C6" w14:textId="4CAC787C" w:rsidR="00BC71D8" w:rsidRPr="00760099" w:rsidRDefault="00BC71D8" w:rsidP="003B1BF8">
      <w:pPr>
        <w:numPr>
          <w:ilvl w:val="0"/>
          <w:numId w:val="12"/>
        </w:numPr>
        <w:spacing w:after="0" w:line="276" w:lineRule="auto"/>
        <w:ind w:left="357"/>
      </w:pPr>
      <w:r w:rsidRPr="003359FC">
        <w:t xml:space="preserve">33 </w:t>
      </w:r>
      <w:r w:rsidR="00802D46">
        <w:t>emerging and established a</w:t>
      </w:r>
      <w:r w:rsidRPr="003359FC">
        <w:t>rtists of all disciplines</w:t>
      </w:r>
      <w:r w:rsidR="00802D46">
        <w:t xml:space="preserve"> </w:t>
      </w:r>
      <w:r w:rsidRPr="003359FC">
        <w:t>received bursaries and awards to develop their practice and create new work</w:t>
      </w:r>
      <w:r w:rsidR="00802D46">
        <w:t xml:space="preserve">, including a new </w:t>
      </w:r>
      <w:r w:rsidRPr="003359FC">
        <w:t xml:space="preserve">Equality Diversity and Inclusion Artist Bursary Award in partnership with the Abbey Theatre, to theatre and filmmaker Newton Barabara working with residents of Citywest Transit Hub on the drama production </w:t>
      </w:r>
      <w:r w:rsidRPr="003359FC">
        <w:rPr>
          <w:i/>
          <w:iCs/>
        </w:rPr>
        <w:t>Halfway to Heaven.</w:t>
      </w:r>
    </w:p>
    <w:p w14:paraId="24A9C56D" w14:textId="3D384004" w:rsidR="00BC71D8" w:rsidRPr="003359FC" w:rsidRDefault="00BC71D8" w:rsidP="003B1BF8">
      <w:pPr>
        <w:numPr>
          <w:ilvl w:val="0"/>
          <w:numId w:val="13"/>
        </w:numPr>
        <w:spacing w:after="0" w:line="276" w:lineRule="auto"/>
        <w:ind w:left="357"/>
      </w:pPr>
      <w:r w:rsidRPr="003359FC">
        <w:t xml:space="preserve">Through the Creative Ireland South Dublin Programme, </w:t>
      </w:r>
      <w:r w:rsidR="00760099">
        <w:t>we</w:t>
      </w:r>
      <w:r w:rsidRPr="003359FC">
        <w:t xml:space="preserve"> delivered </w:t>
      </w:r>
      <w:proofErr w:type="spellStart"/>
      <w:r w:rsidRPr="003359FC">
        <w:t>Cruinniú</w:t>
      </w:r>
      <w:proofErr w:type="spellEnd"/>
      <w:r w:rsidRPr="003359FC">
        <w:t xml:space="preserve"> </w:t>
      </w:r>
      <w:proofErr w:type="spellStart"/>
      <w:r w:rsidRPr="003359FC">
        <w:t>na</w:t>
      </w:r>
      <w:proofErr w:type="spellEnd"/>
      <w:r w:rsidRPr="003359FC">
        <w:t xml:space="preserve"> </w:t>
      </w:r>
      <w:proofErr w:type="spellStart"/>
      <w:r w:rsidRPr="003359FC">
        <w:t>nÓg</w:t>
      </w:r>
      <w:proofErr w:type="spellEnd"/>
      <w:r w:rsidRPr="003359FC">
        <w:t xml:space="preserve">, the </w:t>
      </w:r>
      <w:proofErr w:type="gramStart"/>
      <w:r w:rsidRPr="003359FC">
        <w:t>national day of children’s</w:t>
      </w:r>
      <w:proofErr w:type="gramEnd"/>
      <w:r w:rsidRPr="003359FC">
        <w:t xml:space="preserve"> creativity, with 2,752 children and young people participating.</w:t>
      </w:r>
    </w:p>
    <w:p w14:paraId="5EAA071F" w14:textId="77777777" w:rsidR="00BC71D8" w:rsidRDefault="00BC71D8" w:rsidP="00E72719">
      <w:pPr>
        <w:spacing w:after="0" w:line="276" w:lineRule="auto"/>
        <w:ind w:left="0" w:firstLine="0"/>
        <w:textAlignment w:val="baseline"/>
        <w:rPr>
          <w:rFonts w:asciiTheme="minorHAnsi" w:eastAsia="Times New Roman" w:hAnsiTheme="minorHAnsi" w:cstheme="minorBidi"/>
          <w:b/>
          <w:color w:val="auto"/>
          <w:kern w:val="0"/>
          <w14:ligatures w14:val="none"/>
        </w:rPr>
      </w:pPr>
    </w:p>
    <w:p w14:paraId="3B80457C" w14:textId="018A38F2" w:rsidR="008E4E5E" w:rsidRDefault="008E4E5E" w:rsidP="00E72719">
      <w:pPr>
        <w:spacing w:after="0" w:line="276" w:lineRule="auto"/>
        <w:ind w:left="0" w:firstLine="0"/>
        <w:textAlignment w:val="baseline"/>
        <w:rPr>
          <w:rFonts w:asciiTheme="minorHAnsi" w:eastAsia="Times New Roman" w:hAnsiTheme="minorHAnsi" w:cstheme="minorBidi"/>
          <w:b/>
          <w:color w:val="auto"/>
          <w:kern w:val="0"/>
          <w14:ligatures w14:val="none"/>
        </w:rPr>
      </w:pPr>
      <w:r w:rsidRPr="2FD25A97">
        <w:rPr>
          <w:rFonts w:asciiTheme="minorHAnsi" w:eastAsia="Times New Roman" w:hAnsiTheme="minorHAnsi" w:cstheme="minorBidi"/>
          <w:b/>
          <w:color w:val="auto"/>
          <w:kern w:val="0"/>
          <w14:ligatures w14:val="none"/>
        </w:rPr>
        <w:t xml:space="preserve">Implement a </w:t>
      </w:r>
      <w:r w:rsidR="00161FC8">
        <w:rPr>
          <w:rFonts w:asciiTheme="minorHAnsi" w:eastAsia="Times New Roman" w:hAnsiTheme="minorHAnsi" w:cstheme="minorBidi"/>
          <w:b/>
          <w:color w:val="auto"/>
          <w:kern w:val="0"/>
          <w14:ligatures w14:val="none"/>
        </w:rPr>
        <w:t>t</w:t>
      </w:r>
      <w:r w:rsidRPr="2FD25A97">
        <w:rPr>
          <w:rFonts w:asciiTheme="minorHAnsi" w:eastAsia="Times New Roman" w:hAnsiTheme="minorHAnsi" w:cstheme="minorBidi"/>
          <w:b/>
          <w:color w:val="auto"/>
          <w:kern w:val="0"/>
          <w14:ligatures w14:val="none"/>
        </w:rPr>
        <w:t xml:space="preserve">ourism </w:t>
      </w:r>
      <w:r w:rsidR="00161FC8">
        <w:rPr>
          <w:rFonts w:asciiTheme="minorHAnsi" w:eastAsia="Times New Roman" w:hAnsiTheme="minorHAnsi" w:cstheme="minorBidi"/>
          <w:b/>
          <w:color w:val="auto"/>
          <w:kern w:val="0"/>
          <w14:ligatures w14:val="none"/>
        </w:rPr>
        <w:t>s</w:t>
      </w:r>
      <w:r w:rsidRPr="2FD25A97">
        <w:rPr>
          <w:rFonts w:asciiTheme="minorHAnsi" w:eastAsia="Times New Roman" w:hAnsiTheme="minorHAnsi" w:cstheme="minorBidi"/>
          <w:b/>
          <w:color w:val="auto"/>
          <w:kern w:val="0"/>
          <w14:ligatures w14:val="none"/>
        </w:rPr>
        <w:t xml:space="preserve">trategy </w:t>
      </w:r>
      <w:r w:rsidR="00161FC8">
        <w:rPr>
          <w:rFonts w:asciiTheme="minorHAnsi" w:eastAsia="Times New Roman" w:hAnsiTheme="minorHAnsi" w:cstheme="minorBidi"/>
          <w:b/>
          <w:color w:val="auto"/>
          <w:kern w:val="0"/>
          <w14:ligatures w14:val="none"/>
        </w:rPr>
        <w:t>f</w:t>
      </w:r>
      <w:r w:rsidRPr="2FD25A97">
        <w:rPr>
          <w:rFonts w:asciiTheme="minorHAnsi" w:eastAsia="Times New Roman" w:hAnsiTheme="minorHAnsi" w:cstheme="minorBidi"/>
          <w:b/>
          <w:color w:val="auto"/>
          <w:kern w:val="0"/>
          <w14:ligatures w14:val="none"/>
        </w:rPr>
        <w:t xml:space="preserve">ocused on </w:t>
      </w:r>
      <w:r w:rsidR="00161FC8">
        <w:rPr>
          <w:rFonts w:asciiTheme="minorHAnsi" w:eastAsia="Times New Roman" w:hAnsiTheme="minorHAnsi" w:cstheme="minorBidi"/>
          <w:b/>
          <w:color w:val="auto"/>
          <w:kern w:val="0"/>
          <w14:ligatures w14:val="none"/>
        </w:rPr>
        <w:t>n</w:t>
      </w:r>
      <w:r w:rsidRPr="2FD25A97">
        <w:rPr>
          <w:rFonts w:asciiTheme="minorHAnsi" w:eastAsia="Times New Roman" w:hAnsiTheme="minorHAnsi" w:cstheme="minorBidi"/>
          <w:b/>
          <w:color w:val="auto"/>
          <w:kern w:val="0"/>
          <w14:ligatures w14:val="none"/>
        </w:rPr>
        <w:t xml:space="preserve">ew </w:t>
      </w:r>
      <w:r w:rsidR="00161FC8">
        <w:rPr>
          <w:rFonts w:asciiTheme="minorHAnsi" w:eastAsia="Times New Roman" w:hAnsiTheme="minorHAnsi" w:cstheme="minorBidi"/>
          <w:b/>
          <w:color w:val="auto"/>
          <w:kern w:val="0"/>
          <w14:ligatures w14:val="none"/>
        </w:rPr>
        <w:t>p</w:t>
      </w:r>
      <w:r w:rsidRPr="2FD25A97">
        <w:rPr>
          <w:rFonts w:asciiTheme="minorHAnsi" w:eastAsia="Times New Roman" w:hAnsiTheme="minorHAnsi" w:cstheme="minorBidi"/>
          <w:b/>
          <w:color w:val="auto"/>
          <w:kern w:val="0"/>
          <w14:ligatures w14:val="none"/>
        </w:rPr>
        <w:t xml:space="preserve">roduct and </w:t>
      </w:r>
      <w:r w:rsidR="00161FC8">
        <w:rPr>
          <w:rFonts w:asciiTheme="minorHAnsi" w:eastAsia="Times New Roman" w:hAnsiTheme="minorHAnsi" w:cstheme="minorBidi"/>
          <w:b/>
          <w:color w:val="auto"/>
          <w:kern w:val="0"/>
          <w14:ligatures w14:val="none"/>
        </w:rPr>
        <w:t>b</w:t>
      </w:r>
      <w:r w:rsidRPr="2FD25A97">
        <w:rPr>
          <w:rFonts w:asciiTheme="minorHAnsi" w:eastAsia="Times New Roman" w:hAnsiTheme="minorHAnsi" w:cstheme="minorBidi"/>
          <w:b/>
          <w:color w:val="auto"/>
          <w:kern w:val="0"/>
          <w14:ligatures w14:val="none"/>
        </w:rPr>
        <w:t xml:space="preserve">rand </w:t>
      </w:r>
      <w:r w:rsidR="00161FC8">
        <w:rPr>
          <w:rFonts w:asciiTheme="minorHAnsi" w:eastAsia="Times New Roman" w:hAnsiTheme="minorHAnsi" w:cstheme="minorBidi"/>
          <w:b/>
          <w:color w:val="auto"/>
          <w:kern w:val="0"/>
          <w14:ligatures w14:val="none"/>
        </w:rPr>
        <w:t>d</w:t>
      </w:r>
      <w:r w:rsidRPr="2FD25A97">
        <w:rPr>
          <w:rFonts w:asciiTheme="minorHAnsi" w:eastAsia="Times New Roman" w:hAnsiTheme="minorHAnsi" w:cstheme="minorBidi"/>
          <w:b/>
          <w:color w:val="auto"/>
          <w:kern w:val="0"/>
          <w14:ligatures w14:val="none"/>
        </w:rPr>
        <w:t>evelopment</w:t>
      </w:r>
    </w:p>
    <w:p w14:paraId="75A40521" w14:textId="76D3EDDF" w:rsidR="00105D35" w:rsidRPr="0002057E" w:rsidRDefault="002D6A1F" w:rsidP="0002057E">
      <w:pPr>
        <w:pStyle w:val="ListParagraph"/>
        <w:numPr>
          <w:ilvl w:val="0"/>
          <w:numId w:val="37"/>
        </w:numPr>
        <w:spacing w:after="0" w:line="276" w:lineRule="auto"/>
        <w:ind w:left="360"/>
        <w:rPr>
          <w:rFonts w:asciiTheme="minorHAnsi" w:eastAsiaTheme="minorEastAsia" w:hAnsiTheme="minorHAnsi" w:cstheme="minorBidi"/>
          <w:color w:val="auto"/>
          <w:lang w:eastAsia="en-US"/>
        </w:rPr>
      </w:pPr>
      <w:r>
        <w:rPr>
          <w:rFonts w:asciiTheme="minorHAnsi" w:eastAsiaTheme="minorEastAsia" w:hAnsiTheme="minorHAnsi" w:cstheme="minorBidi"/>
          <w:color w:val="auto"/>
          <w:lang w:eastAsia="en-US"/>
        </w:rPr>
        <w:t xml:space="preserve">A </w:t>
      </w:r>
      <w:r w:rsidR="00105D35" w:rsidRPr="0002057E">
        <w:rPr>
          <w:rFonts w:asciiTheme="minorHAnsi" w:eastAsiaTheme="minorEastAsia" w:hAnsiTheme="minorHAnsi" w:cstheme="minorBidi"/>
          <w:color w:val="auto"/>
          <w:lang w:eastAsia="en-US"/>
        </w:rPr>
        <w:t xml:space="preserve">new Tourism Strategy was launched in February, outlining </w:t>
      </w:r>
      <w:r>
        <w:rPr>
          <w:rFonts w:asciiTheme="minorHAnsi" w:eastAsiaTheme="minorEastAsia" w:hAnsiTheme="minorHAnsi" w:cstheme="minorBidi"/>
          <w:color w:val="auto"/>
          <w:lang w:eastAsia="en-US"/>
        </w:rPr>
        <w:t xml:space="preserve">our </w:t>
      </w:r>
      <w:r w:rsidR="00105D35" w:rsidRPr="0002057E">
        <w:rPr>
          <w:rFonts w:asciiTheme="minorHAnsi" w:eastAsiaTheme="minorEastAsia" w:hAnsiTheme="minorHAnsi" w:cstheme="minorBidi"/>
          <w:color w:val="auto"/>
          <w:lang w:eastAsia="en-US"/>
        </w:rPr>
        <w:t xml:space="preserve">strategic priorities for </w:t>
      </w:r>
      <w:r>
        <w:rPr>
          <w:rFonts w:asciiTheme="minorHAnsi" w:eastAsiaTheme="minorEastAsia" w:hAnsiTheme="minorHAnsi" w:cstheme="minorBidi"/>
          <w:color w:val="auto"/>
          <w:lang w:eastAsia="en-US"/>
        </w:rPr>
        <w:t xml:space="preserve">tourism development </w:t>
      </w:r>
      <w:r w:rsidR="00105D35" w:rsidRPr="0002057E">
        <w:rPr>
          <w:rFonts w:asciiTheme="minorHAnsi" w:eastAsiaTheme="minorEastAsia" w:hAnsiTheme="minorHAnsi" w:cstheme="minorBidi"/>
          <w:color w:val="auto"/>
          <w:lang w:eastAsia="en-US"/>
        </w:rPr>
        <w:t xml:space="preserve">in </w:t>
      </w:r>
      <w:r>
        <w:rPr>
          <w:rFonts w:asciiTheme="minorHAnsi" w:eastAsiaTheme="minorEastAsia" w:hAnsiTheme="minorHAnsi" w:cstheme="minorBidi"/>
          <w:color w:val="auto"/>
          <w:lang w:eastAsia="en-US"/>
        </w:rPr>
        <w:t xml:space="preserve">South Dublin from </w:t>
      </w:r>
      <w:r w:rsidR="00105D35" w:rsidRPr="0002057E">
        <w:rPr>
          <w:rFonts w:asciiTheme="minorHAnsi" w:eastAsiaTheme="minorEastAsia" w:hAnsiTheme="minorHAnsi" w:cstheme="minorBidi"/>
          <w:color w:val="auto"/>
          <w:lang w:eastAsia="en-US"/>
        </w:rPr>
        <w:t xml:space="preserve">2024 </w:t>
      </w:r>
      <w:r>
        <w:rPr>
          <w:rFonts w:asciiTheme="minorHAnsi" w:eastAsiaTheme="minorEastAsia" w:hAnsiTheme="minorHAnsi" w:cstheme="minorBidi"/>
          <w:color w:val="auto"/>
          <w:lang w:eastAsia="en-US"/>
        </w:rPr>
        <w:t xml:space="preserve">to </w:t>
      </w:r>
      <w:r w:rsidR="00F24753" w:rsidRPr="0002057E">
        <w:rPr>
          <w:rFonts w:asciiTheme="minorHAnsi" w:eastAsiaTheme="minorEastAsia" w:hAnsiTheme="minorHAnsi" w:cstheme="minorBidi"/>
          <w:color w:val="auto"/>
          <w:lang w:eastAsia="en-US"/>
        </w:rPr>
        <w:t>2029</w:t>
      </w:r>
      <w:r w:rsidR="00F24753">
        <w:rPr>
          <w:rFonts w:asciiTheme="minorHAnsi" w:eastAsiaTheme="minorEastAsia" w:hAnsiTheme="minorHAnsi" w:cstheme="minorBidi"/>
          <w:color w:val="auto"/>
          <w:lang w:eastAsia="en-US"/>
        </w:rPr>
        <w:t>,</w:t>
      </w:r>
      <w:r w:rsidR="00105D35" w:rsidRPr="0002057E">
        <w:rPr>
          <w:rFonts w:asciiTheme="minorHAnsi" w:eastAsiaTheme="minorEastAsia" w:hAnsiTheme="minorHAnsi" w:cstheme="minorBidi"/>
          <w:color w:val="auto"/>
          <w:lang w:eastAsia="en-US"/>
        </w:rPr>
        <w:t xml:space="preserve"> to build on the importance of tourism to the local economy.</w:t>
      </w:r>
    </w:p>
    <w:p w14:paraId="3065B33B" w14:textId="29F6E29D" w:rsidR="00105D35" w:rsidRPr="0002057E" w:rsidRDefault="00105D35" w:rsidP="0002057E">
      <w:pPr>
        <w:pStyle w:val="ListParagraph"/>
        <w:numPr>
          <w:ilvl w:val="0"/>
          <w:numId w:val="37"/>
        </w:numPr>
        <w:spacing w:after="0" w:line="276" w:lineRule="auto"/>
        <w:ind w:left="360"/>
        <w:rPr>
          <w:rFonts w:asciiTheme="minorHAnsi" w:eastAsiaTheme="minorEastAsia" w:hAnsiTheme="minorHAnsi" w:cstheme="minorBidi"/>
          <w:color w:val="auto"/>
          <w:lang w:eastAsia="en-US"/>
        </w:rPr>
      </w:pPr>
      <w:r w:rsidRPr="0002057E">
        <w:rPr>
          <w:rFonts w:asciiTheme="minorHAnsi" w:eastAsiaTheme="minorEastAsia" w:hAnsiTheme="minorHAnsi" w:cstheme="minorBidi"/>
          <w:color w:val="auto"/>
          <w:lang w:eastAsia="en-US"/>
        </w:rPr>
        <w:t>A three</w:t>
      </w:r>
      <w:r w:rsidR="00247B79">
        <w:rPr>
          <w:rFonts w:asciiTheme="minorHAnsi" w:eastAsiaTheme="minorEastAsia" w:hAnsiTheme="minorHAnsi" w:cstheme="minorBidi"/>
          <w:color w:val="auto"/>
          <w:lang w:eastAsia="en-US"/>
        </w:rPr>
        <w:t>-</w:t>
      </w:r>
      <w:r w:rsidRPr="0002057E">
        <w:rPr>
          <w:rFonts w:asciiTheme="minorHAnsi" w:eastAsiaTheme="minorEastAsia" w:hAnsiTheme="minorHAnsi" w:cstheme="minorBidi"/>
          <w:color w:val="auto"/>
          <w:lang w:eastAsia="en-US"/>
        </w:rPr>
        <w:t>stage non</w:t>
      </w:r>
      <w:r w:rsidR="00247B79">
        <w:rPr>
          <w:rFonts w:asciiTheme="minorHAnsi" w:eastAsiaTheme="minorEastAsia" w:hAnsiTheme="minorHAnsi" w:cstheme="minorBidi"/>
          <w:color w:val="auto"/>
          <w:lang w:eastAsia="en-US"/>
        </w:rPr>
        <w:t>-</w:t>
      </w:r>
      <w:r w:rsidRPr="0002057E">
        <w:rPr>
          <w:rFonts w:asciiTheme="minorHAnsi" w:eastAsiaTheme="minorEastAsia" w:hAnsiTheme="minorHAnsi" w:cstheme="minorBidi"/>
          <w:color w:val="auto"/>
          <w:lang w:eastAsia="en-US"/>
        </w:rPr>
        <w:t xml:space="preserve">statutory public engagement process was undertaken as part of </w:t>
      </w:r>
      <w:r w:rsidR="00247B79">
        <w:rPr>
          <w:rFonts w:asciiTheme="minorHAnsi" w:eastAsiaTheme="minorEastAsia" w:hAnsiTheme="minorHAnsi" w:cstheme="minorBidi"/>
          <w:color w:val="auto"/>
          <w:lang w:eastAsia="en-US"/>
        </w:rPr>
        <w:t xml:space="preserve">the </w:t>
      </w:r>
      <w:r w:rsidRPr="0002057E">
        <w:rPr>
          <w:rFonts w:asciiTheme="minorHAnsi" w:eastAsiaTheme="minorEastAsia" w:hAnsiTheme="minorHAnsi" w:cstheme="minorBidi"/>
          <w:color w:val="auto"/>
          <w:lang w:eastAsia="en-US"/>
        </w:rPr>
        <w:t>develop</w:t>
      </w:r>
      <w:r w:rsidR="001C1298">
        <w:rPr>
          <w:rFonts w:asciiTheme="minorHAnsi" w:eastAsiaTheme="minorEastAsia" w:hAnsiTheme="minorHAnsi" w:cstheme="minorBidi"/>
          <w:color w:val="auto"/>
          <w:lang w:eastAsia="en-US"/>
        </w:rPr>
        <w:t xml:space="preserve">ment of </w:t>
      </w:r>
      <w:r w:rsidRPr="0002057E">
        <w:rPr>
          <w:rFonts w:asciiTheme="minorHAnsi" w:eastAsiaTheme="minorEastAsia" w:hAnsiTheme="minorHAnsi" w:cstheme="minorBidi"/>
          <w:color w:val="auto"/>
          <w:lang w:eastAsia="en-US"/>
        </w:rPr>
        <w:t xml:space="preserve">the Rathfarnham Stables masterplan. Over 1,000 people engaged in onsite tours, an online questionnaire, and a series of focus groups. </w:t>
      </w:r>
      <w:proofErr w:type="gramStart"/>
      <w:r w:rsidRPr="0002057E">
        <w:rPr>
          <w:rFonts w:asciiTheme="minorHAnsi" w:eastAsiaTheme="minorEastAsia" w:hAnsiTheme="minorHAnsi" w:cstheme="minorBidi"/>
          <w:color w:val="auto"/>
          <w:lang w:eastAsia="en-US"/>
        </w:rPr>
        <w:t>A number of</w:t>
      </w:r>
      <w:proofErr w:type="gramEnd"/>
      <w:r w:rsidRPr="0002057E">
        <w:rPr>
          <w:rFonts w:asciiTheme="minorHAnsi" w:eastAsiaTheme="minorEastAsia" w:hAnsiTheme="minorHAnsi" w:cstheme="minorBidi"/>
          <w:color w:val="auto"/>
          <w:lang w:eastAsia="en-US"/>
        </w:rPr>
        <w:t xml:space="preserve"> building condition</w:t>
      </w:r>
      <w:r w:rsidR="00FB0A71">
        <w:rPr>
          <w:rFonts w:asciiTheme="minorHAnsi" w:eastAsiaTheme="minorEastAsia" w:hAnsiTheme="minorHAnsi" w:cstheme="minorBidi"/>
          <w:color w:val="auto"/>
          <w:lang w:eastAsia="en-US"/>
        </w:rPr>
        <w:t>s</w:t>
      </w:r>
      <w:r w:rsidRPr="0002057E">
        <w:rPr>
          <w:rFonts w:asciiTheme="minorHAnsi" w:eastAsiaTheme="minorEastAsia" w:hAnsiTheme="minorHAnsi" w:cstheme="minorBidi"/>
          <w:color w:val="auto"/>
          <w:lang w:eastAsia="en-US"/>
        </w:rPr>
        <w:t xml:space="preserve"> surveys and ground investigations overseen by an archaeologist were undertaken as part of work in relation to the conservation management plan.</w:t>
      </w:r>
    </w:p>
    <w:p w14:paraId="4899BC2B" w14:textId="77777777" w:rsidR="00105D35" w:rsidRPr="0002057E" w:rsidRDefault="00105D35" w:rsidP="0002057E">
      <w:pPr>
        <w:pStyle w:val="ListParagraph"/>
        <w:numPr>
          <w:ilvl w:val="0"/>
          <w:numId w:val="37"/>
        </w:numPr>
        <w:spacing w:after="0" w:line="276" w:lineRule="auto"/>
        <w:ind w:left="360"/>
        <w:rPr>
          <w:rFonts w:asciiTheme="minorHAnsi" w:eastAsiaTheme="minorEastAsia" w:hAnsiTheme="minorHAnsi" w:cstheme="minorBidi"/>
          <w:color w:val="auto"/>
          <w:lang w:eastAsia="en-US"/>
        </w:rPr>
      </w:pPr>
      <w:r w:rsidRPr="0002057E">
        <w:rPr>
          <w:rFonts w:asciiTheme="minorHAnsi" w:eastAsiaTheme="minorEastAsia" w:hAnsiTheme="minorHAnsi" w:cstheme="minorBidi"/>
          <w:color w:val="auto"/>
          <w:lang w:eastAsia="en-US"/>
        </w:rPr>
        <w:t>Consultants continued to work on the detailed design and development of the Dublin Mountains Visitor Centre with works on invasive species at the walled garden in Massey’s Wood being completed in 2024.</w:t>
      </w:r>
    </w:p>
    <w:p w14:paraId="4CD4A060" w14:textId="4D836443" w:rsidR="00105D35" w:rsidRPr="0002057E" w:rsidRDefault="00FB0A71" w:rsidP="0002057E">
      <w:pPr>
        <w:pStyle w:val="ListParagraph"/>
        <w:numPr>
          <w:ilvl w:val="0"/>
          <w:numId w:val="37"/>
        </w:numPr>
        <w:spacing w:after="0" w:line="276" w:lineRule="auto"/>
        <w:ind w:left="360"/>
        <w:rPr>
          <w:rFonts w:asciiTheme="minorHAnsi" w:eastAsiaTheme="minorEastAsia" w:hAnsiTheme="minorHAnsi" w:cstheme="minorBidi"/>
          <w:color w:val="auto"/>
          <w:lang w:eastAsia="en-US"/>
        </w:rPr>
      </w:pPr>
      <w:r>
        <w:rPr>
          <w:rFonts w:asciiTheme="minorHAnsi" w:eastAsiaTheme="minorEastAsia" w:hAnsiTheme="minorHAnsi" w:cstheme="minorBidi"/>
          <w:color w:val="auto"/>
          <w:lang w:eastAsia="en-US"/>
        </w:rPr>
        <w:t>T</w:t>
      </w:r>
      <w:r w:rsidRPr="0002057E">
        <w:rPr>
          <w:rFonts w:asciiTheme="minorHAnsi" w:eastAsiaTheme="minorEastAsia" w:hAnsiTheme="minorHAnsi" w:cstheme="minorBidi"/>
          <w:color w:val="auto"/>
          <w:lang w:eastAsia="en-US"/>
        </w:rPr>
        <w:t xml:space="preserve">ender documents and </w:t>
      </w:r>
      <w:r>
        <w:rPr>
          <w:rFonts w:asciiTheme="minorHAnsi" w:eastAsiaTheme="minorEastAsia" w:hAnsiTheme="minorHAnsi" w:cstheme="minorBidi"/>
          <w:color w:val="auto"/>
          <w:lang w:eastAsia="en-US"/>
        </w:rPr>
        <w:t xml:space="preserve">updated </w:t>
      </w:r>
      <w:r w:rsidRPr="0002057E">
        <w:rPr>
          <w:rFonts w:asciiTheme="minorHAnsi" w:eastAsiaTheme="minorEastAsia" w:hAnsiTheme="minorHAnsi" w:cstheme="minorBidi"/>
          <w:color w:val="auto"/>
          <w:lang w:eastAsia="en-US"/>
        </w:rPr>
        <w:t xml:space="preserve">cost estimates </w:t>
      </w:r>
      <w:r>
        <w:rPr>
          <w:rFonts w:asciiTheme="minorHAnsi" w:eastAsiaTheme="minorEastAsia" w:hAnsiTheme="minorHAnsi" w:cstheme="minorBidi"/>
          <w:color w:val="auto"/>
          <w:lang w:eastAsia="en-US"/>
        </w:rPr>
        <w:t xml:space="preserve">have now been completed </w:t>
      </w:r>
      <w:r w:rsidR="00105D35" w:rsidRPr="0002057E">
        <w:rPr>
          <w:rFonts w:asciiTheme="minorHAnsi" w:eastAsiaTheme="minorEastAsia" w:hAnsiTheme="minorHAnsi" w:cstheme="minorBidi"/>
          <w:color w:val="auto"/>
          <w:lang w:eastAsia="en-US"/>
        </w:rPr>
        <w:t>for Tallaght Heritage Centre</w:t>
      </w:r>
      <w:r w:rsidR="0062618B">
        <w:rPr>
          <w:rFonts w:asciiTheme="minorHAnsi" w:eastAsiaTheme="minorEastAsia" w:hAnsiTheme="minorHAnsi" w:cstheme="minorBidi"/>
          <w:color w:val="auto"/>
          <w:lang w:eastAsia="en-US"/>
        </w:rPr>
        <w:t xml:space="preserve"> and are being reviewed before proceeding further with the project.</w:t>
      </w:r>
    </w:p>
    <w:p w14:paraId="2BE5F43F" w14:textId="7481F3B0" w:rsidR="00407BAC" w:rsidRPr="0002057E" w:rsidRDefault="007E42E1" w:rsidP="00407BAC">
      <w:pPr>
        <w:pStyle w:val="ListParagraph"/>
        <w:numPr>
          <w:ilvl w:val="0"/>
          <w:numId w:val="37"/>
        </w:numPr>
        <w:spacing w:after="0" w:line="276" w:lineRule="auto"/>
        <w:ind w:left="360"/>
        <w:rPr>
          <w:rFonts w:asciiTheme="minorHAnsi" w:eastAsiaTheme="minorEastAsia" w:hAnsiTheme="minorHAnsi" w:cstheme="minorBidi"/>
          <w:color w:val="auto"/>
          <w:lang w:eastAsia="en-US"/>
        </w:rPr>
      </w:pPr>
      <w:r>
        <w:rPr>
          <w:rFonts w:asciiTheme="minorHAnsi" w:eastAsiaTheme="minorEastAsia" w:hAnsiTheme="minorHAnsi" w:cstheme="minorBidi"/>
          <w:color w:val="auto"/>
          <w:lang w:eastAsia="en-US"/>
        </w:rPr>
        <w:t>74,554</w:t>
      </w:r>
      <w:r w:rsidR="00105D35" w:rsidRPr="0002057E">
        <w:rPr>
          <w:rFonts w:asciiTheme="minorHAnsi" w:eastAsiaTheme="minorEastAsia" w:hAnsiTheme="minorHAnsi" w:cstheme="minorBidi"/>
          <w:color w:val="auto"/>
          <w:lang w:eastAsia="en-US"/>
        </w:rPr>
        <w:t xml:space="preserve"> people visited the Round Tower Visitor </w:t>
      </w:r>
      <w:proofErr w:type="gramStart"/>
      <w:r w:rsidR="00105D35" w:rsidRPr="0002057E">
        <w:rPr>
          <w:rFonts w:asciiTheme="minorHAnsi" w:eastAsiaTheme="minorEastAsia" w:hAnsiTheme="minorHAnsi" w:cstheme="minorBidi"/>
          <w:color w:val="auto"/>
          <w:lang w:eastAsia="en-US"/>
        </w:rPr>
        <w:t>Centre</w:t>
      </w:r>
      <w:proofErr w:type="gramEnd"/>
      <w:r w:rsidR="0062618B">
        <w:rPr>
          <w:rFonts w:asciiTheme="minorHAnsi" w:eastAsiaTheme="minorEastAsia" w:hAnsiTheme="minorHAnsi" w:cstheme="minorBidi"/>
          <w:color w:val="auto"/>
          <w:lang w:eastAsia="en-US"/>
        </w:rPr>
        <w:t xml:space="preserve"> </w:t>
      </w:r>
      <w:r w:rsidR="00407BAC">
        <w:rPr>
          <w:rFonts w:asciiTheme="minorHAnsi" w:eastAsiaTheme="minorEastAsia" w:hAnsiTheme="minorHAnsi" w:cstheme="minorBidi"/>
          <w:color w:val="auto"/>
          <w:lang w:eastAsia="en-US"/>
        </w:rPr>
        <w:t xml:space="preserve">and a </w:t>
      </w:r>
      <w:r w:rsidR="004C3760">
        <w:rPr>
          <w:rFonts w:asciiTheme="minorHAnsi" w:eastAsiaTheme="minorEastAsia" w:hAnsiTheme="minorHAnsi" w:cstheme="minorBidi"/>
          <w:color w:val="auto"/>
          <w:lang w:eastAsia="en-US"/>
        </w:rPr>
        <w:t xml:space="preserve">new </w:t>
      </w:r>
      <w:r w:rsidR="00407BAC" w:rsidRPr="0002057E">
        <w:rPr>
          <w:rFonts w:asciiTheme="minorHAnsi" w:eastAsiaTheme="minorEastAsia" w:hAnsiTheme="minorHAnsi" w:cstheme="minorBidi"/>
          <w:color w:val="auto"/>
          <w:lang w:eastAsia="en-US"/>
        </w:rPr>
        <w:t xml:space="preserve">tender </w:t>
      </w:r>
      <w:r w:rsidR="004C3760">
        <w:rPr>
          <w:rFonts w:asciiTheme="minorHAnsi" w:eastAsiaTheme="minorEastAsia" w:hAnsiTheme="minorHAnsi" w:cstheme="minorBidi"/>
          <w:color w:val="auto"/>
          <w:lang w:eastAsia="en-US"/>
        </w:rPr>
        <w:t>was finalised for its</w:t>
      </w:r>
      <w:r w:rsidR="00812A03">
        <w:rPr>
          <w:rFonts w:asciiTheme="minorHAnsi" w:eastAsiaTheme="minorEastAsia" w:hAnsiTheme="minorHAnsi" w:cstheme="minorBidi"/>
          <w:color w:val="auto"/>
          <w:lang w:eastAsia="en-US"/>
        </w:rPr>
        <w:t xml:space="preserve"> </w:t>
      </w:r>
      <w:r w:rsidR="004C3760">
        <w:rPr>
          <w:rFonts w:asciiTheme="minorHAnsi" w:eastAsiaTheme="minorEastAsia" w:hAnsiTheme="minorHAnsi" w:cstheme="minorBidi"/>
          <w:color w:val="auto"/>
          <w:lang w:eastAsia="en-US"/>
        </w:rPr>
        <w:t xml:space="preserve">operation </w:t>
      </w:r>
      <w:r w:rsidR="007B4C23">
        <w:rPr>
          <w:rFonts w:asciiTheme="minorHAnsi" w:eastAsiaTheme="minorEastAsia" w:hAnsiTheme="minorHAnsi" w:cstheme="minorBidi"/>
          <w:color w:val="auto"/>
          <w:lang w:eastAsia="en-US"/>
        </w:rPr>
        <w:t>but u</w:t>
      </w:r>
      <w:r w:rsidR="00407BAC" w:rsidRPr="0002057E">
        <w:rPr>
          <w:rFonts w:asciiTheme="minorHAnsi" w:eastAsiaTheme="minorEastAsia" w:hAnsiTheme="minorHAnsi" w:cstheme="minorBidi"/>
          <w:color w:val="auto"/>
          <w:lang w:eastAsia="en-US"/>
        </w:rPr>
        <w:t>nfortunately the</w:t>
      </w:r>
      <w:r w:rsidR="004C3760">
        <w:rPr>
          <w:rFonts w:asciiTheme="minorHAnsi" w:eastAsiaTheme="minorEastAsia" w:hAnsiTheme="minorHAnsi" w:cstheme="minorBidi"/>
          <w:color w:val="auto"/>
          <w:lang w:eastAsia="en-US"/>
        </w:rPr>
        <w:t xml:space="preserve"> operator </w:t>
      </w:r>
      <w:r w:rsidR="00407BAC" w:rsidRPr="0002057E">
        <w:rPr>
          <w:rFonts w:asciiTheme="minorHAnsi" w:eastAsiaTheme="minorEastAsia" w:hAnsiTheme="minorHAnsi" w:cstheme="minorBidi"/>
          <w:color w:val="auto"/>
          <w:lang w:eastAsia="en-US"/>
        </w:rPr>
        <w:t>ceased trading in December</w:t>
      </w:r>
      <w:r w:rsidR="00812A03">
        <w:rPr>
          <w:rFonts w:asciiTheme="minorHAnsi" w:eastAsiaTheme="minorEastAsia" w:hAnsiTheme="minorHAnsi" w:cstheme="minorBidi"/>
          <w:color w:val="auto"/>
          <w:lang w:eastAsia="en-US"/>
        </w:rPr>
        <w:t xml:space="preserve"> and a renewed process was initiated.</w:t>
      </w:r>
    </w:p>
    <w:p w14:paraId="31588CF2" w14:textId="18A80954" w:rsidR="00105D35" w:rsidRPr="0002057E" w:rsidRDefault="00105D35" w:rsidP="0002057E">
      <w:pPr>
        <w:pStyle w:val="ListParagraph"/>
        <w:numPr>
          <w:ilvl w:val="0"/>
          <w:numId w:val="37"/>
        </w:numPr>
        <w:spacing w:after="0" w:line="276" w:lineRule="auto"/>
        <w:ind w:left="360"/>
        <w:rPr>
          <w:rFonts w:asciiTheme="minorHAnsi" w:eastAsiaTheme="minorEastAsia" w:hAnsiTheme="minorHAnsi" w:cstheme="minorBidi"/>
          <w:color w:val="auto"/>
          <w:lang w:eastAsia="en-US"/>
        </w:rPr>
      </w:pPr>
      <w:r w:rsidRPr="0002057E">
        <w:rPr>
          <w:rFonts w:asciiTheme="minorHAnsi" w:eastAsiaTheme="minorEastAsia" w:hAnsiTheme="minorHAnsi" w:cstheme="minorBidi"/>
          <w:color w:val="auto"/>
          <w:lang w:eastAsia="en-US"/>
        </w:rPr>
        <w:t>Tymon Park Outdoor Food and Craft Market ran each Saturday from April to June</w:t>
      </w:r>
      <w:r w:rsidR="004C3760">
        <w:rPr>
          <w:rFonts w:asciiTheme="minorHAnsi" w:eastAsiaTheme="minorEastAsia" w:hAnsiTheme="minorHAnsi" w:cstheme="minorBidi"/>
          <w:color w:val="auto"/>
          <w:lang w:eastAsia="en-US"/>
        </w:rPr>
        <w:t xml:space="preserve"> and supported other events </w:t>
      </w:r>
      <w:r w:rsidRPr="0002057E">
        <w:rPr>
          <w:rFonts w:asciiTheme="minorHAnsi" w:eastAsiaTheme="minorEastAsia" w:hAnsiTheme="minorHAnsi" w:cstheme="minorBidi"/>
          <w:color w:val="auto"/>
          <w:lang w:eastAsia="en-US"/>
        </w:rPr>
        <w:t>such as the Community Department’s Africa Day festival which took place alongside this market in May.</w:t>
      </w:r>
    </w:p>
    <w:p w14:paraId="656ABF62" w14:textId="54BF0688" w:rsidR="00C16D71" w:rsidRPr="0002057E" w:rsidRDefault="00C16D71" w:rsidP="0002057E">
      <w:pPr>
        <w:pStyle w:val="ListParagraph"/>
        <w:numPr>
          <w:ilvl w:val="0"/>
          <w:numId w:val="37"/>
        </w:numPr>
        <w:spacing w:after="0" w:line="276" w:lineRule="auto"/>
        <w:ind w:left="360"/>
        <w:rPr>
          <w:rFonts w:asciiTheme="minorHAnsi" w:eastAsiaTheme="minorEastAsia" w:hAnsiTheme="minorHAnsi" w:cstheme="minorBidi"/>
          <w:color w:val="auto"/>
          <w:lang w:eastAsia="en-US"/>
        </w:rPr>
      </w:pPr>
      <w:r w:rsidRPr="0002057E">
        <w:rPr>
          <w:rFonts w:asciiTheme="minorHAnsi" w:eastAsiaTheme="minorEastAsia" w:hAnsiTheme="minorHAnsi" w:cstheme="minorBidi"/>
          <w:color w:val="auto"/>
          <w:lang w:eastAsia="en-US"/>
        </w:rPr>
        <w:t xml:space="preserve">The Tourism Event and Festival Grant Scheme supported </w:t>
      </w:r>
      <w:r w:rsidR="00126E05">
        <w:rPr>
          <w:rFonts w:asciiTheme="minorHAnsi" w:eastAsiaTheme="minorEastAsia" w:hAnsiTheme="minorHAnsi" w:cstheme="minorBidi"/>
          <w:color w:val="auto"/>
          <w:lang w:eastAsia="en-US"/>
        </w:rPr>
        <w:t>13</w:t>
      </w:r>
      <w:r w:rsidRPr="0002057E">
        <w:rPr>
          <w:rFonts w:asciiTheme="minorHAnsi" w:eastAsiaTheme="minorEastAsia" w:hAnsiTheme="minorHAnsi" w:cstheme="minorBidi"/>
          <w:color w:val="auto"/>
          <w:lang w:eastAsia="en-US"/>
        </w:rPr>
        <w:t xml:space="preserve"> events during the year, including Dublin Masters Basketball, Robot Riots, Irish National Scale Model Show and </w:t>
      </w:r>
      <w:proofErr w:type="spellStart"/>
      <w:r w:rsidRPr="0002057E">
        <w:rPr>
          <w:rFonts w:asciiTheme="minorHAnsi" w:eastAsiaTheme="minorEastAsia" w:hAnsiTheme="minorHAnsi" w:cstheme="minorBidi"/>
          <w:color w:val="auto"/>
          <w:lang w:eastAsia="en-US"/>
        </w:rPr>
        <w:t>BrickCon</w:t>
      </w:r>
      <w:proofErr w:type="spellEnd"/>
      <w:r w:rsidRPr="0002057E">
        <w:rPr>
          <w:rFonts w:asciiTheme="minorHAnsi" w:eastAsiaTheme="minorEastAsia" w:hAnsiTheme="minorHAnsi" w:cstheme="minorBidi"/>
          <w:color w:val="auto"/>
          <w:lang w:eastAsia="en-US"/>
        </w:rPr>
        <w:t xml:space="preserve">, which attracted nearly 5,000 visitors to the </w:t>
      </w:r>
      <w:r w:rsidR="00645C7C">
        <w:rPr>
          <w:rFonts w:asciiTheme="minorHAnsi" w:eastAsiaTheme="minorEastAsia" w:hAnsiTheme="minorHAnsi" w:cstheme="minorBidi"/>
          <w:color w:val="auto"/>
          <w:lang w:eastAsia="en-US"/>
        </w:rPr>
        <w:t>c</w:t>
      </w:r>
      <w:r w:rsidRPr="0002057E">
        <w:rPr>
          <w:rFonts w:asciiTheme="minorHAnsi" w:eastAsiaTheme="minorEastAsia" w:hAnsiTheme="minorHAnsi" w:cstheme="minorBidi"/>
          <w:color w:val="auto"/>
          <w:lang w:eastAsia="en-US"/>
        </w:rPr>
        <w:t>ounty. The estimated local economic dividend from the 13 events was €645,291.</w:t>
      </w:r>
    </w:p>
    <w:p w14:paraId="56990526" w14:textId="746276ED" w:rsidR="00105D35" w:rsidRPr="0002057E" w:rsidRDefault="00105D35" w:rsidP="0002057E">
      <w:pPr>
        <w:pStyle w:val="ListParagraph"/>
        <w:numPr>
          <w:ilvl w:val="0"/>
          <w:numId w:val="37"/>
        </w:numPr>
        <w:spacing w:after="0" w:line="276" w:lineRule="auto"/>
        <w:ind w:left="360"/>
        <w:rPr>
          <w:rFonts w:asciiTheme="minorHAnsi" w:eastAsiaTheme="minorEastAsia" w:hAnsiTheme="minorHAnsi" w:cstheme="minorBidi"/>
          <w:color w:val="auto"/>
          <w:lang w:eastAsia="en-US"/>
        </w:rPr>
      </w:pPr>
      <w:r w:rsidRPr="0002057E">
        <w:rPr>
          <w:rFonts w:asciiTheme="minorHAnsi" w:eastAsiaTheme="minorEastAsia" w:hAnsiTheme="minorHAnsi" w:cstheme="minorBidi"/>
          <w:color w:val="auto"/>
          <w:lang w:eastAsia="en-US"/>
        </w:rPr>
        <w:t xml:space="preserve">Rathfarnham Castle Christmas Market returned in December attracting over 3,000 visitors to see 40 food and craft traders, live entertainment, promoting local artisan products, food, craft, and local businesses. The OPW opened Rathfarnham Castle and was very busy with guided tours. A second Christmas Market took place in </w:t>
      </w:r>
      <w:r w:rsidRPr="66E19161">
        <w:rPr>
          <w:rFonts w:asciiTheme="minorHAnsi" w:eastAsiaTheme="minorEastAsia" w:hAnsiTheme="minorHAnsi" w:cstheme="minorBidi"/>
          <w:color w:val="auto"/>
          <w:lang w:eastAsia="en-US"/>
        </w:rPr>
        <w:t>Part</w:t>
      </w:r>
      <w:r w:rsidR="209EE6C5" w:rsidRPr="66E19161">
        <w:rPr>
          <w:rFonts w:asciiTheme="minorHAnsi" w:eastAsiaTheme="minorEastAsia" w:hAnsiTheme="minorHAnsi" w:cstheme="minorBidi"/>
          <w:color w:val="auto"/>
          <w:lang w:eastAsia="en-US"/>
        </w:rPr>
        <w:t>h</w:t>
      </w:r>
      <w:r w:rsidRPr="66E19161">
        <w:rPr>
          <w:rFonts w:asciiTheme="minorHAnsi" w:eastAsiaTheme="minorEastAsia" w:hAnsiTheme="minorHAnsi" w:cstheme="minorBidi"/>
          <w:color w:val="auto"/>
          <w:lang w:eastAsia="en-US"/>
        </w:rPr>
        <w:t>alán</w:t>
      </w:r>
      <w:r w:rsidRPr="0002057E">
        <w:rPr>
          <w:rFonts w:asciiTheme="minorHAnsi" w:eastAsiaTheme="minorEastAsia" w:hAnsiTheme="minorHAnsi" w:cstheme="minorBidi"/>
          <w:color w:val="auto"/>
          <w:lang w:eastAsia="en-US"/>
        </w:rPr>
        <w:t xml:space="preserve"> Place in Tallaght, as a new offering for this location. </w:t>
      </w:r>
    </w:p>
    <w:p w14:paraId="64BE6793" w14:textId="75FD5D80" w:rsidR="00105D35" w:rsidRPr="004C3760" w:rsidRDefault="00317CFE">
      <w:pPr>
        <w:pStyle w:val="ListParagraph"/>
        <w:numPr>
          <w:ilvl w:val="0"/>
          <w:numId w:val="37"/>
        </w:numPr>
        <w:spacing w:after="0" w:line="276" w:lineRule="auto"/>
        <w:ind w:left="360"/>
        <w:rPr>
          <w:rFonts w:asciiTheme="minorHAnsi" w:eastAsiaTheme="minorEastAsia" w:hAnsiTheme="minorHAnsi" w:cstheme="minorBidi"/>
          <w:color w:val="auto"/>
          <w:lang w:eastAsia="en-US"/>
        </w:rPr>
      </w:pPr>
      <w:r w:rsidRPr="004C3760">
        <w:rPr>
          <w:rFonts w:asciiTheme="minorHAnsi" w:eastAsiaTheme="minorEastAsia" w:hAnsiTheme="minorHAnsi" w:cstheme="minorBidi"/>
          <w:color w:val="auto"/>
          <w:lang w:eastAsia="en-US"/>
        </w:rPr>
        <w:t>We launched</w:t>
      </w:r>
      <w:r w:rsidRPr="66E19161">
        <w:rPr>
          <w:rFonts w:asciiTheme="minorHAnsi" w:eastAsiaTheme="minorEastAsia" w:hAnsiTheme="minorHAnsi" w:cstheme="minorBidi"/>
          <w:color w:val="auto"/>
          <w:lang w:eastAsia="en-US"/>
        </w:rPr>
        <w:t xml:space="preserve"> </w:t>
      </w:r>
      <w:r w:rsidR="3F79CA3E" w:rsidRPr="66E19161">
        <w:rPr>
          <w:rFonts w:asciiTheme="minorHAnsi" w:eastAsiaTheme="minorEastAsia" w:hAnsiTheme="minorHAnsi" w:cstheme="minorBidi"/>
          <w:color w:val="auto"/>
          <w:lang w:eastAsia="en-US"/>
        </w:rPr>
        <w:t>a</w:t>
      </w:r>
      <w:r w:rsidRPr="004C3760">
        <w:rPr>
          <w:rFonts w:asciiTheme="minorHAnsi" w:eastAsiaTheme="minorEastAsia" w:hAnsiTheme="minorHAnsi" w:cstheme="minorBidi"/>
          <w:color w:val="auto"/>
          <w:lang w:eastAsia="en-US"/>
        </w:rPr>
        <w:t xml:space="preserve"> </w:t>
      </w:r>
      <w:r w:rsidR="00105D35" w:rsidRPr="004C3760">
        <w:rPr>
          <w:rFonts w:asciiTheme="minorHAnsi" w:eastAsiaTheme="minorEastAsia" w:hAnsiTheme="minorHAnsi" w:cstheme="minorBidi"/>
          <w:color w:val="auto"/>
          <w:lang w:eastAsia="en-US"/>
        </w:rPr>
        <w:t xml:space="preserve">dynamic </w:t>
      </w:r>
      <w:r w:rsidRPr="004C3760">
        <w:rPr>
          <w:rFonts w:asciiTheme="minorHAnsi" w:eastAsiaTheme="minorEastAsia" w:hAnsiTheme="minorHAnsi" w:cstheme="minorBidi"/>
          <w:color w:val="auto"/>
          <w:lang w:eastAsia="en-US"/>
        </w:rPr>
        <w:t>new</w:t>
      </w:r>
      <w:r w:rsidR="00105D35" w:rsidRPr="004C3760">
        <w:rPr>
          <w:rFonts w:asciiTheme="minorHAnsi" w:eastAsiaTheme="minorEastAsia" w:hAnsiTheme="minorHAnsi" w:cstheme="minorBidi"/>
          <w:color w:val="auto"/>
          <w:lang w:eastAsia="en-US"/>
        </w:rPr>
        <w:t xml:space="preserve"> Dublin Discovery Trails app, </w:t>
      </w:r>
      <w:r w:rsidR="004C3760" w:rsidRPr="004C3760">
        <w:rPr>
          <w:rFonts w:asciiTheme="minorHAnsi" w:eastAsiaTheme="minorEastAsia" w:hAnsiTheme="minorHAnsi" w:cstheme="minorBidi"/>
          <w:color w:val="auto"/>
          <w:lang w:eastAsia="en-US"/>
        </w:rPr>
        <w:t xml:space="preserve">bringing </w:t>
      </w:r>
      <w:r w:rsidR="00105D35" w:rsidRPr="004C3760">
        <w:rPr>
          <w:rFonts w:asciiTheme="minorHAnsi" w:eastAsiaTheme="minorEastAsia" w:hAnsiTheme="minorHAnsi" w:cstheme="minorBidi"/>
          <w:color w:val="auto"/>
          <w:lang w:eastAsia="en-US"/>
        </w:rPr>
        <w:t>trails from across Dublin to</w:t>
      </w:r>
      <w:r w:rsidR="004C3760" w:rsidRPr="004C3760">
        <w:rPr>
          <w:rFonts w:asciiTheme="minorHAnsi" w:eastAsiaTheme="minorEastAsia" w:hAnsiTheme="minorHAnsi" w:cstheme="minorBidi"/>
          <w:color w:val="auto"/>
          <w:lang w:eastAsia="en-US"/>
        </w:rPr>
        <w:t>gether for better promotion</w:t>
      </w:r>
      <w:r w:rsidR="00105D35" w:rsidRPr="004C3760">
        <w:rPr>
          <w:rFonts w:asciiTheme="minorHAnsi" w:eastAsiaTheme="minorEastAsia" w:hAnsiTheme="minorHAnsi" w:cstheme="minorBidi"/>
          <w:color w:val="auto"/>
          <w:lang w:eastAsia="en-US"/>
        </w:rPr>
        <w:t xml:space="preserve"> and </w:t>
      </w:r>
      <w:r w:rsidR="004C3760" w:rsidRPr="004C3760">
        <w:rPr>
          <w:rFonts w:asciiTheme="minorHAnsi" w:eastAsiaTheme="minorEastAsia" w:hAnsiTheme="minorHAnsi" w:cstheme="minorBidi"/>
          <w:color w:val="auto"/>
          <w:lang w:eastAsia="en-US"/>
        </w:rPr>
        <w:t xml:space="preserve">coordination and including additional languages </w:t>
      </w:r>
      <w:r w:rsidR="004C3760">
        <w:rPr>
          <w:rFonts w:asciiTheme="minorHAnsi" w:eastAsiaTheme="minorEastAsia" w:hAnsiTheme="minorHAnsi" w:cstheme="minorBidi"/>
          <w:color w:val="auto"/>
          <w:lang w:eastAsia="en-US"/>
        </w:rPr>
        <w:t>for text and audio</w:t>
      </w:r>
      <w:r w:rsidR="00645C7C" w:rsidRPr="004C3760">
        <w:rPr>
          <w:rFonts w:asciiTheme="minorHAnsi" w:eastAsiaTheme="minorEastAsia" w:hAnsiTheme="minorHAnsi" w:cstheme="minorBidi"/>
          <w:color w:val="auto"/>
          <w:lang w:eastAsia="en-US"/>
        </w:rPr>
        <w:t xml:space="preserve">.  </w:t>
      </w:r>
      <w:r w:rsidR="00105D35" w:rsidRPr="004C3760">
        <w:rPr>
          <w:rFonts w:asciiTheme="minorHAnsi" w:eastAsiaTheme="minorEastAsia" w:hAnsiTheme="minorHAnsi" w:cstheme="minorBidi"/>
          <w:color w:val="auto"/>
          <w:lang w:eastAsia="en-US"/>
        </w:rPr>
        <w:t xml:space="preserve">The Templeogue Village Walking Trail launched in September, supporting </w:t>
      </w:r>
      <w:r w:rsidR="004C3760" w:rsidRPr="004C3760">
        <w:rPr>
          <w:rFonts w:asciiTheme="minorHAnsi" w:eastAsiaTheme="minorEastAsia" w:hAnsiTheme="minorHAnsi" w:cstheme="minorBidi"/>
          <w:color w:val="auto"/>
          <w:lang w:eastAsia="en-US"/>
        </w:rPr>
        <w:t xml:space="preserve">our </w:t>
      </w:r>
      <w:r w:rsidR="00105D35" w:rsidRPr="004C3760">
        <w:rPr>
          <w:rFonts w:asciiTheme="minorHAnsi" w:eastAsiaTheme="minorEastAsia" w:hAnsiTheme="minorHAnsi" w:cstheme="minorBidi"/>
          <w:color w:val="auto"/>
          <w:lang w:eastAsia="en-US"/>
        </w:rPr>
        <w:t xml:space="preserve">suite of walking trails </w:t>
      </w:r>
      <w:r w:rsidR="004C3760" w:rsidRPr="004C3760">
        <w:rPr>
          <w:rFonts w:asciiTheme="minorHAnsi" w:eastAsiaTheme="minorEastAsia" w:hAnsiTheme="minorHAnsi" w:cstheme="minorBidi"/>
          <w:color w:val="auto"/>
          <w:lang w:eastAsia="en-US"/>
        </w:rPr>
        <w:t xml:space="preserve">which already included </w:t>
      </w:r>
      <w:r w:rsidR="00105D35" w:rsidRPr="004C3760">
        <w:rPr>
          <w:rFonts w:asciiTheme="minorHAnsi" w:eastAsiaTheme="minorEastAsia" w:hAnsiTheme="minorHAnsi" w:cstheme="minorBidi"/>
          <w:color w:val="auto"/>
          <w:lang w:eastAsia="en-US"/>
        </w:rPr>
        <w:t>Tallaght, Clondalkin and Rathfarnham.</w:t>
      </w:r>
    </w:p>
    <w:p w14:paraId="779865DD" w14:textId="2DAA84DF" w:rsidR="00105D35" w:rsidRPr="0002057E" w:rsidRDefault="00882861" w:rsidP="0002057E">
      <w:pPr>
        <w:pStyle w:val="ListParagraph"/>
        <w:numPr>
          <w:ilvl w:val="0"/>
          <w:numId w:val="37"/>
        </w:numPr>
        <w:spacing w:after="0" w:line="276" w:lineRule="auto"/>
        <w:ind w:left="360"/>
        <w:rPr>
          <w:rFonts w:asciiTheme="minorHAnsi" w:eastAsiaTheme="minorEastAsia" w:hAnsiTheme="minorHAnsi" w:cstheme="minorBidi"/>
          <w:color w:val="auto"/>
          <w:lang w:eastAsia="en-US"/>
        </w:rPr>
      </w:pPr>
      <w:bookmarkStart w:id="1" w:name="_Hlk188549834"/>
      <w:r>
        <w:rPr>
          <w:rFonts w:asciiTheme="minorHAnsi" w:eastAsiaTheme="minorEastAsia" w:hAnsiTheme="minorHAnsi" w:cstheme="minorBidi"/>
          <w:color w:val="auto"/>
          <w:lang w:eastAsia="en-US"/>
        </w:rPr>
        <w:t>Eight</w:t>
      </w:r>
      <w:r w:rsidR="00105D35" w:rsidRPr="0002057E">
        <w:rPr>
          <w:rFonts w:asciiTheme="minorHAnsi" w:eastAsiaTheme="minorEastAsia" w:hAnsiTheme="minorHAnsi" w:cstheme="minorBidi"/>
          <w:color w:val="auto"/>
          <w:lang w:eastAsia="en-US"/>
        </w:rPr>
        <w:t xml:space="preserve"> grant applications were received under our Shopfront Improvement Scheme.</w:t>
      </w:r>
    </w:p>
    <w:bookmarkEnd w:id="1"/>
    <w:p w14:paraId="1705A62A" w14:textId="077B8474" w:rsidR="00105D35" w:rsidRDefault="00DC1526" w:rsidP="0002057E">
      <w:pPr>
        <w:pStyle w:val="ListParagraph"/>
        <w:numPr>
          <w:ilvl w:val="0"/>
          <w:numId w:val="37"/>
        </w:numPr>
        <w:spacing w:after="0" w:line="276" w:lineRule="auto"/>
        <w:ind w:left="360"/>
        <w:rPr>
          <w:rFonts w:asciiTheme="minorHAnsi" w:eastAsiaTheme="minorEastAsia" w:hAnsiTheme="minorHAnsi" w:cstheme="minorBidi"/>
          <w:color w:val="auto"/>
          <w:lang w:eastAsia="en-US"/>
        </w:rPr>
      </w:pPr>
      <w:r>
        <w:rPr>
          <w:rFonts w:asciiTheme="minorHAnsi" w:eastAsiaTheme="minorEastAsia" w:hAnsiTheme="minorHAnsi" w:cstheme="minorBidi"/>
          <w:color w:val="auto"/>
          <w:lang w:eastAsia="en-US"/>
        </w:rPr>
        <w:t>A</w:t>
      </w:r>
      <w:r w:rsidRPr="0002057E">
        <w:rPr>
          <w:rFonts w:asciiTheme="minorHAnsi" w:eastAsiaTheme="minorEastAsia" w:hAnsiTheme="minorHAnsi" w:cstheme="minorBidi"/>
          <w:color w:val="auto"/>
          <w:lang w:eastAsia="en-US"/>
        </w:rPr>
        <w:t>greement</w:t>
      </w:r>
      <w:r w:rsidR="00105D35" w:rsidRPr="0002057E">
        <w:rPr>
          <w:rFonts w:asciiTheme="minorHAnsi" w:eastAsiaTheme="minorEastAsia" w:hAnsiTheme="minorHAnsi" w:cstheme="minorBidi"/>
          <w:color w:val="auto"/>
          <w:lang w:eastAsia="en-US"/>
        </w:rPr>
        <w:t xml:space="preserve"> was reached </w:t>
      </w:r>
      <w:r w:rsidR="00105D35" w:rsidRPr="00650221">
        <w:rPr>
          <w:rFonts w:asciiTheme="minorHAnsi" w:eastAsiaTheme="minorEastAsia" w:hAnsiTheme="minorHAnsi" w:cstheme="minorBidi"/>
          <w:color w:val="auto"/>
          <w:lang w:eastAsia="en-US"/>
        </w:rPr>
        <w:t>to ex</w:t>
      </w:r>
      <w:r w:rsidR="00020310" w:rsidRPr="00650221">
        <w:rPr>
          <w:rFonts w:asciiTheme="minorHAnsi" w:eastAsiaTheme="minorEastAsia" w:hAnsiTheme="minorHAnsi" w:cstheme="minorBidi"/>
          <w:color w:val="auto"/>
          <w:lang w:eastAsia="en-US"/>
        </w:rPr>
        <w:t>p</w:t>
      </w:r>
      <w:r w:rsidR="0038314C" w:rsidRPr="00650221">
        <w:rPr>
          <w:rFonts w:asciiTheme="minorHAnsi" w:eastAsiaTheme="minorEastAsia" w:hAnsiTheme="minorHAnsi" w:cstheme="minorBidi"/>
          <w:color w:val="auto"/>
          <w:lang w:eastAsia="en-US"/>
        </w:rPr>
        <w:t>a</w:t>
      </w:r>
      <w:r w:rsidR="00105D35" w:rsidRPr="00650221">
        <w:rPr>
          <w:rFonts w:asciiTheme="minorHAnsi" w:eastAsiaTheme="minorEastAsia" w:hAnsiTheme="minorHAnsi" w:cstheme="minorBidi"/>
          <w:color w:val="auto"/>
          <w:lang w:eastAsia="en-US"/>
        </w:rPr>
        <w:t>nd Ireland’s</w:t>
      </w:r>
      <w:r w:rsidR="00105D35" w:rsidRPr="0002057E">
        <w:rPr>
          <w:rFonts w:asciiTheme="minorHAnsi" w:eastAsiaTheme="minorEastAsia" w:hAnsiTheme="minorHAnsi" w:cstheme="minorBidi"/>
          <w:color w:val="auto"/>
          <w:lang w:eastAsia="en-US"/>
        </w:rPr>
        <w:t xml:space="preserve"> leading trad and folk festival to South Dublin. </w:t>
      </w:r>
      <w:proofErr w:type="spellStart"/>
      <w:r w:rsidR="00105D35" w:rsidRPr="0002057E">
        <w:rPr>
          <w:rFonts w:asciiTheme="minorHAnsi" w:eastAsiaTheme="minorEastAsia" w:hAnsiTheme="minorHAnsi" w:cstheme="minorBidi"/>
          <w:color w:val="auto"/>
          <w:lang w:eastAsia="en-US"/>
        </w:rPr>
        <w:t>Tradfest</w:t>
      </w:r>
      <w:proofErr w:type="spellEnd"/>
      <w:r w:rsidR="00105D35" w:rsidRPr="0002057E">
        <w:rPr>
          <w:rFonts w:asciiTheme="minorHAnsi" w:eastAsiaTheme="minorEastAsia" w:hAnsiTheme="minorHAnsi" w:cstheme="minorBidi"/>
          <w:color w:val="auto"/>
          <w:lang w:eastAsia="en-US"/>
        </w:rPr>
        <w:t xml:space="preserve"> In South Dublin took place in </w:t>
      </w:r>
      <w:proofErr w:type="gramStart"/>
      <w:r w:rsidR="00105D35" w:rsidRPr="0002057E">
        <w:rPr>
          <w:rFonts w:asciiTheme="minorHAnsi" w:eastAsiaTheme="minorEastAsia" w:hAnsiTheme="minorHAnsi" w:cstheme="minorBidi"/>
          <w:color w:val="auto"/>
          <w:lang w:eastAsia="en-US"/>
        </w:rPr>
        <w:t>a number of</w:t>
      </w:r>
      <w:proofErr w:type="gramEnd"/>
      <w:r w:rsidR="00105D35" w:rsidRPr="0002057E">
        <w:rPr>
          <w:rFonts w:asciiTheme="minorHAnsi" w:eastAsiaTheme="minorEastAsia" w:hAnsiTheme="minorHAnsi" w:cstheme="minorBidi"/>
          <w:color w:val="auto"/>
          <w:lang w:eastAsia="en-US"/>
        </w:rPr>
        <w:t xml:space="preserve"> historic and atmospheric venues across South Dublin in January 2025, with local communities getting to experience trad music in venues such as Áras </w:t>
      </w:r>
      <w:proofErr w:type="spellStart"/>
      <w:r w:rsidR="00105D35" w:rsidRPr="0002057E">
        <w:rPr>
          <w:rFonts w:asciiTheme="minorHAnsi" w:eastAsiaTheme="minorEastAsia" w:hAnsiTheme="minorHAnsi" w:cstheme="minorBidi"/>
          <w:color w:val="auto"/>
          <w:lang w:eastAsia="en-US"/>
        </w:rPr>
        <w:t>Chrónáin</w:t>
      </w:r>
      <w:proofErr w:type="spellEnd"/>
      <w:r w:rsidR="00105D35" w:rsidRPr="0002057E">
        <w:rPr>
          <w:rFonts w:asciiTheme="minorHAnsi" w:eastAsiaTheme="minorEastAsia" w:hAnsiTheme="minorHAnsi" w:cstheme="minorBidi"/>
          <w:color w:val="auto"/>
          <w:lang w:eastAsia="en-US"/>
        </w:rPr>
        <w:t xml:space="preserve"> Ionad </w:t>
      </w:r>
      <w:proofErr w:type="spellStart"/>
      <w:r w:rsidR="00105D35" w:rsidRPr="0002057E">
        <w:rPr>
          <w:rFonts w:asciiTheme="minorHAnsi" w:eastAsiaTheme="minorEastAsia" w:hAnsiTheme="minorHAnsi" w:cstheme="minorBidi"/>
          <w:color w:val="auto"/>
          <w:lang w:eastAsia="en-US"/>
        </w:rPr>
        <w:t>Cultúir</w:t>
      </w:r>
      <w:proofErr w:type="spellEnd"/>
      <w:r w:rsidR="00105D35" w:rsidRPr="0002057E">
        <w:rPr>
          <w:rFonts w:asciiTheme="minorHAnsi" w:eastAsiaTheme="minorEastAsia" w:hAnsiTheme="minorHAnsi" w:cstheme="minorBidi"/>
          <w:color w:val="auto"/>
          <w:lang w:eastAsia="en-US"/>
        </w:rPr>
        <w:t xml:space="preserve">, </w:t>
      </w:r>
      <w:proofErr w:type="spellStart"/>
      <w:r w:rsidR="00105D35" w:rsidRPr="0002057E">
        <w:rPr>
          <w:rFonts w:asciiTheme="minorHAnsi" w:eastAsiaTheme="minorEastAsia" w:hAnsiTheme="minorHAnsi" w:cstheme="minorBidi"/>
          <w:color w:val="auto"/>
          <w:lang w:eastAsia="en-US"/>
        </w:rPr>
        <w:t>Glenasmole</w:t>
      </w:r>
      <w:proofErr w:type="spellEnd"/>
      <w:r w:rsidR="00105D35" w:rsidRPr="0002057E">
        <w:rPr>
          <w:rFonts w:asciiTheme="minorHAnsi" w:eastAsiaTheme="minorEastAsia" w:hAnsiTheme="minorHAnsi" w:cstheme="minorBidi"/>
          <w:color w:val="auto"/>
          <w:lang w:eastAsia="en-US"/>
        </w:rPr>
        <w:t xml:space="preserve"> </w:t>
      </w:r>
      <w:r w:rsidR="00105D35" w:rsidRPr="0002057E">
        <w:rPr>
          <w:rFonts w:asciiTheme="minorHAnsi" w:eastAsiaTheme="minorEastAsia" w:hAnsiTheme="minorHAnsi" w:cstheme="minorBidi"/>
          <w:color w:val="auto"/>
          <w:lang w:eastAsia="en-US"/>
        </w:rPr>
        <w:lastRenderedPageBreak/>
        <w:t xml:space="preserve">Community Centre, Brú </w:t>
      </w:r>
      <w:proofErr w:type="spellStart"/>
      <w:r w:rsidR="00105D35" w:rsidRPr="0002057E">
        <w:rPr>
          <w:rFonts w:asciiTheme="minorHAnsi" w:eastAsiaTheme="minorEastAsia" w:hAnsiTheme="minorHAnsi" w:cstheme="minorBidi"/>
          <w:color w:val="auto"/>
          <w:lang w:eastAsia="en-US"/>
        </w:rPr>
        <w:t>Chrónáin</w:t>
      </w:r>
      <w:proofErr w:type="spellEnd"/>
      <w:r w:rsidR="00105D35" w:rsidRPr="0002057E">
        <w:rPr>
          <w:rFonts w:asciiTheme="minorHAnsi" w:eastAsiaTheme="minorEastAsia" w:hAnsiTheme="minorHAnsi" w:cstheme="minorBidi"/>
          <w:color w:val="auto"/>
          <w:lang w:eastAsia="en-US"/>
        </w:rPr>
        <w:t xml:space="preserve"> Round Tower Visitor Centre, Court of Petty Sessions in Rathcoole, as well as St </w:t>
      </w:r>
      <w:proofErr w:type="spellStart"/>
      <w:r w:rsidR="00105D35" w:rsidRPr="0002057E">
        <w:rPr>
          <w:rFonts w:asciiTheme="minorHAnsi" w:eastAsiaTheme="minorEastAsia" w:hAnsiTheme="minorHAnsi" w:cstheme="minorBidi"/>
          <w:color w:val="auto"/>
          <w:lang w:eastAsia="en-US"/>
        </w:rPr>
        <w:t>Maelruain’s</w:t>
      </w:r>
      <w:proofErr w:type="spellEnd"/>
      <w:r w:rsidR="00105D35" w:rsidRPr="0002057E">
        <w:rPr>
          <w:rFonts w:asciiTheme="minorHAnsi" w:eastAsiaTheme="minorEastAsia" w:hAnsiTheme="minorHAnsi" w:cstheme="minorBidi"/>
          <w:color w:val="auto"/>
          <w:lang w:eastAsia="en-US"/>
        </w:rPr>
        <w:t xml:space="preserve"> Church in Tallaght. </w:t>
      </w:r>
    </w:p>
    <w:p w14:paraId="2EBA1631" w14:textId="77777777" w:rsidR="00046A14" w:rsidRDefault="00046A14" w:rsidP="00046A14">
      <w:pPr>
        <w:pStyle w:val="ListParagraph"/>
        <w:spacing w:after="0" w:line="276" w:lineRule="auto"/>
        <w:ind w:left="360" w:firstLine="0"/>
        <w:rPr>
          <w:rFonts w:asciiTheme="minorHAnsi" w:eastAsiaTheme="minorEastAsia" w:hAnsiTheme="minorHAnsi" w:cstheme="minorBidi"/>
          <w:color w:val="auto"/>
          <w:lang w:eastAsia="en-US"/>
        </w:rPr>
      </w:pPr>
    </w:p>
    <w:tbl>
      <w:tblPr>
        <w:tblW w:w="91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44"/>
        <w:gridCol w:w="1817"/>
      </w:tblGrid>
      <w:tr w:rsidR="0051598F" w14:paraId="0BE8AC4E" w14:textId="77777777" w:rsidTr="00046A14">
        <w:trPr>
          <w:trHeight w:val="284"/>
          <w:jc w:val="center"/>
        </w:trPr>
        <w:tc>
          <w:tcPr>
            <w:tcW w:w="7344" w:type="dxa"/>
          </w:tcPr>
          <w:p w14:paraId="0453BF86" w14:textId="387B860E" w:rsidR="0051598F" w:rsidRDefault="0051598F" w:rsidP="00161FC8">
            <w:pPr>
              <w:pStyle w:val="TableParagraph"/>
              <w:spacing w:before="0" w:line="276" w:lineRule="auto"/>
              <w:ind w:left="149" w:right="240"/>
              <w:jc w:val="center"/>
              <w:rPr>
                <w:b/>
              </w:rPr>
            </w:pPr>
            <w:proofErr w:type="gramStart"/>
            <w:r>
              <w:rPr>
                <w:b/>
              </w:rPr>
              <w:t>Economic</w:t>
            </w:r>
            <w:proofErr w:type="gramEnd"/>
            <w:r>
              <w:rPr>
                <w:b/>
              </w:rPr>
              <w:t>,</w:t>
            </w:r>
            <w:r>
              <w:rPr>
                <w:b/>
                <w:spacing w:val="-2"/>
              </w:rPr>
              <w:t xml:space="preserve"> </w:t>
            </w:r>
            <w:r>
              <w:rPr>
                <w:b/>
              </w:rPr>
              <w:t>Enterprise</w:t>
            </w:r>
            <w:r>
              <w:rPr>
                <w:b/>
                <w:spacing w:val="-4"/>
              </w:rPr>
              <w:t xml:space="preserve"> </w:t>
            </w:r>
            <w:r>
              <w:rPr>
                <w:b/>
              </w:rPr>
              <w:t>and</w:t>
            </w:r>
            <w:r>
              <w:rPr>
                <w:b/>
                <w:spacing w:val="-3"/>
              </w:rPr>
              <w:t xml:space="preserve"> </w:t>
            </w:r>
            <w:r>
              <w:rPr>
                <w:b/>
              </w:rPr>
              <w:t>Tourism</w:t>
            </w:r>
            <w:r>
              <w:rPr>
                <w:b/>
                <w:spacing w:val="-2"/>
              </w:rPr>
              <w:t xml:space="preserve"> Development</w:t>
            </w:r>
            <w:r w:rsidR="00161FC8">
              <w:rPr>
                <w:b/>
                <w:spacing w:val="-2"/>
              </w:rPr>
              <w:t xml:space="preserve"> Key Statistics</w:t>
            </w:r>
          </w:p>
        </w:tc>
        <w:tc>
          <w:tcPr>
            <w:tcW w:w="1817" w:type="dxa"/>
          </w:tcPr>
          <w:p w14:paraId="1BE71A4D" w14:textId="46B4D3A5" w:rsidR="0051598F" w:rsidRDefault="00161FC8" w:rsidP="00696667">
            <w:pPr>
              <w:pStyle w:val="TableParagraph"/>
              <w:spacing w:before="0" w:line="276" w:lineRule="auto"/>
              <w:jc w:val="center"/>
              <w:rPr>
                <w:rFonts w:ascii="Times New Roman"/>
                <w:sz w:val="20"/>
              </w:rPr>
            </w:pPr>
            <w:r>
              <w:rPr>
                <w:b/>
              </w:rPr>
              <w:t>2024</w:t>
            </w:r>
            <w:r>
              <w:rPr>
                <w:b/>
                <w:spacing w:val="-1"/>
              </w:rPr>
              <w:t xml:space="preserve"> </w:t>
            </w:r>
            <w:r>
              <w:rPr>
                <w:b/>
                <w:spacing w:val="-2"/>
              </w:rPr>
              <w:t>Totals</w:t>
            </w:r>
          </w:p>
        </w:tc>
      </w:tr>
      <w:tr w:rsidR="0051598F" w14:paraId="00BD6432" w14:textId="77777777" w:rsidTr="00046A14">
        <w:trPr>
          <w:trHeight w:val="284"/>
          <w:jc w:val="center"/>
        </w:trPr>
        <w:tc>
          <w:tcPr>
            <w:tcW w:w="7344" w:type="dxa"/>
          </w:tcPr>
          <w:p w14:paraId="51625AF5" w14:textId="3761B0BF" w:rsidR="0051598F" w:rsidRDefault="0051598F" w:rsidP="00161FC8">
            <w:pPr>
              <w:pStyle w:val="TableParagraph"/>
              <w:spacing w:before="0" w:line="276" w:lineRule="auto"/>
              <w:ind w:left="149" w:right="240"/>
              <w:jc w:val="both"/>
            </w:pPr>
            <w:r>
              <w:t>LEO</w:t>
            </w:r>
            <w:r>
              <w:rPr>
                <w:spacing w:val="-7"/>
              </w:rPr>
              <w:t xml:space="preserve"> </w:t>
            </w:r>
            <w:r>
              <w:t>jobs</w:t>
            </w:r>
            <w:r>
              <w:rPr>
                <w:spacing w:val="-5"/>
              </w:rPr>
              <w:t xml:space="preserve"> </w:t>
            </w:r>
            <w:r>
              <w:rPr>
                <w:spacing w:val="-2"/>
              </w:rPr>
              <w:t>supported</w:t>
            </w:r>
          </w:p>
        </w:tc>
        <w:tc>
          <w:tcPr>
            <w:tcW w:w="1817" w:type="dxa"/>
          </w:tcPr>
          <w:p w14:paraId="4548464A" w14:textId="35981229" w:rsidR="0051598F" w:rsidRDefault="00667D16" w:rsidP="00696667">
            <w:pPr>
              <w:pStyle w:val="TableParagraph"/>
              <w:spacing w:before="0" w:line="276" w:lineRule="auto"/>
              <w:jc w:val="center"/>
            </w:pPr>
            <w:r>
              <w:t>51</w:t>
            </w:r>
          </w:p>
        </w:tc>
      </w:tr>
      <w:tr w:rsidR="006B6D54" w14:paraId="07552128" w14:textId="77777777" w:rsidTr="00046A14">
        <w:trPr>
          <w:trHeight w:val="284"/>
          <w:jc w:val="center"/>
        </w:trPr>
        <w:tc>
          <w:tcPr>
            <w:tcW w:w="7344" w:type="dxa"/>
          </w:tcPr>
          <w:p w14:paraId="18493C7D" w14:textId="77777777" w:rsidR="006B6D54" w:rsidRDefault="006B6D54">
            <w:pPr>
              <w:pStyle w:val="TableParagraph"/>
              <w:spacing w:before="0" w:line="276" w:lineRule="auto"/>
              <w:ind w:left="149" w:right="240"/>
              <w:jc w:val="both"/>
            </w:pPr>
            <w:r>
              <w:rPr>
                <w:spacing w:val="-4"/>
              </w:rPr>
              <w:t>LEO mentoring participants</w:t>
            </w:r>
          </w:p>
        </w:tc>
        <w:tc>
          <w:tcPr>
            <w:tcW w:w="1817" w:type="dxa"/>
          </w:tcPr>
          <w:p w14:paraId="4CA23EEE" w14:textId="77777777" w:rsidR="006B6D54" w:rsidRDefault="006B6D54">
            <w:pPr>
              <w:pStyle w:val="TableParagraph"/>
              <w:spacing w:before="0" w:line="276" w:lineRule="auto"/>
              <w:jc w:val="center"/>
            </w:pPr>
            <w:r>
              <w:t>675</w:t>
            </w:r>
          </w:p>
        </w:tc>
      </w:tr>
      <w:tr w:rsidR="006B6D54" w14:paraId="74D7C25E" w14:textId="77777777" w:rsidTr="00046A14">
        <w:trPr>
          <w:trHeight w:val="284"/>
          <w:jc w:val="center"/>
        </w:trPr>
        <w:tc>
          <w:tcPr>
            <w:tcW w:w="7344" w:type="dxa"/>
          </w:tcPr>
          <w:p w14:paraId="4C1ECF1D" w14:textId="77777777" w:rsidR="006B6D54" w:rsidRDefault="006B6D54">
            <w:pPr>
              <w:pStyle w:val="TableParagraph"/>
              <w:spacing w:before="0" w:line="276" w:lineRule="auto"/>
              <w:ind w:left="149" w:right="240"/>
              <w:jc w:val="both"/>
            </w:pPr>
            <w:r>
              <w:rPr>
                <w:spacing w:val="-4"/>
              </w:rPr>
              <w:t>Trading</w:t>
            </w:r>
            <w:r>
              <w:rPr>
                <w:spacing w:val="2"/>
              </w:rPr>
              <w:t xml:space="preserve"> </w:t>
            </w:r>
            <w:r>
              <w:rPr>
                <w:spacing w:val="-4"/>
              </w:rPr>
              <w:t>online</w:t>
            </w:r>
            <w:r>
              <w:rPr>
                <w:spacing w:val="4"/>
              </w:rPr>
              <w:t xml:space="preserve"> </w:t>
            </w:r>
            <w:r>
              <w:rPr>
                <w:spacing w:val="-4"/>
              </w:rPr>
              <w:t>voucher</w:t>
            </w:r>
            <w:r>
              <w:rPr>
                <w:spacing w:val="3"/>
              </w:rPr>
              <w:t xml:space="preserve"> </w:t>
            </w:r>
            <w:r>
              <w:rPr>
                <w:spacing w:val="-4"/>
              </w:rPr>
              <w:t>applications</w:t>
            </w:r>
            <w:r>
              <w:rPr>
                <w:spacing w:val="4"/>
              </w:rPr>
              <w:t xml:space="preserve"> </w:t>
            </w:r>
            <w:r>
              <w:rPr>
                <w:spacing w:val="-4"/>
              </w:rPr>
              <w:t>approved</w:t>
            </w:r>
          </w:p>
        </w:tc>
        <w:tc>
          <w:tcPr>
            <w:tcW w:w="1817" w:type="dxa"/>
          </w:tcPr>
          <w:p w14:paraId="54FC79C1" w14:textId="77777777" w:rsidR="006B6D54" w:rsidRDefault="006B6D54">
            <w:pPr>
              <w:pStyle w:val="TableParagraph"/>
              <w:spacing w:before="0" w:line="276" w:lineRule="auto"/>
              <w:jc w:val="center"/>
            </w:pPr>
            <w:r>
              <w:t>96</w:t>
            </w:r>
          </w:p>
        </w:tc>
      </w:tr>
      <w:tr w:rsidR="0051598F" w14:paraId="7B1E878D" w14:textId="77777777" w:rsidTr="00046A14">
        <w:trPr>
          <w:trHeight w:val="284"/>
          <w:jc w:val="center"/>
        </w:trPr>
        <w:tc>
          <w:tcPr>
            <w:tcW w:w="7344" w:type="dxa"/>
          </w:tcPr>
          <w:p w14:paraId="7CB9876F" w14:textId="5692D9A8" w:rsidR="0051598F" w:rsidRDefault="0051598F" w:rsidP="00161FC8">
            <w:pPr>
              <w:pStyle w:val="TableParagraph"/>
              <w:spacing w:before="0" w:line="276" w:lineRule="auto"/>
              <w:ind w:left="149" w:right="240"/>
              <w:jc w:val="both"/>
            </w:pPr>
            <w:r>
              <w:rPr>
                <w:spacing w:val="-2"/>
              </w:rPr>
              <w:t>Business</w:t>
            </w:r>
            <w:r>
              <w:rPr>
                <w:spacing w:val="-3"/>
              </w:rPr>
              <w:t xml:space="preserve"> </w:t>
            </w:r>
            <w:r>
              <w:rPr>
                <w:spacing w:val="-2"/>
              </w:rPr>
              <w:t>support</w:t>
            </w:r>
            <w:r>
              <w:rPr>
                <w:spacing w:val="-3"/>
              </w:rPr>
              <w:t xml:space="preserve"> </w:t>
            </w:r>
            <w:r>
              <w:rPr>
                <w:spacing w:val="-2"/>
              </w:rPr>
              <w:t>grants</w:t>
            </w:r>
            <w:r w:rsidR="006B6D54">
              <w:rPr>
                <w:spacing w:val="-3"/>
              </w:rPr>
              <w:t xml:space="preserve"> expenditure</w:t>
            </w:r>
          </w:p>
        </w:tc>
        <w:tc>
          <w:tcPr>
            <w:tcW w:w="1817" w:type="dxa"/>
          </w:tcPr>
          <w:p w14:paraId="748DB325" w14:textId="194D5E7A" w:rsidR="0051598F" w:rsidRDefault="0044064E" w:rsidP="00696667">
            <w:pPr>
              <w:pStyle w:val="TableParagraph"/>
              <w:spacing w:before="0" w:line="276" w:lineRule="auto"/>
              <w:jc w:val="center"/>
            </w:pPr>
            <w:r>
              <w:t>€280,528</w:t>
            </w:r>
          </w:p>
        </w:tc>
      </w:tr>
      <w:tr w:rsidR="0051598F" w14:paraId="4080EC93" w14:textId="77777777" w:rsidTr="00046A14">
        <w:trPr>
          <w:trHeight w:val="284"/>
          <w:jc w:val="center"/>
        </w:trPr>
        <w:tc>
          <w:tcPr>
            <w:tcW w:w="7344" w:type="dxa"/>
          </w:tcPr>
          <w:p w14:paraId="5D4328D4" w14:textId="77777777" w:rsidR="0051598F" w:rsidRDefault="0051598F" w:rsidP="00161FC8">
            <w:pPr>
              <w:pStyle w:val="TableParagraph"/>
              <w:spacing w:before="0" w:line="276" w:lineRule="auto"/>
              <w:ind w:left="149" w:right="240"/>
              <w:jc w:val="both"/>
            </w:pPr>
            <w:r>
              <w:t>Grange</w:t>
            </w:r>
            <w:r>
              <w:rPr>
                <w:spacing w:val="-10"/>
              </w:rPr>
              <w:t xml:space="preserve"> </w:t>
            </w:r>
            <w:r>
              <w:t>Castle</w:t>
            </w:r>
            <w:r>
              <w:rPr>
                <w:spacing w:val="-9"/>
              </w:rPr>
              <w:t xml:space="preserve"> </w:t>
            </w:r>
            <w:r>
              <w:t>jobs</w:t>
            </w:r>
            <w:r>
              <w:rPr>
                <w:spacing w:val="-9"/>
              </w:rPr>
              <w:t xml:space="preserve"> </w:t>
            </w:r>
            <w:r>
              <w:rPr>
                <w:spacing w:val="-2"/>
              </w:rPr>
              <w:t>sustained</w:t>
            </w:r>
          </w:p>
        </w:tc>
        <w:tc>
          <w:tcPr>
            <w:tcW w:w="1817" w:type="dxa"/>
          </w:tcPr>
          <w:p w14:paraId="7482298D" w14:textId="6D6E38CB" w:rsidR="0051598F" w:rsidRDefault="0044064E" w:rsidP="00696667">
            <w:pPr>
              <w:pStyle w:val="TableParagraph"/>
              <w:spacing w:before="0" w:line="276" w:lineRule="auto"/>
              <w:jc w:val="center"/>
            </w:pPr>
            <w:r>
              <w:t>5,328</w:t>
            </w:r>
          </w:p>
        </w:tc>
      </w:tr>
      <w:tr w:rsidR="006B6D54" w14:paraId="271A1F4C" w14:textId="77777777" w:rsidTr="00046A14">
        <w:trPr>
          <w:trHeight w:val="284"/>
          <w:jc w:val="center"/>
        </w:trPr>
        <w:tc>
          <w:tcPr>
            <w:tcW w:w="7344" w:type="dxa"/>
          </w:tcPr>
          <w:p w14:paraId="41E3CAFE" w14:textId="77777777" w:rsidR="006B6D54" w:rsidRDefault="006B6D54">
            <w:pPr>
              <w:pStyle w:val="TableParagraph"/>
              <w:spacing w:before="0" w:line="276" w:lineRule="auto"/>
              <w:ind w:left="149" w:right="240"/>
              <w:jc w:val="both"/>
            </w:pPr>
            <w:r>
              <w:rPr>
                <w:spacing w:val="-6"/>
              </w:rPr>
              <w:t>Active</w:t>
            </w:r>
            <w:r>
              <w:rPr>
                <w:spacing w:val="2"/>
              </w:rPr>
              <w:t xml:space="preserve"> </w:t>
            </w:r>
            <w:r>
              <w:rPr>
                <w:spacing w:val="-6"/>
              </w:rPr>
              <w:t>library</w:t>
            </w:r>
            <w:r>
              <w:rPr>
                <w:spacing w:val="2"/>
              </w:rPr>
              <w:t xml:space="preserve"> </w:t>
            </w:r>
            <w:r>
              <w:rPr>
                <w:spacing w:val="-6"/>
              </w:rPr>
              <w:t>members</w:t>
            </w:r>
          </w:p>
        </w:tc>
        <w:tc>
          <w:tcPr>
            <w:tcW w:w="1817" w:type="dxa"/>
          </w:tcPr>
          <w:p w14:paraId="5AEF3D93" w14:textId="77777777" w:rsidR="006B6D54" w:rsidRDefault="006B6D54">
            <w:pPr>
              <w:pStyle w:val="TableParagraph"/>
              <w:spacing w:before="0" w:line="276" w:lineRule="auto"/>
              <w:jc w:val="center"/>
            </w:pPr>
            <w:r>
              <w:t>60,741</w:t>
            </w:r>
          </w:p>
        </w:tc>
      </w:tr>
      <w:tr w:rsidR="006B6D54" w14:paraId="278126FB" w14:textId="77777777" w:rsidTr="00046A14">
        <w:trPr>
          <w:trHeight w:val="284"/>
          <w:jc w:val="center"/>
        </w:trPr>
        <w:tc>
          <w:tcPr>
            <w:tcW w:w="7344" w:type="dxa"/>
          </w:tcPr>
          <w:p w14:paraId="44FFCD7E" w14:textId="15242564" w:rsidR="006B6D54" w:rsidRDefault="006B6D54">
            <w:pPr>
              <w:pStyle w:val="TableParagraph"/>
              <w:spacing w:before="0" w:line="276" w:lineRule="auto"/>
              <w:ind w:left="149" w:right="240"/>
              <w:jc w:val="both"/>
            </w:pPr>
            <w:r>
              <w:rPr>
                <w:spacing w:val="-4"/>
              </w:rPr>
              <w:t>Expenditure</w:t>
            </w:r>
            <w:r>
              <w:rPr>
                <w:spacing w:val="-9"/>
              </w:rPr>
              <w:t xml:space="preserve"> </w:t>
            </w:r>
            <w:r>
              <w:rPr>
                <w:spacing w:val="-4"/>
              </w:rPr>
              <w:t>on</w:t>
            </w:r>
            <w:r>
              <w:rPr>
                <w:spacing w:val="-7"/>
              </w:rPr>
              <w:t xml:space="preserve"> </w:t>
            </w:r>
            <w:r>
              <w:rPr>
                <w:spacing w:val="-4"/>
              </w:rPr>
              <w:t>new</w:t>
            </w:r>
            <w:r>
              <w:rPr>
                <w:spacing w:val="-8"/>
              </w:rPr>
              <w:t xml:space="preserve"> </w:t>
            </w:r>
            <w:r>
              <w:rPr>
                <w:spacing w:val="-4"/>
              </w:rPr>
              <w:t>library</w:t>
            </w:r>
            <w:r>
              <w:rPr>
                <w:spacing w:val="-9"/>
              </w:rPr>
              <w:t xml:space="preserve"> </w:t>
            </w:r>
            <w:r>
              <w:rPr>
                <w:spacing w:val="-4"/>
              </w:rPr>
              <w:t>stock</w:t>
            </w:r>
          </w:p>
        </w:tc>
        <w:tc>
          <w:tcPr>
            <w:tcW w:w="1817" w:type="dxa"/>
          </w:tcPr>
          <w:p w14:paraId="247B4134" w14:textId="77777777" w:rsidR="006B6D54" w:rsidRDefault="006B6D54">
            <w:pPr>
              <w:pStyle w:val="TableParagraph"/>
              <w:spacing w:before="0" w:line="276" w:lineRule="auto"/>
              <w:jc w:val="center"/>
            </w:pPr>
            <w:r>
              <w:t>€531,768</w:t>
            </w:r>
          </w:p>
        </w:tc>
      </w:tr>
      <w:tr w:rsidR="0051598F" w14:paraId="3843418F" w14:textId="77777777" w:rsidTr="00046A14">
        <w:trPr>
          <w:trHeight w:val="284"/>
          <w:jc w:val="center"/>
        </w:trPr>
        <w:tc>
          <w:tcPr>
            <w:tcW w:w="7344" w:type="dxa"/>
          </w:tcPr>
          <w:p w14:paraId="2D00A20A" w14:textId="12E83E0F" w:rsidR="0051598F" w:rsidRDefault="0051598F" w:rsidP="00161FC8">
            <w:pPr>
              <w:pStyle w:val="TableParagraph"/>
              <w:spacing w:before="0" w:line="276" w:lineRule="auto"/>
              <w:ind w:left="149" w:right="240"/>
              <w:jc w:val="both"/>
            </w:pPr>
            <w:r>
              <w:rPr>
                <w:spacing w:val="-4"/>
              </w:rPr>
              <w:t>Library</w:t>
            </w:r>
            <w:r w:rsidR="006B6D54">
              <w:rPr>
                <w:spacing w:val="-4"/>
              </w:rPr>
              <w:t xml:space="preserve"> </w:t>
            </w:r>
            <w:r>
              <w:rPr>
                <w:spacing w:val="-4"/>
              </w:rPr>
              <w:t>visitors</w:t>
            </w:r>
          </w:p>
        </w:tc>
        <w:tc>
          <w:tcPr>
            <w:tcW w:w="1817" w:type="dxa"/>
          </w:tcPr>
          <w:p w14:paraId="0C551CEC" w14:textId="02E24647" w:rsidR="0051598F" w:rsidRDefault="00DD0215" w:rsidP="00696667">
            <w:pPr>
              <w:pStyle w:val="TableParagraph"/>
              <w:spacing w:before="0" w:line="276" w:lineRule="auto"/>
              <w:jc w:val="center"/>
            </w:pPr>
            <w:r>
              <w:t>94</w:t>
            </w:r>
            <w:r w:rsidR="004460C7">
              <w:t>6</w:t>
            </w:r>
            <w:r>
              <w:t>,</w:t>
            </w:r>
            <w:r w:rsidR="004460C7">
              <w:t>412</w:t>
            </w:r>
          </w:p>
        </w:tc>
      </w:tr>
      <w:tr w:rsidR="0051598F" w14:paraId="321BC96B" w14:textId="77777777" w:rsidTr="00046A14">
        <w:trPr>
          <w:trHeight w:val="284"/>
          <w:jc w:val="center"/>
        </w:trPr>
        <w:tc>
          <w:tcPr>
            <w:tcW w:w="7344" w:type="dxa"/>
          </w:tcPr>
          <w:p w14:paraId="0736CACB" w14:textId="39273C92" w:rsidR="0051598F" w:rsidRDefault="0051598F" w:rsidP="00161FC8">
            <w:pPr>
              <w:pStyle w:val="TableParagraph"/>
              <w:spacing w:before="0" w:line="276" w:lineRule="auto"/>
              <w:ind w:left="149" w:right="240"/>
              <w:jc w:val="both"/>
            </w:pPr>
            <w:r>
              <w:rPr>
                <w:spacing w:val="-4"/>
              </w:rPr>
              <w:t>Library items</w:t>
            </w:r>
            <w:r>
              <w:rPr>
                <w:spacing w:val="-3"/>
              </w:rPr>
              <w:t xml:space="preserve"> </w:t>
            </w:r>
            <w:r>
              <w:rPr>
                <w:spacing w:val="-4"/>
              </w:rPr>
              <w:t>borrowed</w:t>
            </w:r>
          </w:p>
        </w:tc>
        <w:tc>
          <w:tcPr>
            <w:tcW w:w="1817" w:type="dxa"/>
          </w:tcPr>
          <w:p w14:paraId="5C0E77EE" w14:textId="05FB8E99" w:rsidR="0051598F" w:rsidRDefault="00DD0215" w:rsidP="00696667">
            <w:pPr>
              <w:pStyle w:val="TableParagraph"/>
              <w:spacing w:before="0" w:line="276" w:lineRule="auto"/>
              <w:jc w:val="center"/>
            </w:pPr>
            <w:r>
              <w:t>964,295</w:t>
            </w:r>
          </w:p>
        </w:tc>
      </w:tr>
      <w:tr w:rsidR="0051598F" w14:paraId="44369D97" w14:textId="77777777" w:rsidTr="00046A14">
        <w:trPr>
          <w:trHeight w:val="284"/>
          <w:jc w:val="center"/>
        </w:trPr>
        <w:tc>
          <w:tcPr>
            <w:tcW w:w="7344" w:type="dxa"/>
          </w:tcPr>
          <w:p w14:paraId="4466C980" w14:textId="7367D632" w:rsidR="0051598F" w:rsidRDefault="0051598F" w:rsidP="00161FC8">
            <w:pPr>
              <w:pStyle w:val="TableParagraph"/>
              <w:spacing w:before="0" w:line="276" w:lineRule="auto"/>
              <w:ind w:left="149" w:right="240"/>
              <w:jc w:val="both"/>
            </w:pPr>
            <w:r>
              <w:rPr>
                <w:spacing w:val="-4"/>
              </w:rPr>
              <w:t>Number of</w:t>
            </w:r>
            <w:r>
              <w:rPr>
                <w:spacing w:val="-1"/>
              </w:rPr>
              <w:t xml:space="preserve"> </w:t>
            </w:r>
            <w:r w:rsidR="006B6D54">
              <w:rPr>
                <w:spacing w:val="-4"/>
              </w:rPr>
              <w:t>f</w:t>
            </w:r>
            <w:r>
              <w:rPr>
                <w:spacing w:val="-4"/>
              </w:rPr>
              <w:t>estival</w:t>
            </w:r>
            <w:r>
              <w:rPr>
                <w:spacing w:val="-3"/>
              </w:rPr>
              <w:t xml:space="preserve"> </w:t>
            </w:r>
            <w:r>
              <w:rPr>
                <w:spacing w:val="-4"/>
              </w:rPr>
              <w:t>and</w:t>
            </w:r>
            <w:r>
              <w:rPr>
                <w:spacing w:val="-3"/>
              </w:rPr>
              <w:t xml:space="preserve"> </w:t>
            </w:r>
            <w:r>
              <w:rPr>
                <w:spacing w:val="-4"/>
              </w:rPr>
              <w:t>tourism events</w:t>
            </w:r>
            <w:r>
              <w:rPr>
                <w:spacing w:val="-2"/>
              </w:rPr>
              <w:t xml:space="preserve"> </w:t>
            </w:r>
            <w:r>
              <w:rPr>
                <w:spacing w:val="-4"/>
              </w:rPr>
              <w:t>supported</w:t>
            </w:r>
          </w:p>
        </w:tc>
        <w:tc>
          <w:tcPr>
            <w:tcW w:w="1817" w:type="dxa"/>
          </w:tcPr>
          <w:p w14:paraId="364D07F2" w14:textId="0045B8E4" w:rsidR="0051598F" w:rsidRDefault="00B35FAE" w:rsidP="00696667">
            <w:pPr>
              <w:pStyle w:val="TableParagraph"/>
              <w:spacing w:before="0" w:line="276" w:lineRule="auto"/>
              <w:jc w:val="center"/>
            </w:pPr>
            <w:r>
              <w:t>13</w:t>
            </w:r>
          </w:p>
        </w:tc>
      </w:tr>
      <w:tr w:rsidR="0051598F" w14:paraId="16BDA129" w14:textId="77777777" w:rsidTr="00046A14">
        <w:trPr>
          <w:trHeight w:val="284"/>
          <w:jc w:val="center"/>
        </w:trPr>
        <w:tc>
          <w:tcPr>
            <w:tcW w:w="7344" w:type="dxa"/>
          </w:tcPr>
          <w:p w14:paraId="7E48790D" w14:textId="1A22B785" w:rsidR="0051598F" w:rsidRDefault="0051598F" w:rsidP="00161FC8">
            <w:pPr>
              <w:pStyle w:val="TableParagraph"/>
              <w:spacing w:before="0" w:line="276" w:lineRule="auto"/>
              <w:ind w:left="149" w:right="240"/>
              <w:jc w:val="both"/>
            </w:pPr>
            <w:r>
              <w:rPr>
                <w:spacing w:val="-6"/>
              </w:rPr>
              <w:t>Visitors</w:t>
            </w:r>
            <w:r>
              <w:rPr>
                <w:spacing w:val="-3"/>
              </w:rPr>
              <w:t xml:space="preserve"> </w:t>
            </w:r>
            <w:r>
              <w:rPr>
                <w:spacing w:val="-6"/>
              </w:rPr>
              <w:t>to</w:t>
            </w:r>
            <w:r>
              <w:rPr>
                <w:spacing w:val="-4"/>
              </w:rPr>
              <w:t xml:space="preserve"> </w:t>
            </w:r>
            <w:r w:rsidR="002F2F73" w:rsidRPr="002F2F73">
              <w:rPr>
                <w:spacing w:val="-6"/>
                <w:lang w:val="en-IE"/>
              </w:rPr>
              <w:t xml:space="preserve">Brú </w:t>
            </w:r>
            <w:proofErr w:type="spellStart"/>
            <w:r w:rsidR="002F2F73" w:rsidRPr="002F2F73">
              <w:rPr>
                <w:spacing w:val="-6"/>
                <w:lang w:val="en-IE"/>
              </w:rPr>
              <w:t>Chrónáin</w:t>
            </w:r>
            <w:proofErr w:type="spellEnd"/>
            <w:r w:rsidR="002F2F73" w:rsidRPr="002F2F73">
              <w:rPr>
                <w:spacing w:val="-6"/>
                <w:lang w:val="en-IE"/>
              </w:rPr>
              <w:t xml:space="preserve"> Round Tower Visitor Centre</w:t>
            </w:r>
          </w:p>
        </w:tc>
        <w:tc>
          <w:tcPr>
            <w:tcW w:w="1817" w:type="dxa"/>
          </w:tcPr>
          <w:p w14:paraId="3D58E7B3" w14:textId="1CFECA34" w:rsidR="0051598F" w:rsidRDefault="00B35FAE" w:rsidP="00696667">
            <w:pPr>
              <w:pStyle w:val="TableParagraph"/>
              <w:spacing w:before="0" w:line="276" w:lineRule="auto"/>
              <w:jc w:val="center"/>
            </w:pPr>
            <w:r>
              <w:t>74,554</w:t>
            </w:r>
          </w:p>
        </w:tc>
      </w:tr>
      <w:tr w:rsidR="0051598F" w14:paraId="13777C15" w14:textId="77777777" w:rsidTr="00046A14">
        <w:trPr>
          <w:trHeight w:val="284"/>
          <w:jc w:val="center"/>
        </w:trPr>
        <w:tc>
          <w:tcPr>
            <w:tcW w:w="7344" w:type="dxa"/>
          </w:tcPr>
          <w:p w14:paraId="03DC614A" w14:textId="77777777" w:rsidR="0051598F" w:rsidRDefault="0051598F" w:rsidP="00161FC8">
            <w:pPr>
              <w:pStyle w:val="TableParagraph"/>
              <w:spacing w:before="0" w:line="276" w:lineRule="auto"/>
              <w:ind w:left="149" w:right="240"/>
              <w:jc w:val="both"/>
            </w:pPr>
            <w:r>
              <w:rPr>
                <w:spacing w:val="-4"/>
              </w:rPr>
              <w:t>Visitors to arts</w:t>
            </w:r>
            <w:r>
              <w:rPr>
                <w:spacing w:val="-3"/>
              </w:rPr>
              <w:t xml:space="preserve"> </w:t>
            </w:r>
            <w:proofErr w:type="spellStart"/>
            <w:r>
              <w:rPr>
                <w:spacing w:val="-4"/>
              </w:rPr>
              <w:t>centres</w:t>
            </w:r>
            <w:proofErr w:type="spellEnd"/>
          </w:p>
        </w:tc>
        <w:tc>
          <w:tcPr>
            <w:tcW w:w="1817" w:type="dxa"/>
          </w:tcPr>
          <w:p w14:paraId="388CFA9F" w14:textId="16D3BBC2" w:rsidR="0051598F" w:rsidRDefault="00B35FAE" w:rsidP="00696667">
            <w:pPr>
              <w:pStyle w:val="TableParagraph"/>
              <w:spacing w:before="0" w:line="276" w:lineRule="auto"/>
              <w:jc w:val="center"/>
            </w:pPr>
            <w:r>
              <w:t>390,161</w:t>
            </w:r>
          </w:p>
        </w:tc>
      </w:tr>
      <w:tr w:rsidR="0051598F" w14:paraId="5C1E5014" w14:textId="77777777" w:rsidTr="00046A14">
        <w:trPr>
          <w:trHeight w:val="284"/>
          <w:jc w:val="center"/>
        </w:trPr>
        <w:tc>
          <w:tcPr>
            <w:tcW w:w="7344" w:type="dxa"/>
          </w:tcPr>
          <w:p w14:paraId="69DFEEB1" w14:textId="2A76A7B2" w:rsidR="0051598F" w:rsidRDefault="002F2F73" w:rsidP="00161FC8">
            <w:pPr>
              <w:pStyle w:val="TableParagraph"/>
              <w:spacing w:before="0" w:line="276" w:lineRule="auto"/>
              <w:ind w:left="149" w:right="240"/>
              <w:jc w:val="both"/>
            </w:pPr>
            <w:r>
              <w:t>A</w:t>
            </w:r>
            <w:r w:rsidR="0051598F">
              <w:t>rts</w:t>
            </w:r>
            <w:r w:rsidR="0051598F">
              <w:rPr>
                <w:spacing w:val="-2"/>
              </w:rPr>
              <w:t xml:space="preserve"> </w:t>
            </w:r>
            <w:r w:rsidR="0051598F">
              <w:t>grants</w:t>
            </w:r>
            <w:r w:rsidR="0051598F">
              <w:rPr>
                <w:spacing w:val="-1"/>
              </w:rPr>
              <w:t xml:space="preserve"> </w:t>
            </w:r>
            <w:r w:rsidR="0051598F">
              <w:rPr>
                <w:spacing w:val="-4"/>
              </w:rPr>
              <w:t>paid</w:t>
            </w:r>
          </w:p>
        </w:tc>
        <w:tc>
          <w:tcPr>
            <w:tcW w:w="1817" w:type="dxa"/>
          </w:tcPr>
          <w:p w14:paraId="4ED4FDED" w14:textId="123563AC" w:rsidR="0051598F" w:rsidRDefault="009C0444" w:rsidP="00696667">
            <w:pPr>
              <w:pStyle w:val="TableParagraph"/>
              <w:spacing w:before="0" w:line="276" w:lineRule="auto"/>
              <w:jc w:val="center"/>
            </w:pPr>
            <w:r>
              <w:t>124</w:t>
            </w:r>
          </w:p>
        </w:tc>
      </w:tr>
      <w:tr w:rsidR="0051598F" w14:paraId="145E5707" w14:textId="77777777" w:rsidTr="00046A14">
        <w:trPr>
          <w:trHeight w:val="284"/>
          <w:jc w:val="center"/>
        </w:trPr>
        <w:tc>
          <w:tcPr>
            <w:tcW w:w="7344" w:type="dxa"/>
          </w:tcPr>
          <w:p w14:paraId="11F2E716" w14:textId="77777777" w:rsidR="0051598F" w:rsidRDefault="0051598F" w:rsidP="00161FC8">
            <w:pPr>
              <w:pStyle w:val="TableParagraph"/>
              <w:spacing w:before="0" w:line="276" w:lineRule="auto"/>
              <w:ind w:left="149" w:right="240"/>
              <w:jc w:val="both"/>
            </w:pPr>
            <w:r>
              <w:rPr>
                <w:spacing w:val="-4"/>
              </w:rPr>
              <w:t>Value</w:t>
            </w:r>
            <w:r>
              <w:rPr>
                <w:spacing w:val="-5"/>
              </w:rPr>
              <w:t xml:space="preserve"> </w:t>
            </w:r>
            <w:r>
              <w:rPr>
                <w:spacing w:val="-4"/>
              </w:rPr>
              <w:t>of</w:t>
            </w:r>
            <w:r>
              <w:rPr>
                <w:spacing w:val="-3"/>
              </w:rPr>
              <w:t xml:space="preserve"> </w:t>
            </w:r>
            <w:r>
              <w:rPr>
                <w:spacing w:val="-4"/>
              </w:rPr>
              <w:t>arts</w:t>
            </w:r>
            <w:r>
              <w:rPr>
                <w:spacing w:val="-5"/>
              </w:rPr>
              <w:t xml:space="preserve"> </w:t>
            </w:r>
            <w:r>
              <w:rPr>
                <w:spacing w:val="-4"/>
              </w:rPr>
              <w:t>grants paid</w:t>
            </w:r>
          </w:p>
        </w:tc>
        <w:tc>
          <w:tcPr>
            <w:tcW w:w="1817" w:type="dxa"/>
          </w:tcPr>
          <w:p w14:paraId="2E97E5F9" w14:textId="326B436E" w:rsidR="0051598F" w:rsidRDefault="009C0444" w:rsidP="00696667">
            <w:pPr>
              <w:pStyle w:val="TableParagraph"/>
              <w:spacing w:before="0" w:line="276" w:lineRule="auto"/>
              <w:jc w:val="center"/>
            </w:pPr>
            <w:r>
              <w:t>€1,463,775</w:t>
            </w:r>
          </w:p>
        </w:tc>
      </w:tr>
    </w:tbl>
    <w:p w14:paraId="2830878C" w14:textId="77777777" w:rsidR="008046DF" w:rsidRDefault="008046DF" w:rsidP="00CF46AE">
      <w:pPr>
        <w:spacing w:after="0" w:line="276" w:lineRule="auto"/>
        <w:ind w:left="0" w:hanging="426"/>
        <w:jc w:val="center"/>
        <w:textAlignment w:val="baseline"/>
        <w:rPr>
          <w:rFonts w:asciiTheme="minorHAnsi" w:eastAsia="Times New Roman" w:hAnsiTheme="minorHAnsi" w:cstheme="minorHAnsi"/>
          <w:b/>
          <w:bCs/>
          <w:color w:val="auto"/>
          <w:kern w:val="0"/>
          <w:szCs w:val="23"/>
          <w14:ligatures w14:val="none"/>
        </w:rPr>
      </w:pPr>
    </w:p>
    <w:p w14:paraId="2A6A84A3" w14:textId="77777777" w:rsidR="00E77D63" w:rsidRDefault="00E77D63" w:rsidP="00CF46AE">
      <w:pPr>
        <w:spacing w:after="0" w:line="276" w:lineRule="auto"/>
        <w:ind w:left="0" w:hanging="426"/>
        <w:jc w:val="center"/>
        <w:textAlignment w:val="baseline"/>
        <w:rPr>
          <w:rFonts w:asciiTheme="minorHAnsi" w:eastAsia="Times New Roman" w:hAnsiTheme="minorHAnsi" w:cstheme="minorHAnsi"/>
          <w:b/>
          <w:bCs/>
          <w:color w:val="auto"/>
          <w:kern w:val="0"/>
          <w:szCs w:val="23"/>
          <w14:ligatures w14:val="none"/>
        </w:rPr>
      </w:pPr>
    </w:p>
    <w:p w14:paraId="27B9D0FF" w14:textId="67CF5B24" w:rsidR="008E4E5E" w:rsidRPr="003E4E01" w:rsidRDefault="008E4E5E" w:rsidP="00CF46AE">
      <w:pPr>
        <w:spacing w:after="0" w:line="276" w:lineRule="auto"/>
        <w:ind w:left="0" w:hanging="426"/>
        <w:jc w:val="center"/>
        <w:textAlignment w:val="baseline"/>
        <w:rPr>
          <w:rFonts w:asciiTheme="minorHAnsi" w:eastAsia="Times New Roman" w:hAnsiTheme="minorHAnsi" w:cstheme="minorHAnsi"/>
          <w:color w:val="auto"/>
          <w:kern w:val="0"/>
          <w:szCs w:val="23"/>
          <w14:ligatures w14:val="none"/>
        </w:rPr>
      </w:pPr>
      <w:r w:rsidRPr="003E4E01">
        <w:rPr>
          <w:rFonts w:asciiTheme="minorHAnsi" w:eastAsia="Times New Roman" w:hAnsiTheme="minorHAnsi" w:cstheme="minorHAnsi"/>
          <w:b/>
          <w:bCs/>
          <w:color w:val="auto"/>
          <w:kern w:val="0"/>
          <w:szCs w:val="23"/>
          <w14:ligatures w14:val="none"/>
        </w:rPr>
        <w:t>Land Use, Planning and Transportation</w:t>
      </w:r>
    </w:p>
    <w:p w14:paraId="1E938042" w14:textId="58D97B08" w:rsidR="008E4E5E" w:rsidRPr="003E4E01" w:rsidRDefault="008E4E5E" w:rsidP="00023B95">
      <w:pPr>
        <w:spacing w:after="0" w:line="276" w:lineRule="auto"/>
        <w:ind w:left="0" w:hanging="426"/>
        <w:textAlignment w:val="baseline"/>
        <w:rPr>
          <w:rFonts w:asciiTheme="minorHAnsi" w:eastAsia="Times New Roman" w:hAnsiTheme="minorHAnsi" w:cstheme="minorHAnsi"/>
          <w:color w:val="auto"/>
          <w:kern w:val="0"/>
          <w:szCs w:val="23"/>
          <w14:ligatures w14:val="none"/>
        </w:rPr>
      </w:pPr>
    </w:p>
    <w:p w14:paraId="241C7579" w14:textId="2D8D4EB9" w:rsidR="00E84573" w:rsidRDefault="00E84573" w:rsidP="00CF46AE">
      <w:pPr>
        <w:spacing w:after="0" w:line="276" w:lineRule="auto"/>
        <w:ind w:left="0" w:firstLine="0"/>
        <w:rPr>
          <w:b/>
          <w:bCs/>
        </w:rPr>
      </w:pPr>
      <w:r w:rsidRPr="00BF6815">
        <w:rPr>
          <w:b/>
          <w:bCs/>
        </w:rPr>
        <w:t xml:space="preserve">Strategic </w:t>
      </w:r>
      <w:r w:rsidR="00161FC8">
        <w:rPr>
          <w:b/>
          <w:bCs/>
        </w:rPr>
        <w:t>p</w:t>
      </w:r>
      <w:r w:rsidRPr="00BF6815">
        <w:rPr>
          <w:b/>
          <w:bCs/>
        </w:rPr>
        <w:t xml:space="preserve">lanning for </w:t>
      </w:r>
      <w:r w:rsidR="00161FC8">
        <w:rPr>
          <w:b/>
          <w:bCs/>
        </w:rPr>
        <w:t>r</w:t>
      </w:r>
      <w:r w:rsidRPr="00BF6815">
        <w:rPr>
          <w:b/>
          <w:bCs/>
        </w:rPr>
        <w:t xml:space="preserve">esilient </w:t>
      </w:r>
      <w:r w:rsidR="00161FC8">
        <w:rPr>
          <w:b/>
          <w:bCs/>
        </w:rPr>
        <w:t>g</w:t>
      </w:r>
      <w:r w:rsidRPr="00BF6815">
        <w:rPr>
          <w:b/>
          <w:bCs/>
        </w:rPr>
        <w:t>rowth</w:t>
      </w:r>
    </w:p>
    <w:p w14:paraId="72D37AFF" w14:textId="599122AE" w:rsidR="00E84573" w:rsidRPr="00347FC0" w:rsidRDefault="00E84573" w:rsidP="00E72719">
      <w:pPr>
        <w:pStyle w:val="ListParagraph"/>
        <w:numPr>
          <w:ilvl w:val="0"/>
          <w:numId w:val="4"/>
        </w:numPr>
        <w:spacing w:after="0" w:line="276" w:lineRule="auto"/>
        <w:ind w:left="360"/>
      </w:pPr>
      <w:r w:rsidRPr="00347FC0">
        <w:t xml:space="preserve">The </w:t>
      </w:r>
      <w:r w:rsidR="003E3400">
        <w:t>Two-</w:t>
      </w:r>
      <w:r w:rsidRPr="00347FC0">
        <w:t xml:space="preserve">Year Progress Report on the delivery of the objectives of the County Development Plan 2022-2028 was presented to </w:t>
      </w:r>
      <w:r w:rsidR="00FF1EA7">
        <w:t>Counci</w:t>
      </w:r>
      <w:r w:rsidR="00EA241D">
        <w:t>l</w:t>
      </w:r>
      <w:r w:rsidRPr="00347FC0">
        <w:t xml:space="preserve"> in December alongside an online Housing Supply Monitor. Good progress has been made with 90% of the 878 objectives being either completed, on-going or starting.</w:t>
      </w:r>
    </w:p>
    <w:p w14:paraId="362272E3" w14:textId="4EE09F80" w:rsidR="00E84573" w:rsidRPr="00347FC0" w:rsidRDefault="00E84573" w:rsidP="00E72719">
      <w:pPr>
        <w:pStyle w:val="ListParagraph"/>
        <w:numPr>
          <w:ilvl w:val="0"/>
          <w:numId w:val="4"/>
        </w:numPr>
        <w:spacing w:after="0" w:line="276" w:lineRule="auto"/>
        <w:ind w:left="360"/>
      </w:pPr>
      <w:r w:rsidRPr="00347FC0">
        <w:t xml:space="preserve">A </w:t>
      </w:r>
      <w:r w:rsidR="00125236">
        <w:t>c</w:t>
      </w:r>
      <w:r w:rsidRPr="00347FC0">
        <w:t xml:space="preserve">ounty-wide </w:t>
      </w:r>
      <w:r w:rsidR="00125236">
        <w:t>e</w:t>
      </w:r>
      <w:r w:rsidRPr="00347FC0">
        <w:t xml:space="preserve">mployment </w:t>
      </w:r>
      <w:r w:rsidR="00125236">
        <w:t>l</w:t>
      </w:r>
      <w:r w:rsidRPr="00347FC0">
        <w:t xml:space="preserve">and </w:t>
      </w:r>
      <w:r w:rsidR="00125236">
        <w:t>r</w:t>
      </w:r>
      <w:r w:rsidRPr="00347FC0">
        <w:t xml:space="preserve">eview accompanied the </w:t>
      </w:r>
      <w:r w:rsidR="009D6C60">
        <w:t>Two-</w:t>
      </w:r>
      <w:r w:rsidRPr="00347FC0">
        <w:t>Year Progress Report</w:t>
      </w:r>
      <w:r w:rsidR="77DCC993">
        <w:t xml:space="preserve"> which</w:t>
      </w:r>
      <w:r w:rsidRPr="00347FC0">
        <w:t xml:space="preserve"> will facilitate the forthcoming South Dublin Economic Strategy and the identification of future employment zoning needs. </w:t>
      </w:r>
    </w:p>
    <w:p w14:paraId="629E37D1" w14:textId="2DCC9239" w:rsidR="00E84573" w:rsidRPr="00347FC0" w:rsidRDefault="00E84573" w:rsidP="00E72719">
      <w:pPr>
        <w:pStyle w:val="ListParagraph"/>
        <w:numPr>
          <w:ilvl w:val="0"/>
          <w:numId w:val="4"/>
        </w:numPr>
        <w:spacing w:after="0" w:line="276" w:lineRule="auto"/>
        <w:ind w:left="360"/>
      </w:pPr>
      <w:r w:rsidRPr="00347FC0">
        <w:t>The Residential Zoned Land Tax 2024 final maps were prepared, consulted on, and made ready for publication on 31</w:t>
      </w:r>
      <w:r w:rsidRPr="00347FC0">
        <w:rPr>
          <w:vertAlign w:val="superscript"/>
        </w:rPr>
        <w:t>st</w:t>
      </w:r>
      <w:r w:rsidRPr="00347FC0">
        <w:t xml:space="preserve"> January 2025. These will be followed by the 2025 draft maps which are being made ready for publication and consultation on 1</w:t>
      </w:r>
      <w:r w:rsidRPr="00347FC0">
        <w:rPr>
          <w:vertAlign w:val="superscript"/>
        </w:rPr>
        <w:t>st</w:t>
      </w:r>
      <w:r w:rsidRPr="00347FC0">
        <w:t xml:space="preserve"> February 2025. </w:t>
      </w:r>
    </w:p>
    <w:p w14:paraId="6AD04675" w14:textId="253C0332" w:rsidR="00E84573" w:rsidRPr="00347FC0" w:rsidRDefault="00E84573">
      <w:pPr>
        <w:pStyle w:val="ListParagraph"/>
        <w:numPr>
          <w:ilvl w:val="0"/>
          <w:numId w:val="4"/>
        </w:numPr>
        <w:spacing w:after="0" w:line="276" w:lineRule="auto"/>
        <w:ind w:left="360"/>
      </w:pPr>
      <w:r w:rsidRPr="00347FC0">
        <w:t>856 planning applications were determined, including 13 Large-scale Residential Developments</w:t>
      </w:r>
      <w:r w:rsidR="00925BDB">
        <w:t xml:space="preserve"> while 8</w:t>
      </w:r>
      <w:r w:rsidRPr="00347FC0">
        <w:t xml:space="preserve">25 </w:t>
      </w:r>
      <w:r w:rsidR="00925BDB">
        <w:t>p</w:t>
      </w:r>
      <w:r w:rsidRPr="00347FC0">
        <w:t>lanning compliances were determined</w:t>
      </w:r>
      <w:r w:rsidR="00F05B55">
        <w:t>,</w:t>
      </w:r>
      <w:r w:rsidRPr="00347FC0">
        <w:t xml:space="preserve"> 462 planning enforcement cases were </w:t>
      </w:r>
      <w:r w:rsidR="00055E3F" w:rsidRPr="00347FC0">
        <w:t>closed,</w:t>
      </w:r>
      <w:r w:rsidRPr="00347FC0">
        <w:t xml:space="preserve"> and six housing estates and roads were taken in charge. </w:t>
      </w:r>
      <w:r w:rsidR="00646C27" w:rsidRPr="00347FC0">
        <w:t xml:space="preserve">160 Section 247 </w:t>
      </w:r>
      <w:proofErr w:type="spellStart"/>
      <w:r w:rsidR="00646C27" w:rsidRPr="00347FC0">
        <w:t>pre-planning</w:t>
      </w:r>
      <w:proofErr w:type="spellEnd"/>
      <w:r w:rsidR="00646C27" w:rsidRPr="00347FC0">
        <w:t xml:space="preserve"> consultations </w:t>
      </w:r>
      <w:r w:rsidR="00646C27">
        <w:t xml:space="preserve">also </w:t>
      </w:r>
      <w:r w:rsidR="00646C27" w:rsidRPr="00347FC0">
        <w:t>took place.</w:t>
      </w:r>
    </w:p>
    <w:p w14:paraId="532BE82B" w14:textId="6F776596" w:rsidR="00E84573" w:rsidRPr="00347FC0" w:rsidRDefault="00E84573" w:rsidP="00E72719">
      <w:pPr>
        <w:pStyle w:val="ListParagraph"/>
        <w:numPr>
          <w:ilvl w:val="0"/>
          <w:numId w:val="4"/>
        </w:numPr>
        <w:spacing w:after="0" w:line="276" w:lineRule="auto"/>
        <w:ind w:left="360"/>
      </w:pPr>
      <w:r w:rsidRPr="00347FC0">
        <w:t>11 Section 254 licences were determined.</w:t>
      </w:r>
    </w:p>
    <w:p w14:paraId="212E8312" w14:textId="777FDD9F" w:rsidR="00E84573" w:rsidRPr="00347FC0" w:rsidRDefault="00E84573">
      <w:pPr>
        <w:pStyle w:val="ListParagraph"/>
        <w:numPr>
          <w:ilvl w:val="0"/>
          <w:numId w:val="4"/>
        </w:numPr>
        <w:spacing w:after="0" w:line="276" w:lineRule="auto"/>
        <w:ind w:left="360"/>
      </w:pPr>
      <w:r w:rsidRPr="00347FC0">
        <w:t>36 applications for Certificates of Exemption from the provisions of Section 96 of Part V (Housing Supply) of the Planning and Development Act, 2000 were processed</w:t>
      </w:r>
      <w:r w:rsidR="00D059D6">
        <w:t xml:space="preserve"> and </w:t>
      </w:r>
      <w:r w:rsidRPr="00347FC0">
        <w:t xml:space="preserve">75 applications for declarations of exemption under Section 5 of the Planning Act were </w:t>
      </w:r>
      <w:r w:rsidR="00D059D6">
        <w:t xml:space="preserve">also </w:t>
      </w:r>
      <w:r w:rsidRPr="00347FC0">
        <w:t>progressed</w:t>
      </w:r>
      <w:r w:rsidR="00925BDB">
        <w:t>.</w:t>
      </w:r>
    </w:p>
    <w:p w14:paraId="5E04A615" w14:textId="74C70E0E" w:rsidR="00E84573" w:rsidRPr="00347FC0" w:rsidRDefault="00E84573" w:rsidP="00E72719">
      <w:pPr>
        <w:pStyle w:val="ListParagraph"/>
        <w:numPr>
          <w:ilvl w:val="0"/>
          <w:numId w:val="4"/>
        </w:numPr>
        <w:spacing w:after="0" w:line="276" w:lineRule="auto"/>
        <w:ind w:left="360"/>
      </w:pPr>
      <w:r w:rsidRPr="00347FC0">
        <w:t>By Q3 2024, 5,475 residential units were completed since the Development Plan came into effect, meeting the Core Strategy targets</w:t>
      </w:r>
      <w:r w:rsidR="006D6686">
        <w:t>,</w:t>
      </w:r>
      <w:r w:rsidRPr="00347FC0">
        <w:t xml:space="preserve"> with planning permission in place for a further 12,649 homes. </w:t>
      </w:r>
    </w:p>
    <w:p w14:paraId="73646A16" w14:textId="6D4FBC9B" w:rsidR="00E84573" w:rsidRPr="00347FC0" w:rsidRDefault="00E84573" w:rsidP="00E72719">
      <w:pPr>
        <w:pStyle w:val="ListParagraph"/>
        <w:numPr>
          <w:ilvl w:val="0"/>
          <w:numId w:val="4"/>
        </w:numPr>
        <w:spacing w:after="0" w:line="276" w:lineRule="auto"/>
        <w:ind w:left="360"/>
      </w:pPr>
      <w:r w:rsidRPr="00347FC0">
        <w:t xml:space="preserve">Informal consultation was undertaken for a County Heritage Plan with a draft plan now being prepared for formal public consultation. </w:t>
      </w:r>
    </w:p>
    <w:p w14:paraId="6E46D4DC" w14:textId="06361BEC" w:rsidR="00E84573" w:rsidRPr="00347FC0" w:rsidRDefault="00E84573" w:rsidP="00E72719">
      <w:pPr>
        <w:pStyle w:val="ListParagraph"/>
        <w:numPr>
          <w:ilvl w:val="0"/>
          <w:numId w:val="4"/>
        </w:numPr>
        <w:spacing w:after="0" w:line="276" w:lineRule="auto"/>
        <w:ind w:left="360"/>
      </w:pPr>
      <w:r w:rsidRPr="00347FC0">
        <w:t xml:space="preserve">The Office of the Planning Regulator, who has a statutory role in reviewing all </w:t>
      </w:r>
      <w:r w:rsidR="00EF14A3">
        <w:t>p</w:t>
      </w:r>
      <w:r w:rsidRPr="00347FC0">
        <w:t xml:space="preserve">lanning </w:t>
      </w:r>
      <w:r w:rsidR="00EF14A3">
        <w:t>a</w:t>
      </w:r>
      <w:r w:rsidRPr="00347FC0">
        <w:t xml:space="preserve">uthorities, completed their South Dublin review and found that all functions are being delivered on a satisfactory basis and that the planning department is delivering on its responsibilities in a highly effective manner in many areas. </w:t>
      </w:r>
    </w:p>
    <w:p w14:paraId="2E60FA54" w14:textId="732B9DA8" w:rsidR="00E84573" w:rsidRPr="00BB074E" w:rsidRDefault="00D25116" w:rsidP="00E72719">
      <w:pPr>
        <w:pStyle w:val="ListParagraph"/>
        <w:numPr>
          <w:ilvl w:val="0"/>
          <w:numId w:val="4"/>
        </w:numPr>
        <w:spacing w:after="0" w:line="276" w:lineRule="auto"/>
        <w:ind w:left="360"/>
      </w:pPr>
      <w:r>
        <w:lastRenderedPageBreak/>
        <w:t>We</w:t>
      </w:r>
      <w:r w:rsidR="00E84573" w:rsidRPr="00347FC0">
        <w:t xml:space="preserve"> made the </w:t>
      </w:r>
      <w:r w:rsidR="00E84573" w:rsidRPr="00BB074E">
        <w:t>National Online Planning Portal available</w:t>
      </w:r>
      <w:r w:rsidR="002A0F88">
        <w:t xml:space="preserve">, providing </w:t>
      </w:r>
      <w:r w:rsidR="00E84573" w:rsidRPr="00BB074E">
        <w:t>applicants and agents with an option to submit their planning applications in electronic format. Uptake of the new system has been strong, with 50% of all planning applications received in 2024 submitted through this system</w:t>
      </w:r>
      <w:r w:rsidR="002A0F88">
        <w:t xml:space="preserve"> </w:t>
      </w:r>
      <w:r w:rsidR="0C9DE579">
        <w:t>and</w:t>
      </w:r>
      <w:r w:rsidR="004E6F98">
        <w:t xml:space="preserve"> </w:t>
      </w:r>
      <w:r w:rsidR="00E84573" w:rsidRPr="00BB074E">
        <w:t xml:space="preserve">75% of </w:t>
      </w:r>
      <w:r w:rsidR="004E6F98">
        <w:t xml:space="preserve">all </w:t>
      </w:r>
      <w:r w:rsidR="00E84573" w:rsidRPr="00BB074E">
        <w:t>applications</w:t>
      </w:r>
      <w:r w:rsidR="00247D4B">
        <w:t xml:space="preserve"> </w:t>
      </w:r>
      <w:r w:rsidR="004E6F98">
        <w:t>received in December submitted</w:t>
      </w:r>
      <w:r w:rsidR="00E84573" w:rsidRPr="00BB074E">
        <w:t xml:space="preserve"> </w:t>
      </w:r>
      <w:r w:rsidR="00BB074E" w:rsidRPr="00BB074E">
        <w:t>electronically.</w:t>
      </w:r>
      <w:r w:rsidR="00E84573" w:rsidRPr="00BB074E">
        <w:t xml:space="preserve"> </w:t>
      </w:r>
    </w:p>
    <w:p w14:paraId="12D0FF8B" w14:textId="77777777" w:rsidR="00A14BFC" w:rsidRPr="00347FC0" w:rsidRDefault="00A14BFC" w:rsidP="00A14BFC">
      <w:pPr>
        <w:pStyle w:val="ListParagraph"/>
        <w:spacing w:after="0" w:line="276" w:lineRule="auto"/>
        <w:ind w:left="360" w:firstLine="0"/>
      </w:pPr>
    </w:p>
    <w:p w14:paraId="51EE564B" w14:textId="157D5361" w:rsidR="008E4E5E" w:rsidRDefault="008E4E5E" w:rsidP="001D3EF9">
      <w:pPr>
        <w:spacing w:after="0" w:line="276" w:lineRule="auto"/>
        <w:ind w:left="0" w:firstLine="0"/>
        <w:textAlignment w:val="baseline"/>
        <w:rPr>
          <w:rFonts w:asciiTheme="minorHAnsi" w:eastAsia="Times New Roman" w:hAnsiTheme="minorHAnsi" w:cstheme="minorHAnsi"/>
          <w:b/>
          <w:bCs/>
          <w:color w:val="auto"/>
          <w:kern w:val="0"/>
          <w:szCs w:val="23"/>
          <w14:ligatures w14:val="none"/>
        </w:rPr>
      </w:pPr>
      <w:r w:rsidRPr="003E4E01">
        <w:rPr>
          <w:rFonts w:asciiTheme="minorHAnsi" w:eastAsia="Times New Roman" w:hAnsiTheme="minorHAnsi" w:cstheme="minorHAnsi"/>
          <w:b/>
          <w:bCs/>
          <w:color w:val="auto"/>
          <w:kern w:val="0"/>
          <w:szCs w:val="23"/>
          <w14:ligatures w14:val="none"/>
        </w:rPr>
        <w:t xml:space="preserve">Connect places through sustainable mobility </w:t>
      </w:r>
      <w:r w:rsidR="009531B8" w:rsidRPr="003E4E01">
        <w:rPr>
          <w:rFonts w:asciiTheme="minorHAnsi" w:eastAsia="Times New Roman" w:hAnsiTheme="minorHAnsi" w:cstheme="minorHAnsi"/>
          <w:b/>
          <w:bCs/>
          <w:color w:val="auto"/>
          <w:kern w:val="0"/>
          <w:szCs w:val="23"/>
          <w14:ligatures w14:val="none"/>
        </w:rPr>
        <w:t>projects</w:t>
      </w:r>
    </w:p>
    <w:p w14:paraId="6682DED6" w14:textId="521D4525" w:rsidR="00C56573" w:rsidRPr="00D00C96" w:rsidRDefault="00247D4B" w:rsidP="001D3EF9">
      <w:pPr>
        <w:spacing w:after="0" w:line="276" w:lineRule="auto"/>
        <w:ind w:left="0" w:firstLine="0"/>
      </w:pPr>
      <w:r>
        <w:t xml:space="preserve">We </w:t>
      </w:r>
      <w:r w:rsidR="00C56573" w:rsidRPr="00D00C96">
        <w:t xml:space="preserve">made significant progress in delivering the Cycle South Dublin Programme with </w:t>
      </w:r>
      <w:r w:rsidRPr="00D00C96">
        <w:t>National Transport Authority (NTA) funding</w:t>
      </w:r>
      <w:r>
        <w:t xml:space="preserve"> of </w:t>
      </w:r>
      <w:r w:rsidR="00C56573" w:rsidRPr="00D00C96">
        <w:t xml:space="preserve">€22.8 </w:t>
      </w:r>
      <w:bookmarkStart w:id="2" w:name="_Int_57wz9CnV"/>
      <w:r w:rsidR="00C56573" w:rsidRPr="00D00C96">
        <w:t>million</w:t>
      </w:r>
      <w:bookmarkEnd w:id="2"/>
      <w:r w:rsidR="00C56573" w:rsidRPr="00D00C96">
        <w:t xml:space="preserve"> spent on the design and delivery of new active travel infrastructure. This was further supplemented with additional funding from the Department of Housing, Local Government and Heritage</w:t>
      </w:r>
      <w:r w:rsidR="003F47FF">
        <w:t xml:space="preserve"> </w:t>
      </w:r>
      <w:r w:rsidR="00A64D5C">
        <w:t>(DHLGH)</w:t>
      </w:r>
      <w:r w:rsidR="00C56573" w:rsidRPr="00D00C96">
        <w:t xml:space="preserve">, as we delivered </w:t>
      </w:r>
      <w:r w:rsidR="431A5DD6">
        <w:t>22.5</w:t>
      </w:r>
      <w:r w:rsidR="00C56573">
        <w:t>km</w:t>
      </w:r>
      <w:r w:rsidR="00C56573" w:rsidRPr="00D00C96">
        <w:t xml:space="preserve"> of new and improved cycling routes and 8km of new walking links, while also progressing design work for a further 90km of new and improved walking and cycling routes.</w:t>
      </w:r>
    </w:p>
    <w:p w14:paraId="45ABACC8" w14:textId="6C2C2588" w:rsidR="00C56573" w:rsidRPr="00D00C96" w:rsidRDefault="00C56573" w:rsidP="00EA6B19">
      <w:pPr>
        <w:pStyle w:val="ListParagraph"/>
        <w:numPr>
          <w:ilvl w:val="0"/>
          <w:numId w:val="39"/>
        </w:numPr>
        <w:spacing w:after="0" w:line="276" w:lineRule="auto"/>
        <w:ind w:left="360"/>
      </w:pPr>
      <w:r w:rsidRPr="00D00C96">
        <w:t xml:space="preserve">Works were completed on </w:t>
      </w:r>
      <w:r w:rsidR="00373E9E">
        <w:t xml:space="preserve">active travel projects at </w:t>
      </w:r>
      <w:r w:rsidRPr="00D00C96">
        <w:t xml:space="preserve">Grange Road, Dodder Valley Greenway Phase 4, </w:t>
      </w:r>
      <w:proofErr w:type="spellStart"/>
      <w:r w:rsidRPr="00D00C96">
        <w:t>Templeville</w:t>
      </w:r>
      <w:proofErr w:type="spellEnd"/>
      <w:r w:rsidRPr="00D00C96">
        <w:t xml:space="preserve"> Road (Phase 1), </w:t>
      </w:r>
      <w:proofErr w:type="spellStart"/>
      <w:r w:rsidRPr="00D00C96">
        <w:t>Griffeen</w:t>
      </w:r>
      <w:proofErr w:type="spellEnd"/>
      <w:r w:rsidRPr="00D00C96">
        <w:t xml:space="preserve"> Road, Limekiln Road, Castletymon Road (Phase 1), D24 Phase 1 and Rossmore Road</w:t>
      </w:r>
      <w:r w:rsidR="00373E9E">
        <w:t>.</w:t>
      </w:r>
    </w:p>
    <w:p w14:paraId="66104F51" w14:textId="13EC021E" w:rsidR="00C56573" w:rsidRPr="00D00C96" w:rsidRDefault="00C56573" w:rsidP="00EA6B19">
      <w:pPr>
        <w:pStyle w:val="ListParagraph"/>
        <w:numPr>
          <w:ilvl w:val="0"/>
          <w:numId w:val="39"/>
        </w:numPr>
        <w:spacing w:after="0" w:line="276" w:lineRule="auto"/>
        <w:ind w:left="360"/>
      </w:pPr>
      <w:r w:rsidRPr="00D00C96">
        <w:t xml:space="preserve">School street improvement works were completed at several schools including St. Marks in Springfield, </w:t>
      </w:r>
      <w:proofErr w:type="spellStart"/>
      <w:r w:rsidRPr="00D00C96">
        <w:t>Scoil</w:t>
      </w:r>
      <w:proofErr w:type="spellEnd"/>
      <w:r w:rsidRPr="00D00C96">
        <w:t xml:space="preserve"> </w:t>
      </w:r>
      <w:proofErr w:type="spellStart"/>
      <w:r w:rsidRPr="00D00C96">
        <w:t>Maelruain</w:t>
      </w:r>
      <w:proofErr w:type="spellEnd"/>
      <w:r w:rsidRPr="00D00C96">
        <w:t xml:space="preserve"> in Tallaght, Coláiste Chillian in Clondalkin, as well as St Lorcan’s and St Brigid’s in Palmerstown.</w:t>
      </w:r>
    </w:p>
    <w:p w14:paraId="4B5D7E63" w14:textId="367219BB" w:rsidR="00C56573" w:rsidRPr="00D00C96" w:rsidRDefault="00C56573">
      <w:pPr>
        <w:pStyle w:val="ListParagraph"/>
        <w:numPr>
          <w:ilvl w:val="0"/>
          <w:numId w:val="39"/>
        </w:numPr>
        <w:spacing w:after="0" w:line="276" w:lineRule="auto"/>
        <w:ind w:left="360"/>
      </w:pPr>
      <w:r w:rsidRPr="00D00C96">
        <w:t>The Tallaght Town Centre public realm project was completed</w:t>
      </w:r>
      <w:r w:rsidR="00373E9E">
        <w:t xml:space="preserve"> and work </w:t>
      </w:r>
      <w:r w:rsidRPr="00D00C96">
        <w:t>commenced on the construction of the Airton Road extension in Cookstown</w:t>
      </w:r>
      <w:r w:rsidR="00373E9E">
        <w:t>.</w:t>
      </w:r>
    </w:p>
    <w:p w14:paraId="4382BE71" w14:textId="7F9256C2" w:rsidR="00C56573" w:rsidRPr="00D00C96" w:rsidRDefault="00C56573">
      <w:pPr>
        <w:pStyle w:val="ListParagraph"/>
        <w:numPr>
          <w:ilvl w:val="0"/>
          <w:numId w:val="39"/>
        </w:numPr>
        <w:spacing w:after="0" w:line="276" w:lineRule="auto"/>
        <w:ind w:left="360"/>
      </w:pPr>
      <w:r w:rsidRPr="00D00C96">
        <w:t>We worked clos</w:t>
      </w:r>
      <w:r w:rsidR="00373E9E">
        <w:t xml:space="preserve">ely </w:t>
      </w:r>
      <w:r w:rsidRPr="00D00C96">
        <w:t>with the NTA and Irish Rail on design and planning for new Bus Connects routes and on the plans for the DART+ Southwest Scheme</w:t>
      </w:r>
      <w:r w:rsidR="008B37AE">
        <w:t xml:space="preserve"> which will both </w:t>
      </w:r>
      <w:r w:rsidRPr="00D00C96">
        <w:t xml:space="preserve">see significant improvements in the level of public transport available </w:t>
      </w:r>
      <w:r w:rsidR="008B37AE">
        <w:t>in</w:t>
      </w:r>
      <w:r w:rsidRPr="00D00C96">
        <w:t xml:space="preserve"> the </w:t>
      </w:r>
      <w:r w:rsidR="008B37AE">
        <w:t>c</w:t>
      </w:r>
      <w:r w:rsidRPr="00D00C96">
        <w:t>ounty.</w:t>
      </w:r>
      <w:r w:rsidR="00373E9E">
        <w:t xml:space="preserve">  We also s</w:t>
      </w:r>
      <w:r w:rsidR="00EE3DE8">
        <w:t xml:space="preserve">upported </w:t>
      </w:r>
      <w:r w:rsidRPr="00D00C96">
        <w:t xml:space="preserve">Irish Rail on the upgrade of the existing </w:t>
      </w:r>
      <w:proofErr w:type="spellStart"/>
      <w:r w:rsidRPr="00D00C96">
        <w:t>Kishogue</w:t>
      </w:r>
      <w:proofErr w:type="spellEnd"/>
      <w:r w:rsidRPr="00D00C96">
        <w:t xml:space="preserve"> rail station and surrounding environs at Clonburris with the station officially opened in August</w:t>
      </w:r>
      <w:r w:rsidR="00D01CBD">
        <w:t>.</w:t>
      </w:r>
    </w:p>
    <w:p w14:paraId="09D0C48E" w14:textId="6F91661E" w:rsidR="00C56573" w:rsidRPr="00D00C96" w:rsidRDefault="00C56573" w:rsidP="00EA6B19">
      <w:pPr>
        <w:pStyle w:val="ListParagraph"/>
        <w:numPr>
          <w:ilvl w:val="0"/>
          <w:numId w:val="39"/>
        </w:numPr>
        <w:spacing w:after="0" w:line="276" w:lineRule="auto"/>
        <w:ind w:left="360"/>
      </w:pPr>
      <w:r w:rsidRPr="00D00C96">
        <w:t>Four bridges were repaired with expenditure of €500,000</w:t>
      </w:r>
      <w:r w:rsidR="00EE3DE8">
        <w:t xml:space="preserve"> and </w:t>
      </w:r>
      <w:r w:rsidR="00373E9E">
        <w:t>plans were progressed t</w:t>
      </w:r>
      <w:r w:rsidR="00EE3DE8">
        <w:t xml:space="preserve">o </w:t>
      </w:r>
      <w:r w:rsidR="0061566B">
        <w:t xml:space="preserve">repair a further </w:t>
      </w:r>
      <w:r w:rsidRPr="00D00C96">
        <w:t>seven bridges in 2025.</w:t>
      </w:r>
    </w:p>
    <w:p w14:paraId="11AC3CFB" w14:textId="3312880B" w:rsidR="00C56573" w:rsidRPr="00D00C96" w:rsidRDefault="00C56573">
      <w:pPr>
        <w:pStyle w:val="ListParagraph"/>
        <w:numPr>
          <w:ilvl w:val="0"/>
          <w:numId w:val="39"/>
        </w:numPr>
        <w:spacing w:after="0" w:line="276" w:lineRule="auto"/>
        <w:ind w:left="360"/>
      </w:pPr>
      <w:r w:rsidRPr="00D00C96">
        <w:t xml:space="preserve">Our </w:t>
      </w:r>
      <w:r w:rsidR="008A6C48">
        <w:t>r</w:t>
      </w:r>
      <w:r w:rsidRPr="00D00C96">
        <w:t xml:space="preserve">oad </w:t>
      </w:r>
      <w:r w:rsidR="008A6C48">
        <w:t>w</w:t>
      </w:r>
      <w:r w:rsidRPr="00D00C96">
        <w:t>ork</w:t>
      </w:r>
      <w:r w:rsidR="008A6C48">
        <w:t>s p</w:t>
      </w:r>
      <w:r w:rsidRPr="00D00C96">
        <w:t>rogramme was fully delivered including 162 improvement works to roads and footpaths</w:t>
      </w:r>
      <w:r w:rsidR="008A6C48">
        <w:t xml:space="preserve"> while </w:t>
      </w:r>
      <w:r w:rsidRPr="00D00C96">
        <w:t xml:space="preserve">18 traffic calming projects and 19 new pedestrian crossings were </w:t>
      </w:r>
      <w:r w:rsidR="008A6C48">
        <w:t xml:space="preserve">also </w:t>
      </w:r>
      <w:r w:rsidRPr="00D00C96">
        <w:t>delivered.</w:t>
      </w:r>
    </w:p>
    <w:p w14:paraId="17AC2A13" w14:textId="39D88C27" w:rsidR="00C56573" w:rsidRPr="00D00C96" w:rsidRDefault="00C56573" w:rsidP="00EA6B19">
      <w:pPr>
        <w:pStyle w:val="ListParagraph"/>
        <w:numPr>
          <w:ilvl w:val="0"/>
          <w:numId w:val="39"/>
        </w:numPr>
        <w:spacing w:after="0" w:line="276" w:lineRule="auto"/>
        <w:ind w:left="360"/>
      </w:pPr>
      <w:r w:rsidRPr="00D00C96">
        <w:t>1</w:t>
      </w:r>
      <w:r w:rsidR="004A129D">
        <w:t>,</w:t>
      </w:r>
      <w:r w:rsidRPr="00D00C96">
        <w:t>690 existing public lights were upgraded to LED and 4,757 public lights were repaired.</w:t>
      </w:r>
    </w:p>
    <w:p w14:paraId="42D6D9EB" w14:textId="77777777" w:rsidR="00C56573" w:rsidRPr="00D00C96" w:rsidRDefault="00C56573" w:rsidP="00EA6B19">
      <w:pPr>
        <w:spacing w:after="0" w:line="276" w:lineRule="auto"/>
        <w:ind w:left="-367" w:firstLine="0"/>
        <w:rPr>
          <w:b/>
          <w:bCs/>
        </w:rPr>
      </w:pPr>
    </w:p>
    <w:p w14:paraId="17E60134" w14:textId="01AFCEF0" w:rsidR="008E4E5E" w:rsidRPr="003E4E01" w:rsidRDefault="008E4E5E" w:rsidP="00023B95">
      <w:pPr>
        <w:spacing w:after="0" w:line="276" w:lineRule="auto"/>
        <w:ind w:left="0" w:firstLine="0"/>
        <w:textAlignment w:val="baseline"/>
        <w:rPr>
          <w:rFonts w:asciiTheme="minorHAnsi" w:eastAsia="Times New Roman" w:hAnsiTheme="minorHAnsi" w:cstheme="minorBidi"/>
          <w:color w:val="auto"/>
          <w:kern w:val="0"/>
          <w14:ligatures w14:val="none"/>
        </w:rPr>
      </w:pPr>
      <w:r w:rsidRPr="2CEE952D">
        <w:rPr>
          <w:rFonts w:asciiTheme="minorHAnsi" w:eastAsia="Times New Roman" w:hAnsiTheme="minorHAnsi" w:cstheme="minorBidi"/>
          <w:b/>
          <w:bCs/>
          <w:color w:val="auto"/>
          <w:kern w:val="0"/>
          <w14:ligatures w14:val="none"/>
        </w:rPr>
        <w:t xml:space="preserve">Through the built environment promote a sense of community in the </w:t>
      </w:r>
      <w:bookmarkStart w:id="3" w:name="_Int_iKMcjwRi"/>
      <w:r w:rsidRPr="2CEE952D">
        <w:rPr>
          <w:rFonts w:asciiTheme="minorHAnsi" w:eastAsia="Times New Roman" w:hAnsiTheme="minorHAnsi" w:cstheme="minorBidi"/>
          <w:b/>
          <w:bCs/>
          <w:color w:val="auto"/>
          <w:kern w:val="0"/>
          <w14:ligatures w14:val="none"/>
        </w:rPr>
        <w:t>different places</w:t>
      </w:r>
      <w:bookmarkEnd w:id="3"/>
      <w:r w:rsidRPr="2CEE952D">
        <w:rPr>
          <w:rFonts w:asciiTheme="minorHAnsi" w:eastAsia="Times New Roman" w:hAnsiTheme="minorHAnsi" w:cstheme="minorBidi"/>
          <w:b/>
          <w:bCs/>
          <w:color w:val="auto"/>
          <w:kern w:val="0"/>
          <w14:ligatures w14:val="none"/>
        </w:rPr>
        <w:t xml:space="preserve"> of South Dublin</w:t>
      </w:r>
    </w:p>
    <w:p w14:paraId="29AAB862" w14:textId="580169A9" w:rsidR="00042230" w:rsidRPr="00847D2F" w:rsidRDefault="00042230">
      <w:pPr>
        <w:pStyle w:val="ListParagraph"/>
        <w:numPr>
          <w:ilvl w:val="0"/>
          <w:numId w:val="2"/>
        </w:numPr>
        <w:spacing w:after="0" w:line="276" w:lineRule="auto"/>
        <w:ind w:left="360"/>
        <w:rPr>
          <w:color w:val="auto"/>
          <w:szCs w:val="23"/>
        </w:rPr>
      </w:pPr>
      <w:r w:rsidRPr="00847D2F">
        <w:rPr>
          <w:color w:val="auto"/>
          <w:szCs w:val="23"/>
        </w:rPr>
        <w:t xml:space="preserve">The Castletymon and </w:t>
      </w:r>
      <w:proofErr w:type="spellStart"/>
      <w:r w:rsidRPr="00847D2F">
        <w:rPr>
          <w:color w:val="auto"/>
          <w:szCs w:val="23"/>
        </w:rPr>
        <w:t>Dodsboro</w:t>
      </w:r>
      <w:proofErr w:type="spellEnd"/>
      <w:r w:rsidRPr="00847D2F">
        <w:rPr>
          <w:color w:val="auto"/>
          <w:szCs w:val="23"/>
        </w:rPr>
        <w:t xml:space="preserve"> District Centre enhancement schemes were completed and works commenced on the Rosemount District Centre.</w:t>
      </w:r>
      <w:r w:rsidR="00847D2F" w:rsidRPr="00847D2F">
        <w:rPr>
          <w:color w:val="auto"/>
          <w:szCs w:val="23"/>
        </w:rPr>
        <w:t xml:space="preserve">  Works also </w:t>
      </w:r>
      <w:r w:rsidRPr="00847D2F">
        <w:rPr>
          <w:color w:val="auto"/>
          <w:szCs w:val="23"/>
        </w:rPr>
        <w:t xml:space="preserve">commenced on the Lucan Village </w:t>
      </w:r>
      <w:r w:rsidR="00DA52CA" w:rsidRPr="00847D2F">
        <w:rPr>
          <w:color w:val="auto"/>
          <w:szCs w:val="23"/>
        </w:rPr>
        <w:t>e</w:t>
      </w:r>
      <w:r w:rsidRPr="00847D2F">
        <w:rPr>
          <w:color w:val="auto"/>
          <w:szCs w:val="23"/>
        </w:rPr>
        <w:t xml:space="preserve">nhancement scheme </w:t>
      </w:r>
      <w:r w:rsidR="006D414F" w:rsidRPr="00847D2F">
        <w:rPr>
          <w:color w:val="auto"/>
          <w:szCs w:val="23"/>
        </w:rPr>
        <w:t xml:space="preserve">and major repairs to the boundary wall of Lucan House </w:t>
      </w:r>
      <w:r w:rsidRPr="00847D2F">
        <w:rPr>
          <w:color w:val="auto"/>
          <w:szCs w:val="23"/>
        </w:rPr>
        <w:t>were completed in December</w:t>
      </w:r>
      <w:r w:rsidR="009206E1" w:rsidRPr="00847D2F">
        <w:rPr>
          <w:color w:val="auto"/>
          <w:szCs w:val="23"/>
        </w:rPr>
        <w:t>.</w:t>
      </w:r>
    </w:p>
    <w:p w14:paraId="157055D4" w14:textId="50910F1E" w:rsidR="00042230" w:rsidRPr="00857228" w:rsidRDefault="00042230" w:rsidP="00CF46AE">
      <w:pPr>
        <w:pStyle w:val="ListParagraph"/>
        <w:numPr>
          <w:ilvl w:val="0"/>
          <w:numId w:val="2"/>
        </w:numPr>
        <w:spacing w:after="0" w:line="276" w:lineRule="auto"/>
        <w:ind w:left="360"/>
        <w:rPr>
          <w:rFonts w:eastAsia="Aptos"/>
          <w:color w:val="auto"/>
          <w:szCs w:val="23"/>
        </w:rPr>
      </w:pPr>
      <w:r w:rsidRPr="00857228">
        <w:rPr>
          <w:color w:val="auto"/>
          <w:szCs w:val="23"/>
        </w:rPr>
        <w:t xml:space="preserve">Part 8 planning permission was secured for the </w:t>
      </w:r>
      <w:proofErr w:type="spellStart"/>
      <w:r w:rsidRPr="00857228">
        <w:rPr>
          <w:color w:val="auto"/>
          <w:szCs w:val="23"/>
        </w:rPr>
        <w:t>Bawnogue</w:t>
      </w:r>
      <w:proofErr w:type="spellEnd"/>
      <w:r w:rsidRPr="00857228">
        <w:rPr>
          <w:color w:val="auto"/>
          <w:szCs w:val="23"/>
        </w:rPr>
        <w:t xml:space="preserve"> District Centre enhancement project, and contractor procurement is underway.</w:t>
      </w:r>
    </w:p>
    <w:p w14:paraId="119971C5" w14:textId="1977D3C9" w:rsidR="00042230" w:rsidRPr="00857228" w:rsidRDefault="00042230" w:rsidP="00CF46AE">
      <w:pPr>
        <w:pStyle w:val="ListParagraph"/>
        <w:numPr>
          <w:ilvl w:val="0"/>
          <w:numId w:val="2"/>
        </w:numPr>
        <w:spacing w:after="0" w:line="276" w:lineRule="auto"/>
        <w:ind w:left="360"/>
        <w:rPr>
          <w:rFonts w:eastAsia="Aptos"/>
          <w:color w:val="auto"/>
        </w:rPr>
      </w:pPr>
      <w:r w:rsidRPr="66E19161">
        <w:rPr>
          <w:rFonts w:eastAsia="Aptos"/>
          <w:color w:val="auto"/>
        </w:rPr>
        <w:t xml:space="preserve">The preparation of a proposed variation to the County Development Plan for City Edge progressed and public consultation will be carried </w:t>
      </w:r>
      <w:r w:rsidR="64E42FB3" w:rsidRPr="66E19161">
        <w:rPr>
          <w:rFonts w:eastAsia="Aptos"/>
          <w:color w:val="auto"/>
        </w:rPr>
        <w:t xml:space="preserve">out </w:t>
      </w:r>
      <w:r w:rsidRPr="66E19161">
        <w:rPr>
          <w:rFonts w:eastAsia="Aptos"/>
          <w:color w:val="auto"/>
        </w:rPr>
        <w:t>in 2025 when the relevant sections of the Planning and Development Act 2024 are commenced.</w:t>
      </w:r>
    </w:p>
    <w:p w14:paraId="46AE5E8B" w14:textId="6157423C" w:rsidR="00042230" w:rsidRPr="00857228" w:rsidRDefault="00042230" w:rsidP="00CF46AE">
      <w:pPr>
        <w:pStyle w:val="ListParagraph"/>
        <w:numPr>
          <w:ilvl w:val="0"/>
          <w:numId w:val="2"/>
        </w:numPr>
        <w:spacing w:after="0" w:line="276" w:lineRule="auto"/>
        <w:ind w:left="360"/>
        <w:rPr>
          <w:color w:val="auto"/>
          <w:szCs w:val="23"/>
        </w:rPr>
      </w:pPr>
      <w:r w:rsidRPr="00857228">
        <w:rPr>
          <w:color w:val="auto"/>
          <w:szCs w:val="23"/>
        </w:rPr>
        <w:t xml:space="preserve">A third round of pre-draft public consultation on the Clondalkin Local Area Plan commenced in November with one-to-one stakeholder meetings. Further consultation workshops will be held in January 2025 to progress delivery of the </w:t>
      </w:r>
      <w:r w:rsidR="00A64D5C">
        <w:rPr>
          <w:color w:val="auto"/>
          <w:szCs w:val="23"/>
        </w:rPr>
        <w:t>p</w:t>
      </w:r>
      <w:r w:rsidRPr="00857228">
        <w:rPr>
          <w:color w:val="auto"/>
          <w:szCs w:val="23"/>
        </w:rPr>
        <w:t>lan.</w:t>
      </w:r>
    </w:p>
    <w:p w14:paraId="2A6DDB61" w14:textId="569B407B" w:rsidR="00042230" w:rsidRPr="00857228" w:rsidRDefault="00042230" w:rsidP="00CF46AE">
      <w:pPr>
        <w:pStyle w:val="ListParagraph"/>
        <w:numPr>
          <w:ilvl w:val="0"/>
          <w:numId w:val="2"/>
        </w:numPr>
        <w:spacing w:after="0" w:line="276" w:lineRule="auto"/>
        <w:ind w:left="360"/>
        <w:rPr>
          <w:color w:val="auto"/>
          <w:szCs w:val="23"/>
        </w:rPr>
      </w:pPr>
      <w:r w:rsidRPr="00857228">
        <w:rPr>
          <w:color w:val="auto"/>
          <w:szCs w:val="23"/>
        </w:rPr>
        <w:t xml:space="preserve">Work </w:t>
      </w:r>
      <w:bookmarkStart w:id="4" w:name="_Int_d6ajGTBW"/>
      <w:proofErr w:type="gramStart"/>
      <w:r w:rsidRPr="00857228">
        <w:rPr>
          <w:color w:val="auto"/>
          <w:szCs w:val="23"/>
        </w:rPr>
        <w:t>continued on</w:t>
      </w:r>
      <w:bookmarkEnd w:id="4"/>
      <w:proofErr w:type="gramEnd"/>
      <w:r w:rsidRPr="00857228">
        <w:rPr>
          <w:color w:val="auto"/>
          <w:szCs w:val="23"/>
        </w:rPr>
        <w:t xml:space="preserve"> developing and implementing the Heritage and Biodiversity Action Plans.</w:t>
      </w:r>
    </w:p>
    <w:p w14:paraId="5385ECC2" w14:textId="5EC6F289" w:rsidR="00042230" w:rsidRPr="00857228" w:rsidRDefault="00042230" w:rsidP="00CF46AE">
      <w:pPr>
        <w:pStyle w:val="ListParagraph"/>
        <w:numPr>
          <w:ilvl w:val="0"/>
          <w:numId w:val="2"/>
        </w:numPr>
        <w:spacing w:after="0" w:line="276" w:lineRule="auto"/>
        <w:ind w:left="360"/>
        <w:rPr>
          <w:rFonts w:eastAsia="Aptos"/>
          <w:color w:val="auto"/>
          <w:szCs w:val="23"/>
        </w:rPr>
      </w:pPr>
      <w:r w:rsidRPr="00857228">
        <w:rPr>
          <w:rFonts w:eastAsia="Aptos"/>
          <w:color w:val="auto"/>
          <w:szCs w:val="23"/>
        </w:rPr>
        <w:t xml:space="preserve">In Clonburris Strategic Development Zone, Stage 1A of the Southern Link Street was completed and opened. Construction commenced on the Stage 1B of the Southern Link Street which received DHLGH Final Business Case approval. 3,427 homes have received planning permission, of which 2,196 are complete or under construction. Planning applications were submitted for the Stage 2 Northern Link Street project and the </w:t>
      </w:r>
      <w:proofErr w:type="spellStart"/>
      <w:r w:rsidRPr="00857228">
        <w:rPr>
          <w:rFonts w:eastAsia="Aptos"/>
          <w:color w:val="auto"/>
          <w:szCs w:val="23"/>
        </w:rPr>
        <w:t>Kishog</w:t>
      </w:r>
      <w:r w:rsidR="008169A3">
        <w:rPr>
          <w:rFonts w:eastAsia="Aptos"/>
          <w:color w:val="auto"/>
          <w:szCs w:val="23"/>
        </w:rPr>
        <w:t>u</w:t>
      </w:r>
      <w:r w:rsidRPr="00857228">
        <w:rPr>
          <w:rFonts w:eastAsia="Aptos"/>
          <w:color w:val="auto"/>
          <w:szCs w:val="23"/>
        </w:rPr>
        <w:t>e</w:t>
      </w:r>
      <w:proofErr w:type="spellEnd"/>
      <w:r w:rsidRPr="00857228">
        <w:rPr>
          <w:rFonts w:eastAsia="Aptos"/>
          <w:color w:val="auto"/>
          <w:szCs w:val="23"/>
        </w:rPr>
        <w:t xml:space="preserve"> train station opened.</w:t>
      </w:r>
    </w:p>
    <w:p w14:paraId="53D8A41E" w14:textId="722D0C1E" w:rsidR="00042230" w:rsidRPr="00857228" w:rsidRDefault="00042230" w:rsidP="00CF46AE">
      <w:pPr>
        <w:pStyle w:val="ListParagraph"/>
        <w:numPr>
          <w:ilvl w:val="0"/>
          <w:numId w:val="2"/>
        </w:numPr>
        <w:shd w:val="clear" w:color="auto" w:fill="FFFFFF" w:themeFill="background1"/>
        <w:spacing w:after="0" w:line="276" w:lineRule="auto"/>
        <w:ind w:left="360"/>
        <w:rPr>
          <w:rFonts w:eastAsia="Aptos"/>
          <w:color w:val="auto"/>
        </w:rPr>
      </w:pPr>
      <w:r w:rsidRPr="66E19161">
        <w:rPr>
          <w:rFonts w:eastAsia="Aptos"/>
          <w:color w:val="auto"/>
        </w:rPr>
        <w:lastRenderedPageBreak/>
        <w:t xml:space="preserve">In Adamstown Strategic Development Zone, capital projects at Tandy’s Lane, Celbridge Link Road, Airlie Park, and Adamstown Plaza have all been completed with funding from DHLGH and the Council. A minor amendment to the SDZ Planning Scheme was approved by An Bord Pleanála. Planning permission </w:t>
      </w:r>
      <w:r w:rsidR="0BA920A6" w:rsidRPr="66E19161">
        <w:rPr>
          <w:rFonts w:eastAsia="Aptos"/>
          <w:color w:val="auto"/>
        </w:rPr>
        <w:t>was</w:t>
      </w:r>
      <w:r w:rsidRPr="66E19161">
        <w:rPr>
          <w:rFonts w:eastAsia="Aptos"/>
          <w:color w:val="auto"/>
        </w:rPr>
        <w:t xml:space="preserve"> granted for the DHLGH supported Central Boulevard Park and detailed design commenced.  </w:t>
      </w:r>
    </w:p>
    <w:p w14:paraId="293C5799" w14:textId="10395C50" w:rsidR="00042230" w:rsidRPr="00857228" w:rsidRDefault="00042230" w:rsidP="00CF46AE">
      <w:pPr>
        <w:pStyle w:val="ListParagraph"/>
        <w:numPr>
          <w:ilvl w:val="0"/>
          <w:numId w:val="2"/>
        </w:numPr>
        <w:spacing w:after="0" w:line="276" w:lineRule="auto"/>
        <w:ind w:left="360"/>
        <w:rPr>
          <w:color w:val="auto"/>
          <w:szCs w:val="23"/>
        </w:rPr>
      </w:pPr>
      <w:r w:rsidRPr="00857228">
        <w:rPr>
          <w:color w:val="auto"/>
          <w:szCs w:val="23"/>
        </w:rPr>
        <w:t>We continued to work proactively with Dun Laoghaire-</w:t>
      </w:r>
      <w:proofErr w:type="spellStart"/>
      <w:r w:rsidRPr="00857228">
        <w:rPr>
          <w:color w:val="auto"/>
          <w:szCs w:val="23"/>
        </w:rPr>
        <w:t>Rathdown</w:t>
      </w:r>
      <w:proofErr w:type="spellEnd"/>
      <w:r w:rsidRPr="00857228">
        <w:rPr>
          <w:color w:val="auto"/>
          <w:szCs w:val="23"/>
        </w:rPr>
        <w:t xml:space="preserve"> County Council on development and promotion of the Dublin Mountain Heritage trail, including holding several walking tours, library talks, </w:t>
      </w:r>
      <w:r w:rsidR="0043610F">
        <w:rPr>
          <w:color w:val="auto"/>
          <w:szCs w:val="23"/>
        </w:rPr>
        <w:t>a</w:t>
      </w:r>
      <w:r w:rsidRPr="00857228">
        <w:rPr>
          <w:color w:val="auto"/>
          <w:szCs w:val="23"/>
        </w:rPr>
        <w:t xml:space="preserve">rchaeology training for volunteers and developing a new </w:t>
      </w:r>
      <w:proofErr w:type="spellStart"/>
      <w:r w:rsidRPr="00857228">
        <w:rPr>
          <w:color w:val="auto"/>
          <w:szCs w:val="23"/>
        </w:rPr>
        <w:t>Storymap</w:t>
      </w:r>
      <w:proofErr w:type="spellEnd"/>
      <w:r w:rsidRPr="00857228">
        <w:rPr>
          <w:color w:val="auto"/>
          <w:szCs w:val="23"/>
        </w:rPr>
        <w:t>.</w:t>
      </w:r>
    </w:p>
    <w:p w14:paraId="0AF941D5" w14:textId="76292715" w:rsidR="00042230" w:rsidRPr="00B6481E" w:rsidRDefault="00042230">
      <w:pPr>
        <w:pStyle w:val="ListParagraph"/>
        <w:numPr>
          <w:ilvl w:val="0"/>
          <w:numId w:val="2"/>
        </w:numPr>
        <w:spacing w:after="0" w:line="276" w:lineRule="auto"/>
        <w:ind w:left="360"/>
      </w:pPr>
      <w:r w:rsidRPr="66E19161">
        <w:t xml:space="preserve">We facilitated </w:t>
      </w:r>
      <w:r w:rsidR="00C5528A" w:rsidRPr="66E19161">
        <w:t xml:space="preserve">the upgrade </w:t>
      </w:r>
      <w:r w:rsidR="3F0E583B" w:rsidRPr="66E19161">
        <w:t>of</w:t>
      </w:r>
      <w:r w:rsidR="00C5528A" w:rsidRPr="66E19161">
        <w:t xml:space="preserve"> </w:t>
      </w:r>
      <w:r w:rsidR="00C5528A" w:rsidRPr="66E19161">
        <w:rPr>
          <w:snapToGrid w:val="0"/>
        </w:rPr>
        <w:t>St. Finian’s former schoolhouse,</w:t>
      </w:r>
      <w:r w:rsidR="00C5528A" w:rsidRPr="66E19161">
        <w:t xml:space="preserve"> </w:t>
      </w:r>
      <w:proofErr w:type="spellStart"/>
      <w:r w:rsidR="00C5528A" w:rsidRPr="66E19161">
        <w:t>Peamount</w:t>
      </w:r>
      <w:proofErr w:type="spellEnd"/>
      <w:r w:rsidR="00C5528A" w:rsidRPr="66E19161">
        <w:t xml:space="preserve"> Hospital</w:t>
      </w:r>
      <w:r w:rsidR="00B6481E" w:rsidRPr="66E19161">
        <w:t xml:space="preserve"> under DHLGH’s </w:t>
      </w:r>
      <w:r w:rsidRPr="66E19161">
        <w:t xml:space="preserve">Historic Structures Fund </w:t>
      </w:r>
      <w:r w:rsidR="00B6481E" w:rsidRPr="66E19161">
        <w:t xml:space="preserve">and </w:t>
      </w:r>
      <w:r w:rsidR="00326FF5" w:rsidRPr="66E19161">
        <w:t xml:space="preserve">a further seven heritage upgrade projects </w:t>
      </w:r>
      <w:r w:rsidR="1A7EDF1A" w:rsidRPr="0056105F">
        <w:t xml:space="preserve">were supported </w:t>
      </w:r>
      <w:r w:rsidR="0056105F" w:rsidRPr="0056105F">
        <w:t>under</w:t>
      </w:r>
      <w:r w:rsidR="00326FF5" w:rsidRPr="66E19161">
        <w:t xml:space="preserve"> the </w:t>
      </w:r>
      <w:r w:rsidRPr="66E19161">
        <w:t xml:space="preserve">Built Heritage Investment </w:t>
      </w:r>
      <w:r w:rsidR="00326FF5" w:rsidRPr="66E19161">
        <w:t>Scheme</w:t>
      </w:r>
      <w:r w:rsidRPr="00B6481E">
        <w:rPr>
          <w:szCs w:val="23"/>
        </w:rPr>
        <w:t>.</w:t>
      </w:r>
    </w:p>
    <w:p w14:paraId="5FBA4F99" w14:textId="77777777" w:rsidR="00046A14" w:rsidRPr="00877596" w:rsidRDefault="00046A14" w:rsidP="00B651EC">
      <w:pPr>
        <w:pStyle w:val="ListParagraph"/>
        <w:spacing w:after="0" w:line="276" w:lineRule="auto"/>
        <w:ind w:left="360" w:firstLine="0"/>
        <w:rPr>
          <w:szCs w:val="23"/>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44"/>
        <w:gridCol w:w="1817"/>
      </w:tblGrid>
      <w:tr w:rsidR="00174802" w14:paraId="63B1F050" w14:textId="77777777" w:rsidTr="00180B26">
        <w:trPr>
          <w:trHeight w:val="284"/>
          <w:jc w:val="center"/>
        </w:trPr>
        <w:tc>
          <w:tcPr>
            <w:tcW w:w="7344" w:type="dxa"/>
          </w:tcPr>
          <w:p w14:paraId="25CB0765" w14:textId="138CDBBB" w:rsidR="00174802" w:rsidRDefault="00174802" w:rsidP="00180B26">
            <w:pPr>
              <w:pStyle w:val="TableParagraph"/>
              <w:spacing w:before="0" w:line="276" w:lineRule="auto"/>
              <w:ind w:left="127" w:right="120"/>
              <w:jc w:val="center"/>
              <w:rPr>
                <w:b/>
              </w:rPr>
            </w:pPr>
            <w:r>
              <w:rPr>
                <w:b/>
              </w:rPr>
              <w:t>Land</w:t>
            </w:r>
            <w:r>
              <w:rPr>
                <w:b/>
                <w:spacing w:val="-4"/>
              </w:rPr>
              <w:t xml:space="preserve"> </w:t>
            </w:r>
            <w:r>
              <w:rPr>
                <w:b/>
              </w:rPr>
              <w:t>Use,</w:t>
            </w:r>
            <w:r>
              <w:rPr>
                <w:b/>
                <w:spacing w:val="-1"/>
              </w:rPr>
              <w:t xml:space="preserve"> </w:t>
            </w:r>
            <w:r>
              <w:rPr>
                <w:b/>
              </w:rPr>
              <w:t>Planning</w:t>
            </w:r>
            <w:r>
              <w:rPr>
                <w:b/>
                <w:spacing w:val="-2"/>
              </w:rPr>
              <w:t xml:space="preserve"> </w:t>
            </w:r>
            <w:r>
              <w:rPr>
                <w:b/>
              </w:rPr>
              <w:t>and</w:t>
            </w:r>
            <w:r>
              <w:rPr>
                <w:b/>
                <w:spacing w:val="-3"/>
              </w:rPr>
              <w:t xml:space="preserve"> </w:t>
            </w:r>
            <w:r>
              <w:rPr>
                <w:b/>
                <w:spacing w:val="-2"/>
              </w:rPr>
              <w:t>Transportation</w:t>
            </w:r>
            <w:r w:rsidR="00180B26">
              <w:rPr>
                <w:b/>
                <w:spacing w:val="-2"/>
              </w:rPr>
              <w:t xml:space="preserve"> Key Statistics</w:t>
            </w:r>
          </w:p>
        </w:tc>
        <w:tc>
          <w:tcPr>
            <w:tcW w:w="1817" w:type="dxa"/>
          </w:tcPr>
          <w:p w14:paraId="78E77CF6" w14:textId="4E775763" w:rsidR="00174802" w:rsidRDefault="00180B26" w:rsidP="00180B26">
            <w:pPr>
              <w:pStyle w:val="TableParagraph"/>
              <w:spacing w:before="0" w:line="276" w:lineRule="auto"/>
              <w:jc w:val="center"/>
              <w:rPr>
                <w:rFonts w:ascii="Times New Roman"/>
                <w:sz w:val="20"/>
              </w:rPr>
            </w:pPr>
            <w:r>
              <w:rPr>
                <w:b/>
              </w:rPr>
              <w:t>2024</w:t>
            </w:r>
            <w:r>
              <w:rPr>
                <w:b/>
                <w:spacing w:val="-1"/>
              </w:rPr>
              <w:t xml:space="preserve"> </w:t>
            </w:r>
            <w:r>
              <w:rPr>
                <w:b/>
                <w:spacing w:val="-2"/>
              </w:rPr>
              <w:t>Totals</w:t>
            </w:r>
          </w:p>
        </w:tc>
      </w:tr>
      <w:tr w:rsidR="00174802" w14:paraId="34854850" w14:textId="77777777" w:rsidTr="00180B26">
        <w:trPr>
          <w:trHeight w:val="284"/>
          <w:jc w:val="center"/>
        </w:trPr>
        <w:tc>
          <w:tcPr>
            <w:tcW w:w="7344" w:type="dxa"/>
          </w:tcPr>
          <w:p w14:paraId="1CA5C44F" w14:textId="77777777" w:rsidR="00174802" w:rsidRDefault="00174802" w:rsidP="00180B26">
            <w:pPr>
              <w:pStyle w:val="TableParagraph"/>
              <w:spacing w:before="0" w:line="276" w:lineRule="auto"/>
              <w:ind w:left="127" w:right="120"/>
              <w:jc w:val="both"/>
            </w:pPr>
            <w:r>
              <w:rPr>
                <w:spacing w:val="-2"/>
              </w:rPr>
              <w:t>Enforcement</w:t>
            </w:r>
            <w:r>
              <w:rPr>
                <w:spacing w:val="-11"/>
              </w:rPr>
              <w:t xml:space="preserve"> </w:t>
            </w:r>
            <w:r>
              <w:rPr>
                <w:spacing w:val="-2"/>
              </w:rPr>
              <w:t>files</w:t>
            </w:r>
            <w:r>
              <w:rPr>
                <w:spacing w:val="-9"/>
              </w:rPr>
              <w:t xml:space="preserve"> </w:t>
            </w:r>
            <w:r>
              <w:rPr>
                <w:spacing w:val="-2"/>
              </w:rPr>
              <w:t>closed</w:t>
            </w:r>
          </w:p>
        </w:tc>
        <w:tc>
          <w:tcPr>
            <w:tcW w:w="1817" w:type="dxa"/>
          </w:tcPr>
          <w:p w14:paraId="1E68C61F" w14:textId="01E09741" w:rsidR="00174802" w:rsidRDefault="00C020ED" w:rsidP="00CF3F2B">
            <w:pPr>
              <w:pStyle w:val="TableParagraph"/>
              <w:spacing w:before="0" w:line="276" w:lineRule="auto"/>
              <w:jc w:val="center"/>
            </w:pPr>
            <w:r>
              <w:t>46</w:t>
            </w:r>
            <w:r w:rsidR="6D272695">
              <w:t>2</w:t>
            </w:r>
          </w:p>
        </w:tc>
      </w:tr>
      <w:tr w:rsidR="00174802" w14:paraId="6B14D9B2" w14:textId="77777777" w:rsidTr="00180B26">
        <w:trPr>
          <w:trHeight w:val="284"/>
          <w:jc w:val="center"/>
        </w:trPr>
        <w:tc>
          <w:tcPr>
            <w:tcW w:w="7344" w:type="dxa"/>
          </w:tcPr>
          <w:p w14:paraId="7833EF9D" w14:textId="77777777" w:rsidR="00174802" w:rsidRDefault="00174802" w:rsidP="00180B26">
            <w:pPr>
              <w:pStyle w:val="TableParagraph"/>
              <w:spacing w:before="0" w:line="276" w:lineRule="auto"/>
              <w:ind w:left="127" w:right="120"/>
              <w:jc w:val="both"/>
            </w:pPr>
            <w:r>
              <w:rPr>
                <w:spacing w:val="-2"/>
              </w:rPr>
              <w:t>Building</w:t>
            </w:r>
            <w:r>
              <w:rPr>
                <w:spacing w:val="-11"/>
              </w:rPr>
              <w:t xml:space="preserve"> </w:t>
            </w:r>
            <w:r>
              <w:rPr>
                <w:spacing w:val="-2"/>
              </w:rPr>
              <w:t>control</w:t>
            </w:r>
            <w:r>
              <w:rPr>
                <w:spacing w:val="-10"/>
              </w:rPr>
              <w:t xml:space="preserve"> </w:t>
            </w:r>
            <w:r>
              <w:rPr>
                <w:spacing w:val="-2"/>
              </w:rPr>
              <w:t>inspections</w:t>
            </w:r>
            <w:r>
              <w:rPr>
                <w:spacing w:val="-11"/>
              </w:rPr>
              <w:t xml:space="preserve"> </w:t>
            </w:r>
            <w:r>
              <w:rPr>
                <w:spacing w:val="-2"/>
              </w:rPr>
              <w:t>(number</w:t>
            </w:r>
            <w:r>
              <w:rPr>
                <w:spacing w:val="-10"/>
              </w:rPr>
              <w:t xml:space="preserve"> </w:t>
            </w:r>
            <w:r>
              <w:rPr>
                <w:spacing w:val="-2"/>
              </w:rPr>
              <w:t>of</w:t>
            </w:r>
            <w:r>
              <w:rPr>
                <w:spacing w:val="-10"/>
              </w:rPr>
              <w:t xml:space="preserve"> </w:t>
            </w:r>
            <w:r>
              <w:rPr>
                <w:spacing w:val="-2"/>
              </w:rPr>
              <w:t>units</w:t>
            </w:r>
            <w:r>
              <w:rPr>
                <w:spacing w:val="-10"/>
              </w:rPr>
              <w:t xml:space="preserve"> </w:t>
            </w:r>
            <w:r>
              <w:rPr>
                <w:spacing w:val="-2"/>
              </w:rPr>
              <w:t>inspected)</w:t>
            </w:r>
          </w:p>
        </w:tc>
        <w:tc>
          <w:tcPr>
            <w:tcW w:w="1817" w:type="dxa"/>
          </w:tcPr>
          <w:p w14:paraId="7B7C4FF8" w14:textId="2FE44335" w:rsidR="00174802" w:rsidRDefault="00C020ED" w:rsidP="00CF3F2B">
            <w:pPr>
              <w:pStyle w:val="TableParagraph"/>
              <w:spacing w:before="0" w:line="276" w:lineRule="auto"/>
              <w:jc w:val="center"/>
            </w:pPr>
            <w:r>
              <w:t>428</w:t>
            </w:r>
          </w:p>
        </w:tc>
      </w:tr>
      <w:tr w:rsidR="00174802" w14:paraId="00172E1E" w14:textId="77777777" w:rsidTr="00180B26">
        <w:trPr>
          <w:trHeight w:val="284"/>
          <w:jc w:val="center"/>
        </w:trPr>
        <w:tc>
          <w:tcPr>
            <w:tcW w:w="7344" w:type="dxa"/>
          </w:tcPr>
          <w:p w14:paraId="19F08491" w14:textId="5DE5E237" w:rsidR="00174802" w:rsidRDefault="00612FBC" w:rsidP="00180B26">
            <w:pPr>
              <w:pStyle w:val="TableParagraph"/>
              <w:spacing w:before="0" w:line="276" w:lineRule="auto"/>
              <w:ind w:left="127" w:right="120"/>
              <w:jc w:val="both"/>
            </w:pPr>
            <w:r>
              <w:rPr>
                <w:spacing w:val="-2"/>
              </w:rPr>
              <w:t>P</w:t>
            </w:r>
            <w:r w:rsidR="00174802">
              <w:rPr>
                <w:spacing w:val="-2"/>
              </w:rPr>
              <w:t>ublic</w:t>
            </w:r>
            <w:r w:rsidR="00174802">
              <w:rPr>
                <w:spacing w:val="-8"/>
              </w:rPr>
              <w:t xml:space="preserve"> </w:t>
            </w:r>
            <w:r w:rsidR="00174802">
              <w:rPr>
                <w:spacing w:val="-2"/>
              </w:rPr>
              <w:t>lights</w:t>
            </w:r>
            <w:r w:rsidR="00174802">
              <w:rPr>
                <w:spacing w:val="-7"/>
              </w:rPr>
              <w:t xml:space="preserve"> </w:t>
            </w:r>
            <w:r w:rsidR="00174802">
              <w:rPr>
                <w:spacing w:val="-2"/>
              </w:rPr>
              <w:t>repaired</w:t>
            </w:r>
          </w:p>
        </w:tc>
        <w:tc>
          <w:tcPr>
            <w:tcW w:w="1817" w:type="dxa"/>
          </w:tcPr>
          <w:p w14:paraId="3B1A6EBD" w14:textId="790C4C33" w:rsidR="00174802" w:rsidRDefault="00C97E25" w:rsidP="00CF3F2B">
            <w:pPr>
              <w:pStyle w:val="TableParagraph"/>
              <w:spacing w:before="0" w:line="276" w:lineRule="auto"/>
              <w:jc w:val="center"/>
            </w:pPr>
            <w:r>
              <w:t>4,757</w:t>
            </w:r>
          </w:p>
        </w:tc>
      </w:tr>
      <w:tr w:rsidR="00174802" w14:paraId="5849852F" w14:textId="77777777" w:rsidTr="00180B26">
        <w:trPr>
          <w:trHeight w:val="284"/>
          <w:jc w:val="center"/>
        </w:trPr>
        <w:tc>
          <w:tcPr>
            <w:tcW w:w="7344" w:type="dxa"/>
          </w:tcPr>
          <w:p w14:paraId="1450E621" w14:textId="77777777" w:rsidR="00174802" w:rsidRDefault="00174802" w:rsidP="00180B26">
            <w:pPr>
              <w:pStyle w:val="TableParagraph"/>
              <w:spacing w:before="0" w:line="276" w:lineRule="auto"/>
              <w:ind w:left="127" w:right="120"/>
              <w:jc w:val="both"/>
            </w:pPr>
            <w:r>
              <w:rPr>
                <w:spacing w:val="-4"/>
              </w:rPr>
              <w:t>Traffic</w:t>
            </w:r>
            <w:r>
              <w:t xml:space="preserve"> </w:t>
            </w:r>
            <w:r>
              <w:rPr>
                <w:spacing w:val="-4"/>
              </w:rPr>
              <w:t>lights</w:t>
            </w:r>
            <w:r>
              <w:rPr>
                <w:spacing w:val="2"/>
              </w:rPr>
              <w:t xml:space="preserve"> </w:t>
            </w:r>
            <w:r>
              <w:rPr>
                <w:spacing w:val="-4"/>
              </w:rPr>
              <w:t>repaired</w:t>
            </w:r>
          </w:p>
        </w:tc>
        <w:tc>
          <w:tcPr>
            <w:tcW w:w="1817" w:type="dxa"/>
          </w:tcPr>
          <w:p w14:paraId="7E99406D" w14:textId="6C45BFCB" w:rsidR="00174802" w:rsidRDefault="00C97E25" w:rsidP="00CF3F2B">
            <w:pPr>
              <w:pStyle w:val="TableParagraph"/>
              <w:spacing w:before="0" w:line="276" w:lineRule="auto"/>
              <w:jc w:val="center"/>
            </w:pPr>
            <w:r>
              <w:t>1,265</w:t>
            </w:r>
          </w:p>
        </w:tc>
      </w:tr>
      <w:tr w:rsidR="00174802" w14:paraId="263D10F3" w14:textId="77777777" w:rsidTr="00180B26">
        <w:trPr>
          <w:trHeight w:val="284"/>
          <w:jc w:val="center"/>
        </w:trPr>
        <w:tc>
          <w:tcPr>
            <w:tcW w:w="7344" w:type="dxa"/>
          </w:tcPr>
          <w:p w14:paraId="17873FF5" w14:textId="4DB79788" w:rsidR="00174802" w:rsidRDefault="00174802" w:rsidP="00180B26">
            <w:pPr>
              <w:pStyle w:val="TableParagraph"/>
              <w:spacing w:before="0" w:line="276" w:lineRule="auto"/>
              <w:ind w:left="127" w:right="120"/>
              <w:jc w:val="both"/>
            </w:pPr>
            <w:r>
              <w:t>Public</w:t>
            </w:r>
            <w:r>
              <w:rPr>
                <w:spacing w:val="-11"/>
              </w:rPr>
              <w:t xml:space="preserve"> </w:t>
            </w:r>
            <w:r w:rsidR="00180B26">
              <w:t>l</w:t>
            </w:r>
            <w:r>
              <w:t>ighting</w:t>
            </w:r>
            <w:r>
              <w:rPr>
                <w:spacing w:val="-10"/>
              </w:rPr>
              <w:t xml:space="preserve"> </w:t>
            </w:r>
            <w:r>
              <w:t>LED</w:t>
            </w:r>
            <w:r>
              <w:rPr>
                <w:spacing w:val="-9"/>
              </w:rPr>
              <w:t xml:space="preserve"> </w:t>
            </w:r>
            <w:r w:rsidR="00180B26">
              <w:rPr>
                <w:spacing w:val="-9"/>
              </w:rPr>
              <w:t>replacements</w:t>
            </w:r>
          </w:p>
        </w:tc>
        <w:tc>
          <w:tcPr>
            <w:tcW w:w="1817" w:type="dxa"/>
          </w:tcPr>
          <w:p w14:paraId="3AAD525A" w14:textId="491099B1" w:rsidR="00174802" w:rsidRDefault="0055468E" w:rsidP="00CF3F2B">
            <w:pPr>
              <w:pStyle w:val="TableParagraph"/>
              <w:spacing w:before="0" w:line="276" w:lineRule="auto"/>
              <w:jc w:val="center"/>
            </w:pPr>
            <w:r>
              <w:t>1,690</w:t>
            </w:r>
          </w:p>
        </w:tc>
      </w:tr>
      <w:tr w:rsidR="00174802" w14:paraId="65B3BC19" w14:textId="77777777" w:rsidTr="00180B26">
        <w:trPr>
          <w:trHeight w:val="284"/>
          <w:jc w:val="center"/>
        </w:trPr>
        <w:tc>
          <w:tcPr>
            <w:tcW w:w="7344" w:type="dxa"/>
          </w:tcPr>
          <w:p w14:paraId="0FC01458" w14:textId="148E31F1" w:rsidR="00174802" w:rsidRDefault="00174802" w:rsidP="00180B26">
            <w:pPr>
              <w:pStyle w:val="TableParagraph"/>
              <w:spacing w:before="0" w:line="276" w:lineRule="auto"/>
              <w:ind w:left="127" w:right="120"/>
              <w:jc w:val="both"/>
            </w:pPr>
            <w:r>
              <w:rPr>
                <w:spacing w:val="-4"/>
              </w:rPr>
              <w:t>New</w:t>
            </w:r>
            <w:r>
              <w:rPr>
                <w:spacing w:val="-8"/>
              </w:rPr>
              <w:t xml:space="preserve"> </w:t>
            </w:r>
            <w:r>
              <w:rPr>
                <w:spacing w:val="-4"/>
              </w:rPr>
              <w:t>and</w:t>
            </w:r>
            <w:r>
              <w:rPr>
                <w:spacing w:val="-8"/>
              </w:rPr>
              <w:t xml:space="preserve"> </w:t>
            </w:r>
            <w:r>
              <w:rPr>
                <w:spacing w:val="-4"/>
              </w:rPr>
              <w:t>upgraded</w:t>
            </w:r>
            <w:r>
              <w:rPr>
                <w:spacing w:val="-8"/>
              </w:rPr>
              <w:t xml:space="preserve"> </w:t>
            </w:r>
            <w:r>
              <w:rPr>
                <w:spacing w:val="-4"/>
              </w:rPr>
              <w:t>footpaths</w:t>
            </w:r>
            <w:r>
              <w:rPr>
                <w:spacing w:val="-7"/>
              </w:rPr>
              <w:t xml:space="preserve"> </w:t>
            </w:r>
            <w:r w:rsidR="00180B26">
              <w:rPr>
                <w:spacing w:val="-7"/>
              </w:rPr>
              <w:t xml:space="preserve">(square </w:t>
            </w:r>
            <w:proofErr w:type="spellStart"/>
            <w:r w:rsidR="00180B26">
              <w:rPr>
                <w:spacing w:val="-7"/>
              </w:rPr>
              <w:t>metres</w:t>
            </w:r>
            <w:proofErr w:type="spellEnd"/>
            <w:r w:rsidR="00180B26">
              <w:rPr>
                <w:spacing w:val="-7"/>
              </w:rPr>
              <w:t>)</w:t>
            </w:r>
          </w:p>
        </w:tc>
        <w:tc>
          <w:tcPr>
            <w:tcW w:w="1817" w:type="dxa"/>
          </w:tcPr>
          <w:p w14:paraId="56D9342E" w14:textId="79B0C258" w:rsidR="00174802" w:rsidRDefault="0055468E" w:rsidP="00CF3F2B">
            <w:pPr>
              <w:pStyle w:val="TableParagraph"/>
              <w:spacing w:before="0" w:line="276" w:lineRule="auto"/>
              <w:jc w:val="center"/>
            </w:pPr>
            <w:r>
              <w:t>61,483</w:t>
            </w:r>
          </w:p>
        </w:tc>
      </w:tr>
      <w:tr w:rsidR="00174802" w14:paraId="248B6580" w14:textId="77777777" w:rsidTr="00180B26">
        <w:trPr>
          <w:trHeight w:val="284"/>
          <w:jc w:val="center"/>
        </w:trPr>
        <w:tc>
          <w:tcPr>
            <w:tcW w:w="7344" w:type="dxa"/>
          </w:tcPr>
          <w:p w14:paraId="3B4400CC" w14:textId="379C6774" w:rsidR="00174802" w:rsidRDefault="00174802" w:rsidP="00180B26">
            <w:pPr>
              <w:pStyle w:val="TableParagraph"/>
              <w:spacing w:before="0" w:line="276" w:lineRule="auto"/>
              <w:ind w:left="127" w:right="120"/>
              <w:jc w:val="both"/>
            </w:pPr>
            <w:r>
              <w:rPr>
                <w:spacing w:val="-2"/>
              </w:rPr>
              <w:t>New</w:t>
            </w:r>
            <w:r>
              <w:rPr>
                <w:spacing w:val="-11"/>
              </w:rPr>
              <w:t xml:space="preserve"> </w:t>
            </w:r>
            <w:r>
              <w:rPr>
                <w:spacing w:val="-2"/>
              </w:rPr>
              <w:t>and</w:t>
            </w:r>
            <w:r>
              <w:rPr>
                <w:spacing w:val="-10"/>
              </w:rPr>
              <w:t xml:space="preserve"> </w:t>
            </w:r>
            <w:r>
              <w:rPr>
                <w:spacing w:val="-2"/>
              </w:rPr>
              <w:t>upgraded</w:t>
            </w:r>
            <w:r>
              <w:rPr>
                <w:spacing w:val="-11"/>
              </w:rPr>
              <w:t xml:space="preserve"> </w:t>
            </w:r>
            <w:r>
              <w:rPr>
                <w:spacing w:val="-2"/>
              </w:rPr>
              <w:t>cycle</w:t>
            </w:r>
            <w:r>
              <w:rPr>
                <w:spacing w:val="-9"/>
              </w:rPr>
              <w:t xml:space="preserve"> </w:t>
            </w:r>
            <w:r>
              <w:rPr>
                <w:spacing w:val="-2"/>
              </w:rPr>
              <w:t>lanes</w:t>
            </w:r>
            <w:r w:rsidR="00180B26">
              <w:rPr>
                <w:spacing w:val="-2"/>
              </w:rPr>
              <w:t xml:space="preserve"> (linear </w:t>
            </w:r>
            <w:proofErr w:type="spellStart"/>
            <w:r w:rsidR="00180B26">
              <w:rPr>
                <w:spacing w:val="-2"/>
              </w:rPr>
              <w:t>metres</w:t>
            </w:r>
            <w:proofErr w:type="spellEnd"/>
            <w:r w:rsidR="00180B26">
              <w:rPr>
                <w:spacing w:val="-2"/>
              </w:rPr>
              <w:t>)</w:t>
            </w:r>
          </w:p>
        </w:tc>
        <w:tc>
          <w:tcPr>
            <w:tcW w:w="1817" w:type="dxa"/>
          </w:tcPr>
          <w:p w14:paraId="3ADF534C" w14:textId="5F6130C3" w:rsidR="00174802" w:rsidRDefault="0055468E" w:rsidP="00CF3F2B">
            <w:pPr>
              <w:pStyle w:val="TableParagraph"/>
              <w:spacing w:before="0" w:line="276" w:lineRule="auto"/>
              <w:jc w:val="center"/>
            </w:pPr>
            <w:r>
              <w:t>22,535</w:t>
            </w:r>
          </w:p>
        </w:tc>
      </w:tr>
      <w:tr w:rsidR="00174802" w14:paraId="50556CAF" w14:textId="77777777" w:rsidTr="00180B26">
        <w:trPr>
          <w:trHeight w:val="284"/>
          <w:jc w:val="center"/>
        </w:trPr>
        <w:tc>
          <w:tcPr>
            <w:tcW w:w="7344" w:type="dxa"/>
          </w:tcPr>
          <w:p w14:paraId="12C19FA4" w14:textId="77777777" w:rsidR="00174802" w:rsidRDefault="00174802" w:rsidP="00180B26">
            <w:pPr>
              <w:pStyle w:val="TableParagraph"/>
              <w:spacing w:before="0" w:line="276" w:lineRule="auto"/>
              <w:ind w:left="127" w:right="120"/>
              <w:jc w:val="both"/>
              <w:rPr>
                <w:spacing w:val="-2"/>
              </w:rPr>
            </w:pPr>
            <w:r>
              <w:rPr>
                <w:spacing w:val="-2"/>
              </w:rPr>
              <w:t>Village</w:t>
            </w:r>
            <w:r>
              <w:rPr>
                <w:spacing w:val="-9"/>
              </w:rPr>
              <w:t xml:space="preserve"> </w:t>
            </w:r>
            <w:r>
              <w:rPr>
                <w:spacing w:val="-2"/>
              </w:rPr>
              <w:t>and</w:t>
            </w:r>
            <w:r>
              <w:rPr>
                <w:spacing w:val="-9"/>
              </w:rPr>
              <w:t xml:space="preserve"> </w:t>
            </w:r>
            <w:r>
              <w:rPr>
                <w:spacing w:val="-2"/>
              </w:rPr>
              <w:t>district</w:t>
            </w:r>
            <w:r>
              <w:rPr>
                <w:spacing w:val="-9"/>
              </w:rPr>
              <w:t xml:space="preserve"> </w:t>
            </w:r>
            <w:r>
              <w:rPr>
                <w:spacing w:val="-2"/>
              </w:rPr>
              <w:t>enhancement</w:t>
            </w:r>
            <w:r>
              <w:rPr>
                <w:spacing w:val="-9"/>
              </w:rPr>
              <w:t xml:space="preserve"> </w:t>
            </w:r>
            <w:r>
              <w:rPr>
                <w:spacing w:val="-2"/>
              </w:rPr>
              <w:t>expenditure</w:t>
            </w:r>
          </w:p>
        </w:tc>
        <w:tc>
          <w:tcPr>
            <w:tcW w:w="1817" w:type="dxa"/>
          </w:tcPr>
          <w:p w14:paraId="29161CA3" w14:textId="538A2BC8" w:rsidR="00174802" w:rsidRDefault="0055468E" w:rsidP="00CF3F2B">
            <w:pPr>
              <w:pStyle w:val="TableParagraph"/>
              <w:spacing w:before="0" w:line="276" w:lineRule="auto"/>
              <w:jc w:val="center"/>
              <w:rPr>
                <w:spacing w:val="-2"/>
              </w:rPr>
            </w:pPr>
            <w:r>
              <w:rPr>
                <w:spacing w:val="-2"/>
              </w:rPr>
              <w:t>€</w:t>
            </w:r>
            <w:r w:rsidR="007843C1">
              <w:rPr>
                <w:spacing w:val="-2"/>
              </w:rPr>
              <w:t>2,555,177</w:t>
            </w:r>
          </w:p>
        </w:tc>
      </w:tr>
      <w:tr w:rsidR="00174802" w14:paraId="0DEEC9A4" w14:textId="77777777" w:rsidTr="00180B26">
        <w:trPr>
          <w:trHeight w:val="284"/>
          <w:jc w:val="center"/>
        </w:trPr>
        <w:tc>
          <w:tcPr>
            <w:tcW w:w="7344" w:type="dxa"/>
          </w:tcPr>
          <w:p w14:paraId="78375CBF" w14:textId="77777777" w:rsidR="00174802" w:rsidRDefault="00174802" w:rsidP="00180B26">
            <w:pPr>
              <w:pStyle w:val="TableParagraph"/>
              <w:spacing w:before="0" w:line="276" w:lineRule="auto"/>
              <w:ind w:left="127" w:right="120"/>
              <w:jc w:val="both"/>
              <w:rPr>
                <w:spacing w:val="-2"/>
              </w:rPr>
            </w:pPr>
            <w:r>
              <w:rPr>
                <w:spacing w:val="-4"/>
              </w:rPr>
              <w:t>Private homes</w:t>
            </w:r>
            <w:r>
              <w:rPr>
                <w:spacing w:val="-3"/>
              </w:rPr>
              <w:t xml:space="preserve"> </w:t>
            </w:r>
            <w:r>
              <w:rPr>
                <w:spacing w:val="-4"/>
              </w:rPr>
              <w:t>approved</w:t>
            </w:r>
          </w:p>
        </w:tc>
        <w:tc>
          <w:tcPr>
            <w:tcW w:w="1817" w:type="dxa"/>
          </w:tcPr>
          <w:p w14:paraId="7EEE1028" w14:textId="43C300EB" w:rsidR="00174802" w:rsidRDefault="007843C1" w:rsidP="00CF3F2B">
            <w:pPr>
              <w:pStyle w:val="TableParagraph"/>
              <w:spacing w:before="0" w:line="276" w:lineRule="auto"/>
              <w:jc w:val="center"/>
              <w:rPr>
                <w:spacing w:val="-2"/>
              </w:rPr>
            </w:pPr>
            <w:r>
              <w:rPr>
                <w:spacing w:val="-2"/>
              </w:rPr>
              <w:t>1,240</w:t>
            </w:r>
          </w:p>
        </w:tc>
      </w:tr>
      <w:tr w:rsidR="00174802" w14:paraId="704F415F" w14:textId="77777777" w:rsidTr="00180B26">
        <w:trPr>
          <w:trHeight w:val="284"/>
          <w:jc w:val="center"/>
        </w:trPr>
        <w:tc>
          <w:tcPr>
            <w:tcW w:w="7344" w:type="dxa"/>
          </w:tcPr>
          <w:p w14:paraId="1CBA5CD7" w14:textId="77777777" w:rsidR="00174802" w:rsidRDefault="00174802" w:rsidP="00180B26">
            <w:pPr>
              <w:pStyle w:val="TableParagraph"/>
              <w:spacing w:before="0" w:line="276" w:lineRule="auto"/>
              <w:ind w:left="127" w:right="120"/>
              <w:jc w:val="both"/>
              <w:rPr>
                <w:spacing w:val="-2"/>
              </w:rPr>
            </w:pPr>
            <w:r>
              <w:rPr>
                <w:spacing w:val="-4"/>
              </w:rPr>
              <w:t>Private homes</w:t>
            </w:r>
            <w:r>
              <w:rPr>
                <w:spacing w:val="-3"/>
              </w:rPr>
              <w:t xml:space="preserve"> </w:t>
            </w:r>
            <w:r>
              <w:rPr>
                <w:spacing w:val="-4"/>
              </w:rPr>
              <w:t>commenced</w:t>
            </w:r>
          </w:p>
        </w:tc>
        <w:tc>
          <w:tcPr>
            <w:tcW w:w="1817" w:type="dxa"/>
          </w:tcPr>
          <w:p w14:paraId="348869CA" w14:textId="4EA37FB8" w:rsidR="00174802" w:rsidRDefault="007843C1" w:rsidP="00CF3F2B">
            <w:pPr>
              <w:pStyle w:val="TableParagraph"/>
              <w:spacing w:before="0" w:line="276" w:lineRule="auto"/>
              <w:jc w:val="center"/>
              <w:rPr>
                <w:spacing w:val="-2"/>
              </w:rPr>
            </w:pPr>
            <w:r>
              <w:rPr>
                <w:spacing w:val="-2"/>
              </w:rPr>
              <w:t>4,882</w:t>
            </w:r>
          </w:p>
        </w:tc>
      </w:tr>
      <w:tr w:rsidR="00174802" w14:paraId="5EAD3102" w14:textId="77777777" w:rsidTr="00180B26">
        <w:trPr>
          <w:trHeight w:val="284"/>
          <w:jc w:val="center"/>
        </w:trPr>
        <w:tc>
          <w:tcPr>
            <w:tcW w:w="7344" w:type="dxa"/>
          </w:tcPr>
          <w:p w14:paraId="2B8BD54B" w14:textId="77777777" w:rsidR="00174802" w:rsidRDefault="00174802" w:rsidP="00180B26">
            <w:pPr>
              <w:pStyle w:val="TableParagraph"/>
              <w:spacing w:before="0" w:line="276" w:lineRule="auto"/>
              <w:ind w:left="127" w:right="120"/>
              <w:jc w:val="both"/>
              <w:rPr>
                <w:spacing w:val="-2"/>
              </w:rPr>
            </w:pPr>
            <w:r>
              <w:rPr>
                <w:spacing w:val="-2"/>
              </w:rPr>
              <w:t>Planning</w:t>
            </w:r>
            <w:r>
              <w:rPr>
                <w:spacing w:val="2"/>
              </w:rPr>
              <w:t xml:space="preserve"> </w:t>
            </w:r>
            <w:r>
              <w:rPr>
                <w:spacing w:val="-2"/>
              </w:rPr>
              <w:t>applications</w:t>
            </w:r>
            <w:r>
              <w:rPr>
                <w:spacing w:val="4"/>
              </w:rPr>
              <w:t xml:space="preserve"> </w:t>
            </w:r>
            <w:r>
              <w:rPr>
                <w:spacing w:val="-2"/>
              </w:rPr>
              <w:t>received</w:t>
            </w:r>
          </w:p>
        </w:tc>
        <w:tc>
          <w:tcPr>
            <w:tcW w:w="1817" w:type="dxa"/>
          </w:tcPr>
          <w:p w14:paraId="2E827AC9" w14:textId="384C905F" w:rsidR="00174802" w:rsidRDefault="007843C1" w:rsidP="00CF3F2B">
            <w:pPr>
              <w:pStyle w:val="TableParagraph"/>
              <w:spacing w:before="0" w:line="276" w:lineRule="auto"/>
              <w:jc w:val="center"/>
              <w:rPr>
                <w:spacing w:val="-2"/>
              </w:rPr>
            </w:pPr>
            <w:r>
              <w:rPr>
                <w:spacing w:val="-2"/>
              </w:rPr>
              <w:t>933</w:t>
            </w:r>
          </w:p>
        </w:tc>
      </w:tr>
      <w:tr w:rsidR="00174802" w14:paraId="23877BF2" w14:textId="77777777" w:rsidTr="00180B26">
        <w:trPr>
          <w:trHeight w:val="284"/>
          <w:jc w:val="center"/>
        </w:trPr>
        <w:tc>
          <w:tcPr>
            <w:tcW w:w="7344" w:type="dxa"/>
          </w:tcPr>
          <w:p w14:paraId="353DF836" w14:textId="77777777" w:rsidR="00174802" w:rsidRDefault="00174802" w:rsidP="00180B26">
            <w:pPr>
              <w:pStyle w:val="TableParagraph"/>
              <w:spacing w:before="0" w:line="276" w:lineRule="auto"/>
              <w:ind w:left="127" w:right="120"/>
              <w:jc w:val="both"/>
              <w:rPr>
                <w:spacing w:val="-2"/>
              </w:rPr>
            </w:pPr>
            <w:r>
              <w:rPr>
                <w:spacing w:val="-2"/>
              </w:rPr>
              <w:t>%</w:t>
            </w:r>
            <w:r>
              <w:rPr>
                <w:spacing w:val="1"/>
              </w:rPr>
              <w:t xml:space="preserve"> </w:t>
            </w:r>
            <w:r>
              <w:rPr>
                <w:spacing w:val="-2"/>
              </w:rPr>
              <w:t>planning</w:t>
            </w:r>
            <w:r>
              <w:rPr>
                <w:spacing w:val="1"/>
              </w:rPr>
              <w:t xml:space="preserve"> </w:t>
            </w:r>
            <w:r>
              <w:rPr>
                <w:spacing w:val="-2"/>
              </w:rPr>
              <w:t>applications</w:t>
            </w:r>
            <w:r>
              <w:rPr>
                <w:spacing w:val="1"/>
              </w:rPr>
              <w:t xml:space="preserve"> </w:t>
            </w:r>
            <w:r>
              <w:rPr>
                <w:spacing w:val="-2"/>
              </w:rPr>
              <w:t>granted</w:t>
            </w:r>
          </w:p>
        </w:tc>
        <w:tc>
          <w:tcPr>
            <w:tcW w:w="1817" w:type="dxa"/>
          </w:tcPr>
          <w:p w14:paraId="25680B55" w14:textId="031FB1AA" w:rsidR="00174802" w:rsidRDefault="00884948" w:rsidP="00CF3F2B">
            <w:pPr>
              <w:pStyle w:val="TableParagraph"/>
              <w:spacing w:before="0" w:line="276" w:lineRule="auto"/>
              <w:jc w:val="center"/>
              <w:rPr>
                <w:spacing w:val="-2"/>
              </w:rPr>
            </w:pPr>
            <w:r>
              <w:rPr>
                <w:spacing w:val="-2"/>
              </w:rPr>
              <w:t>69</w:t>
            </w:r>
          </w:p>
        </w:tc>
      </w:tr>
      <w:tr w:rsidR="00174802" w14:paraId="0CE72272" w14:textId="77777777" w:rsidTr="00180B26">
        <w:trPr>
          <w:trHeight w:val="284"/>
          <w:jc w:val="center"/>
        </w:trPr>
        <w:tc>
          <w:tcPr>
            <w:tcW w:w="7344" w:type="dxa"/>
          </w:tcPr>
          <w:p w14:paraId="1FAAB202" w14:textId="699E0D52" w:rsidR="00174802" w:rsidRDefault="22CFCE2A" w:rsidP="00180B26">
            <w:pPr>
              <w:pStyle w:val="TableParagraph"/>
              <w:spacing w:before="0" w:line="276" w:lineRule="auto"/>
              <w:ind w:left="127" w:right="120"/>
              <w:jc w:val="both"/>
            </w:pPr>
            <w:proofErr w:type="spellStart"/>
            <w:r>
              <w:rPr>
                <w:spacing w:val="-4"/>
              </w:rPr>
              <w:t>Pre</w:t>
            </w:r>
            <w:r w:rsidR="00180B26">
              <w:rPr>
                <w:spacing w:val="-5"/>
              </w:rPr>
              <w:t>-</w:t>
            </w:r>
            <w:r>
              <w:rPr>
                <w:spacing w:val="-4"/>
              </w:rPr>
              <w:t>planning</w:t>
            </w:r>
            <w:proofErr w:type="spellEnd"/>
            <w:r>
              <w:rPr>
                <w:spacing w:val="-6"/>
              </w:rPr>
              <w:t xml:space="preserve"> </w:t>
            </w:r>
            <w:r>
              <w:rPr>
                <w:spacing w:val="-4"/>
              </w:rPr>
              <w:t>meetings held</w:t>
            </w:r>
            <w:r>
              <w:rPr>
                <w:spacing w:val="-6"/>
              </w:rPr>
              <w:t xml:space="preserve"> </w:t>
            </w:r>
            <w:r>
              <w:rPr>
                <w:spacing w:val="-4"/>
              </w:rPr>
              <w:t>within</w:t>
            </w:r>
            <w:r>
              <w:rPr>
                <w:spacing w:val="-3"/>
              </w:rPr>
              <w:t xml:space="preserve"> </w:t>
            </w:r>
            <w:r>
              <w:rPr>
                <w:spacing w:val="-4"/>
              </w:rPr>
              <w:t>8</w:t>
            </w:r>
            <w:r>
              <w:rPr>
                <w:spacing w:val="-3"/>
              </w:rPr>
              <w:t xml:space="preserve"> </w:t>
            </w:r>
            <w:r>
              <w:rPr>
                <w:spacing w:val="-4"/>
              </w:rPr>
              <w:t>weeks</w:t>
            </w:r>
          </w:p>
        </w:tc>
        <w:tc>
          <w:tcPr>
            <w:tcW w:w="1817" w:type="dxa"/>
          </w:tcPr>
          <w:p w14:paraId="727BA7F4" w14:textId="3FCA4298" w:rsidR="00174802" w:rsidRDefault="00884948" w:rsidP="00CF3F2B">
            <w:pPr>
              <w:pStyle w:val="TableParagraph"/>
              <w:spacing w:before="0" w:line="276" w:lineRule="auto"/>
              <w:jc w:val="center"/>
              <w:rPr>
                <w:spacing w:val="-2"/>
              </w:rPr>
            </w:pPr>
            <w:r>
              <w:rPr>
                <w:spacing w:val="-2"/>
              </w:rPr>
              <w:t>114</w:t>
            </w:r>
          </w:p>
        </w:tc>
      </w:tr>
    </w:tbl>
    <w:p w14:paraId="32AFC772" w14:textId="77777777" w:rsidR="008144F7" w:rsidRDefault="008144F7" w:rsidP="00023B95">
      <w:pPr>
        <w:spacing w:after="0" w:line="276" w:lineRule="auto"/>
        <w:ind w:left="0" w:firstLine="0"/>
        <w:textAlignment w:val="baseline"/>
        <w:rPr>
          <w:rFonts w:asciiTheme="minorHAnsi" w:eastAsia="Times New Roman" w:hAnsiTheme="minorHAnsi" w:cstheme="minorHAnsi"/>
          <w:color w:val="auto"/>
          <w:kern w:val="0"/>
          <w:szCs w:val="23"/>
          <w14:ligatures w14:val="none"/>
        </w:rPr>
      </w:pPr>
    </w:p>
    <w:p w14:paraId="692308D5" w14:textId="77777777" w:rsidR="00E77D63" w:rsidRDefault="00E77D63" w:rsidP="00023B95">
      <w:pPr>
        <w:spacing w:after="0" w:line="276" w:lineRule="auto"/>
        <w:ind w:left="0" w:firstLine="0"/>
        <w:textAlignment w:val="baseline"/>
        <w:rPr>
          <w:rFonts w:asciiTheme="minorHAnsi" w:eastAsia="Times New Roman" w:hAnsiTheme="minorHAnsi" w:cstheme="minorHAnsi"/>
          <w:color w:val="auto"/>
          <w:kern w:val="0"/>
          <w:szCs w:val="23"/>
          <w14:ligatures w14:val="none"/>
        </w:rPr>
      </w:pPr>
    </w:p>
    <w:p w14:paraId="6AEAFA7D" w14:textId="6F78F119" w:rsidR="008E4E5E" w:rsidRPr="000F0EBB" w:rsidRDefault="008E4E5E" w:rsidP="00CF46AE">
      <w:pPr>
        <w:spacing w:after="0" w:line="276" w:lineRule="auto"/>
        <w:ind w:left="0" w:firstLine="0"/>
        <w:jc w:val="center"/>
        <w:textAlignment w:val="baseline"/>
        <w:rPr>
          <w:rFonts w:asciiTheme="minorHAnsi" w:eastAsia="Times New Roman" w:hAnsiTheme="minorHAnsi" w:cstheme="minorHAnsi"/>
          <w:color w:val="auto"/>
          <w:kern w:val="0"/>
          <w:szCs w:val="23"/>
          <w14:ligatures w14:val="none"/>
        </w:rPr>
      </w:pPr>
      <w:r w:rsidRPr="004A021E">
        <w:rPr>
          <w:rFonts w:asciiTheme="minorHAnsi" w:eastAsia="Times New Roman" w:hAnsiTheme="minorHAnsi" w:cstheme="minorHAnsi"/>
          <w:b/>
          <w:bCs/>
          <w:color w:val="auto"/>
          <w:kern w:val="0"/>
          <w:szCs w:val="23"/>
          <w14:ligatures w14:val="none"/>
        </w:rPr>
        <w:t>Housing, Social and Community Development</w:t>
      </w:r>
    </w:p>
    <w:p w14:paraId="421ADA43" w14:textId="77777777" w:rsidR="000C6B6B" w:rsidRPr="000F0EBB" w:rsidRDefault="000C6B6B" w:rsidP="000C6B6B">
      <w:pPr>
        <w:spacing w:after="0" w:line="276" w:lineRule="auto"/>
        <w:ind w:left="0" w:firstLine="0"/>
        <w:contextualSpacing/>
        <w:mirrorIndents/>
        <w:textAlignment w:val="baseline"/>
        <w:rPr>
          <w:rFonts w:asciiTheme="minorHAnsi" w:eastAsia="Times New Roman" w:hAnsiTheme="minorHAnsi" w:cstheme="minorHAnsi"/>
          <w:color w:val="auto"/>
          <w:kern w:val="0"/>
          <w:szCs w:val="23"/>
          <w14:ligatures w14:val="none"/>
        </w:rPr>
      </w:pPr>
    </w:p>
    <w:p w14:paraId="49F1DFF7" w14:textId="77777777" w:rsidR="00141FA3" w:rsidRPr="000F0EBB" w:rsidRDefault="00141FA3" w:rsidP="000C6B6B">
      <w:pPr>
        <w:spacing w:after="0" w:line="276" w:lineRule="auto"/>
        <w:ind w:left="0" w:firstLine="0"/>
        <w:textAlignment w:val="baseline"/>
        <w:rPr>
          <w:rFonts w:eastAsia="Times New Roman"/>
          <w:b/>
          <w:bCs/>
          <w:color w:val="000000" w:themeColor="text1"/>
          <w:kern w:val="0"/>
          <w:szCs w:val="23"/>
          <w:lang w:val="en"/>
          <w14:ligatures w14:val="none"/>
        </w:rPr>
      </w:pPr>
      <w:r w:rsidRPr="000F0EBB">
        <w:rPr>
          <w:rFonts w:eastAsia="Times New Roman"/>
          <w:b/>
          <w:bCs/>
          <w:color w:val="000000" w:themeColor="text1"/>
          <w:kern w:val="0"/>
          <w:szCs w:val="23"/>
          <w:lang w:val="en"/>
          <w14:ligatures w14:val="none"/>
        </w:rPr>
        <w:t xml:space="preserve">Deliver quality social and affordable housing to meet housing </w:t>
      </w:r>
      <w:proofErr w:type="gramStart"/>
      <w:r w:rsidRPr="000F0EBB">
        <w:rPr>
          <w:rFonts w:eastAsia="Times New Roman"/>
          <w:b/>
          <w:bCs/>
          <w:color w:val="000000" w:themeColor="text1"/>
          <w:kern w:val="0"/>
          <w:szCs w:val="23"/>
          <w:lang w:val="en"/>
          <w14:ligatures w14:val="none"/>
        </w:rPr>
        <w:t>need</w:t>
      </w:r>
      <w:proofErr w:type="gramEnd"/>
      <w:r w:rsidRPr="000F0EBB">
        <w:rPr>
          <w:rFonts w:eastAsia="Times New Roman"/>
          <w:b/>
          <w:bCs/>
          <w:color w:val="000000" w:themeColor="text1"/>
          <w:kern w:val="0"/>
          <w:szCs w:val="23"/>
          <w:lang w:val="en"/>
          <w14:ligatures w14:val="none"/>
        </w:rPr>
        <w:t xml:space="preserve"> across the county</w:t>
      </w:r>
    </w:p>
    <w:p w14:paraId="6345E1F8" w14:textId="19E61691" w:rsidR="00141FA3" w:rsidRPr="000F0EBB" w:rsidRDefault="00141FA3" w:rsidP="3966637E">
      <w:pPr>
        <w:pStyle w:val="ListParagraph"/>
        <w:numPr>
          <w:ilvl w:val="0"/>
          <w:numId w:val="33"/>
        </w:numPr>
        <w:spacing w:after="0" w:line="276" w:lineRule="auto"/>
        <w:rPr>
          <w:color w:val="000000" w:themeColor="text1"/>
          <w:lang w:val="en-GB"/>
        </w:rPr>
      </w:pPr>
      <w:r w:rsidRPr="3966637E">
        <w:rPr>
          <w:color w:val="000000" w:themeColor="text1"/>
          <w:lang w:val="en"/>
        </w:rPr>
        <w:t>Progress under our Housing Delivery Action Plan (HDAP) continue</w:t>
      </w:r>
      <w:r w:rsidR="0022147E">
        <w:rPr>
          <w:color w:val="000000" w:themeColor="text1"/>
          <w:lang w:val="en"/>
        </w:rPr>
        <w:t>d</w:t>
      </w:r>
      <w:r w:rsidRPr="3966637E">
        <w:rPr>
          <w:color w:val="000000" w:themeColor="text1"/>
          <w:lang w:val="en"/>
        </w:rPr>
        <w:t xml:space="preserve"> with the delivery of </w:t>
      </w:r>
      <w:r w:rsidRPr="00706005">
        <w:rPr>
          <w:color w:val="000000" w:themeColor="text1"/>
          <w:lang w:val="en"/>
        </w:rPr>
        <w:t>1,0</w:t>
      </w:r>
      <w:r w:rsidR="00C322BB" w:rsidRPr="00706005">
        <w:rPr>
          <w:color w:val="000000" w:themeColor="text1"/>
          <w:lang w:val="en"/>
        </w:rPr>
        <w:t>42</w:t>
      </w:r>
      <w:r w:rsidRPr="3966637E">
        <w:rPr>
          <w:color w:val="000000" w:themeColor="text1"/>
          <w:lang w:val="en"/>
        </w:rPr>
        <w:t xml:space="preserve"> new social and affordable homes across all streams, including 7</w:t>
      </w:r>
      <w:r w:rsidR="24CB5214" w:rsidRPr="3966637E">
        <w:rPr>
          <w:color w:val="000000" w:themeColor="text1"/>
          <w:lang w:val="en"/>
        </w:rPr>
        <w:t>77</w:t>
      </w:r>
      <w:r w:rsidRPr="3966637E">
        <w:rPr>
          <w:color w:val="000000" w:themeColor="text1"/>
          <w:lang w:val="en"/>
        </w:rPr>
        <w:t xml:space="preserve"> new social homes completed through </w:t>
      </w:r>
      <w:r w:rsidR="0061566B">
        <w:rPr>
          <w:color w:val="000000" w:themeColor="text1"/>
          <w:lang w:val="en"/>
        </w:rPr>
        <w:t>our</w:t>
      </w:r>
      <w:r w:rsidRPr="3966637E">
        <w:rPr>
          <w:color w:val="000000" w:themeColor="text1"/>
          <w:lang w:val="en"/>
        </w:rPr>
        <w:t xml:space="preserve"> direct build </w:t>
      </w:r>
      <w:proofErr w:type="spellStart"/>
      <w:r w:rsidRPr="3966637E">
        <w:rPr>
          <w:color w:val="000000" w:themeColor="text1"/>
          <w:lang w:val="en"/>
        </w:rPr>
        <w:t>programme</w:t>
      </w:r>
      <w:proofErr w:type="spellEnd"/>
      <w:r w:rsidRPr="3966637E">
        <w:rPr>
          <w:color w:val="000000" w:themeColor="text1"/>
          <w:lang w:val="en"/>
        </w:rPr>
        <w:t xml:space="preserve">, Part V, Approved Housing Bodies and turnkey opportunities, 210 properties provided through long- term leases </w:t>
      </w:r>
      <w:r w:rsidRPr="3966637E">
        <w:rPr>
          <w:color w:val="000000" w:themeColor="text1"/>
          <w:lang w:val="en-GB"/>
        </w:rPr>
        <w:t xml:space="preserve">and </w:t>
      </w:r>
      <w:r w:rsidRPr="3966637E">
        <w:rPr>
          <w:color w:val="000000" w:themeColor="text1"/>
          <w:lang w:val="en"/>
        </w:rPr>
        <w:t>55 new affordable purchase homes.</w:t>
      </w:r>
    </w:p>
    <w:p w14:paraId="0AFADA69" w14:textId="7D45C440" w:rsidR="00141FA3" w:rsidRPr="00F65773" w:rsidRDefault="00141FA3" w:rsidP="00F65773">
      <w:pPr>
        <w:pStyle w:val="ListParagraph"/>
        <w:numPr>
          <w:ilvl w:val="0"/>
          <w:numId w:val="33"/>
        </w:numPr>
        <w:spacing w:after="0" w:line="276" w:lineRule="auto"/>
        <w:rPr>
          <w:color w:val="000000" w:themeColor="text1"/>
          <w:szCs w:val="23"/>
          <w:lang w:val="en-GB"/>
        </w:rPr>
      </w:pPr>
      <w:r w:rsidRPr="000F0EBB">
        <w:rPr>
          <w:color w:val="000000" w:themeColor="text1"/>
          <w:szCs w:val="23"/>
          <w:lang w:val="en-US"/>
        </w:rPr>
        <w:t xml:space="preserve">In Clonburris, construction </w:t>
      </w:r>
      <w:r w:rsidR="007B5E53">
        <w:rPr>
          <w:color w:val="000000" w:themeColor="text1"/>
          <w:szCs w:val="23"/>
          <w:lang w:val="en-US"/>
        </w:rPr>
        <w:t xml:space="preserve">progressed </w:t>
      </w:r>
      <w:r w:rsidRPr="000F0EBB">
        <w:rPr>
          <w:color w:val="000000" w:themeColor="text1"/>
          <w:szCs w:val="23"/>
          <w:lang w:val="en-US"/>
        </w:rPr>
        <w:t xml:space="preserve">on 116 social and affordable homes </w:t>
      </w:r>
      <w:r w:rsidR="009D09C0">
        <w:rPr>
          <w:color w:val="000000" w:themeColor="text1"/>
          <w:szCs w:val="23"/>
          <w:lang w:val="en-US"/>
        </w:rPr>
        <w:t>at</w:t>
      </w:r>
      <w:r w:rsidRPr="000F0EBB">
        <w:rPr>
          <w:color w:val="000000" w:themeColor="text1"/>
          <w:szCs w:val="23"/>
          <w:lang w:val="en-US"/>
        </w:rPr>
        <w:t xml:space="preserve"> the Canal Extension site</w:t>
      </w:r>
      <w:r w:rsidR="007B5E53">
        <w:rPr>
          <w:color w:val="000000" w:themeColor="text1"/>
          <w:szCs w:val="23"/>
          <w:lang w:val="en-US"/>
        </w:rPr>
        <w:t xml:space="preserve"> while the </w:t>
      </w:r>
      <w:r w:rsidRPr="000F0EBB">
        <w:rPr>
          <w:color w:val="000000" w:themeColor="text1"/>
          <w:szCs w:val="23"/>
          <w:lang w:val="en-US"/>
        </w:rPr>
        <w:t xml:space="preserve">tender process for 266 homes </w:t>
      </w:r>
      <w:r w:rsidR="007B5E53">
        <w:rPr>
          <w:color w:val="000000" w:themeColor="text1"/>
          <w:szCs w:val="23"/>
          <w:lang w:val="en-US"/>
        </w:rPr>
        <w:t xml:space="preserve">at </w:t>
      </w:r>
      <w:proofErr w:type="spellStart"/>
      <w:r w:rsidRPr="000F0EBB">
        <w:rPr>
          <w:color w:val="000000" w:themeColor="text1"/>
          <w:szCs w:val="23"/>
          <w:lang w:val="en-US"/>
        </w:rPr>
        <w:t>Kishogue</w:t>
      </w:r>
      <w:proofErr w:type="spellEnd"/>
      <w:r w:rsidRPr="000F0EBB">
        <w:rPr>
          <w:color w:val="000000" w:themeColor="text1"/>
          <w:szCs w:val="23"/>
          <w:lang w:val="en-US"/>
        </w:rPr>
        <w:t xml:space="preserve"> concluded with construction to commence on-site </w:t>
      </w:r>
      <w:r w:rsidR="005F7F9E">
        <w:rPr>
          <w:color w:val="000000" w:themeColor="text1"/>
          <w:szCs w:val="23"/>
          <w:lang w:val="en-US"/>
        </w:rPr>
        <w:t>shortly</w:t>
      </w:r>
      <w:r w:rsidRPr="000F0EBB">
        <w:rPr>
          <w:color w:val="000000" w:themeColor="text1"/>
          <w:szCs w:val="23"/>
          <w:lang w:val="en-US"/>
        </w:rPr>
        <w:t>.</w:t>
      </w:r>
      <w:r w:rsidRPr="00F65773">
        <w:rPr>
          <w:color w:val="000000" w:themeColor="text1"/>
          <w:szCs w:val="23"/>
          <w:lang w:val="en-US"/>
        </w:rPr>
        <w:t xml:space="preserve"> </w:t>
      </w:r>
      <w:r w:rsidR="006741B6" w:rsidRPr="00F65773">
        <w:rPr>
          <w:color w:val="000000" w:themeColor="text1"/>
          <w:szCs w:val="23"/>
          <w:lang w:val="en-US"/>
        </w:rPr>
        <w:t xml:space="preserve">The Part 8 </w:t>
      </w:r>
      <w:r w:rsidR="00BA632E">
        <w:rPr>
          <w:color w:val="000000" w:themeColor="text1"/>
          <w:szCs w:val="23"/>
          <w:lang w:val="en-US"/>
        </w:rPr>
        <w:t xml:space="preserve">planning application </w:t>
      </w:r>
      <w:r w:rsidR="006741B6" w:rsidRPr="00F65773">
        <w:rPr>
          <w:color w:val="000000" w:themeColor="text1"/>
          <w:szCs w:val="23"/>
          <w:lang w:val="en-US"/>
        </w:rPr>
        <w:t xml:space="preserve">for </w:t>
      </w:r>
      <w:r w:rsidR="006741B6" w:rsidRPr="00F65773">
        <w:rPr>
          <w:color w:val="000000" w:themeColor="text1"/>
          <w:szCs w:val="23"/>
          <w:lang w:val="en"/>
        </w:rPr>
        <w:t xml:space="preserve">118 </w:t>
      </w:r>
      <w:r w:rsidR="00BA632E">
        <w:rPr>
          <w:color w:val="000000" w:themeColor="text1"/>
          <w:szCs w:val="23"/>
          <w:lang w:val="en"/>
        </w:rPr>
        <w:t xml:space="preserve">social homes to be delivered through </w:t>
      </w:r>
      <w:r w:rsidR="006741B6" w:rsidRPr="00F65773">
        <w:rPr>
          <w:color w:val="000000" w:themeColor="text1"/>
          <w:szCs w:val="23"/>
          <w:lang w:val="en"/>
        </w:rPr>
        <w:t xml:space="preserve">the PPP </w:t>
      </w:r>
      <w:r w:rsidR="00BA632E">
        <w:rPr>
          <w:color w:val="000000" w:themeColor="text1"/>
          <w:szCs w:val="23"/>
          <w:lang w:val="en"/>
        </w:rPr>
        <w:t>mechanism was</w:t>
      </w:r>
      <w:r w:rsidR="006741B6" w:rsidRPr="00F65773">
        <w:rPr>
          <w:color w:val="000000" w:themeColor="text1"/>
          <w:szCs w:val="23"/>
          <w:lang w:val="en"/>
        </w:rPr>
        <w:t xml:space="preserve"> approved in November</w:t>
      </w:r>
      <w:r w:rsidR="00BA632E">
        <w:rPr>
          <w:color w:val="000000" w:themeColor="text1"/>
          <w:szCs w:val="23"/>
          <w:lang w:val="en"/>
        </w:rPr>
        <w:t xml:space="preserve"> and a</w:t>
      </w:r>
      <w:r w:rsidRPr="00F65773">
        <w:rPr>
          <w:color w:val="000000" w:themeColor="text1"/>
          <w:szCs w:val="23"/>
          <w:lang w:val="en-US"/>
        </w:rPr>
        <w:t xml:space="preserve"> Part 10 planning application </w:t>
      </w:r>
      <w:r w:rsidR="00F65773">
        <w:rPr>
          <w:color w:val="000000" w:themeColor="text1"/>
          <w:szCs w:val="23"/>
          <w:lang w:val="en-US"/>
        </w:rPr>
        <w:t xml:space="preserve">for </w:t>
      </w:r>
      <w:r w:rsidR="00C10D07">
        <w:rPr>
          <w:color w:val="000000" w:themeColor="text1"/>
          <w:szCs w:val="23"/>
          <w:lang w:val="en-US"/>
        </w:rPr>
        <w:t xml:space="preserve">approximately 2,500 further homes </w:t>
      </w:r>
      <w:r w:rsidRPr="00F65773">
        <w:rPr>
          <w:color w:val="000000" w:themeColor="text1"/>
          <w:szCs w:val="23"/>
          <w:lang w:val="en-US"/>
        </w:rPr>
        <w:t xml:space="preserve">is nearing completion and will be lodged with An Bord </w:t>
      </w:r>
      <w:proofErr w:type="spellStart"/>
      <w:r w:rsidRPr="00F65773">
        <w:rPr>
          <w:color w:val="000000" w:themeColor="text1"/>
          <w:szCs w:val="23"/>
          <w:lang w:val="en-US"/>
        </w:rPr>
        <w:t>Pleanála</w:t>
      </w:r>
      <w:proofErr w:type="spellEnd"/>
      <w:r w:rsidRPr="00F65773">
        <w:rPr>
          <w:color w:val="000000" w:themeColor="text1"/>
          <w:szCs w:val="23"/>
          <w:lang w:val="en-US"/>
        </w:rPr>
        <w:t xml:space="preserve"> in Q1 2025</w:t>
      </w:r>
      <w:r w:rsidR="00CA4454" w:rsidRPr="00F65773">
        <w:rPr>
          <w:color w:val="000000" w:themeColor="text1"/>
          <w:szCs w:val="23"/>
          <w:lang w:val="en-US"/>
        </w:rPr>
        <w:t xml:space="preserve">. </w:t>
      </w:r>
    </w:p>
    <w:p w14:paraId="5499B686" w14:textId="4831D2B9" w:rsidR="001E29C2" w:rsidRPr="001E29C2" w:rsidRDefault="00141FA3" w:rsidP="001E29C2">
      <w:pPr>
        <w:pStyle w:val="ListParagraph"/>
        <w:numPr>
          <w:ilvl w:val="0"/>
          <w:numId w:val="33"/>
        </w:numPr>
        <w:spacing w:after="0" w:line="276" w:lineRule="auto"/>
        <w:rPr>
          <w:color w:val="000000" w:themeColor="text1"/>
          <w:szCs w:val="23"/>
          <w:lang w:val="en"/>
        </w:rPr>
      </w:pPr>
      <w:r w:rsidRPr="000F0EBB">
        <w:rPr>
          <w:color w:val="000000" w:themeColor="text1"/>
          <w:szCs w:val="23"/>
          <w:lang w:val="en-US"/>
        </w:rPr>
        <w:t xml:space="preserve">82 social and 29 affordable homes were delivered under the </w:t>
      </w:r>
      <w:proofErr w:type="spellStart"/>
      <w:r w:rsidRPr="000F0EBB">
        <w:rPr>
          <w:color w:val="000000" w:themeColor="text1"/>
          <w:szCs w:val="23"/>
          <w:lang w:val="en-US"/>
        </w:rPr>
        <w:t>Kilcarbery</w:t>
      </w:r>
      <w:proofErr w:type="spellEnd"/>
      <w:r w:rsidRPr="000F0EBB">
        <w:rPr>
          <w:color w:val="000000" w:themeColor="text1"/>
          <w:szCs w:val="23"/>
          <w:lang w:val="en-US"/>
        </w:rPr>
        <w:t xml:space="preserve"> joint venture development with Phase 3 now substantially complete and Phase 4 to complete in Q3 2025</w:t>
      </w:r>
      <w:r w:rsidR="004C4F5D">
        <w:rPr>
          <w:color w:val="000000" w:themeColor="text1"/>
          <w:szCs w:val="23"/>
          <w:lang w:val="en-US"/>
        </w:rPr>
        <w:t xml:space="preserve"> while </w:t>
      </w:r>
      <w:r w:rsidRPr="000F0EBB">
        <w:rPr>
          <w:color w:val="000000" w:themeColor="text1"/>
          <w:szCs w:val="23"/>
          <w:lang w:val="en-US"/>
        </w:rPr>
        <w:t>development of 88 social and affordable homes on an adjacent site commenced in December</w:t>
      </w:r>
      <w:r w:rsidR="004C4F5D">
        <w:rPr>
          <w:color w:val="000000" w:themeColor="text1"/>
          <w:szCs w:val="23"/>
          <w:lang w:val="en-US"/>
        </w:rPr>
        <w:t xml:space="preserve"> following </w:t>
      </w:r>
      <w:r w:rsidR="00162845">
        <w:rPr>
          <w:color w:val="000000" w:themeColor="text1"/>
          <w:szCs w:val="23"/>
          <w:lang w:val="en-US"/>
        </w:rPr>
        <w:t>S</w:t>
      </w:r>
      <w:r w:rsidR="004C4F5D">
        <w:rPr>
          <w:color w:val="000000" w:themeColor="text1"/>
          <w:szCs w:val="23"/>
          <w:lang w:val="en-US"/>
        </w:rPr>
        <w:t xml:space="preserve">183 approval by </w:t>
      </w:r>
      <w:proofErr w:type="spellStart"/>
      <w:r w:rsidR="00CC6B44">
        <w:rPr>
          <w:color w:val="000000" w:themeColor="text1"/>
          <w:szCs w:val="23"/>
          <w:lang w:val="en-US"/>
        </w:rPr>
        <w:t>c</w:t>
      </w:r>
      <w:r w:rsidR="004C4F5D">
        <w:rPr>
          <w:color w:val="000000" w:themeColor="text1"/>
          <w:szCs w:val="23"/>
          <w:lang w:val="en-US"/>
        </w:rPr>
        <w:t>ouncillors</w:t>
      </w:r>
      <w:proofErr w:type="spellEnd"/>
      <w:r w:rsidR="004C4F5D">
        <w:rPr>
          <w:color w:val="000000" w:themeColor="text1"/>
          <w:szCs w:val="23"/>
          <w:lang w:val="en-US"/>
        </w:rPr>
        <w:t xml:space="preserve"> in </w:t>
      </w:r>
      <w:r w:rsidR="00270ADE">
        <w:rPr>
          <w:color w:val="000000" w:themeColor="text1"/>
          <w:szCs w:val="23"/>
          <w:lang w:val="en-US"/>
        </w:rPr>
        <w:t>Octo</w:t>
      </w:r>
      <w:r w:rsidR="004C4F5D">
        <w:rPr>
          <w:color w:val="000000" w:themeColor="text1"/>
          <w:szCs w:val="23"/>
          <w:lang w:val="en-US"/>
        </w:rPr>
        <w:t>ber.</w:t>
      </w:r>
    </w:p>
    <w:p w14:paraId="27FC1E5A" w14:textId="1D470846" w:rsidR="00141FA3" w:rsidRPr="00163924" w:rsidRDefault="001E29C2" w:rsidP="001E29C2">
      <w:pPr>
        <w:pStyle w:val="ListParagraph"/>
        <w:numPr>
          <w:ilvl w:val="0"/>
          <w:numId w:val="33"/>
        </w:numPr>
        <w:spacing w:after="0" w:line="276" w:lineRule="auto"/>
        <w:rPr>
          <w:color w:val="000000" w:themeColor="text1"/>
          <w:szCs w:val="23"/>
          <w:lang w:val="en"/>
        </w:rPr>
      </w:pPr>
      <w:r>
        <w:rPr>
          <w:color w:val="000000" w:themeColor="text1"/>
          <w:szCs w:val="23"/>
          <w:lang w:val="en-US"/>
        </w:rPr>
        <w:t xml:space="preserve">Construction </w:t>
      </w:r>
      <w:proofErr w:type="gramStart"/>
      <w:r w:rsidR="002D730E" w:rsidRPr="001E29C2">
        <w:rPr>
          <w:color w:val="000000" w:themeColor="text1"/>
          <w:szCs w:val="23"/>
          <w:lang w:val="en"/>
        </w:rPr>
        <w:t>continued</w:t>
      </w:r>
      <w:r w:rsidR="002D730E">
        <w:rPr>
          <w:color w:val="000000" w:themeColor="text1"/>
          <w:szCs w:val="23"/>
          <w:lang w:val="en-US"/>
        </w:rPr>
        <w:t xml:space="preserve"> </w:t>
      </w:r>
      <w:r>
        <w:rPr>
          <w:color w:val="000000" w:themeColor="text1"/>
          <w:szCs w:val="23"/>
          <w:lang w:val="en-US"/>
        </w:rPr>
        <w:t>o</w:t>
      </w:r>
      <w:r w:rsidR="002D730E">
        <w:rPr>
          <w:color w:val="000000" w:themeColor="text1"/>
          <w:szCs w:val="23"/>
          <w:lang w:val="en-US"/>
        </w:rPr>
        <w:t>n</w:t>
      </w:r>
      <w:proofErr w:type="gramEnd"/>
      <w:r>
        <w:rPr>
          <w:color w:val="000000" w:themeColor="text1"/>
          <w:szCs w:val="23"/>
          <w:lang w:val="en-US"/>
        </w:rPr>
        <w:t xml:space="preserve"> </w:t>
      </w:r>
      <w:r w:rsidR="0017492D" w:rsidRPr="001E29C2">
        <w:rPr>
          <w:color w:val="000000" w:themeColor="text1"/>
          <w:szCs w:val="23"/>
          <w:lang w:val="en"/>
        </w:rPr>
        <w:t xml:space="preserve">Innovation Square, </w:t>
      </w:r>
      <w:r w:rsidR="00E803B8" w:rsidRPr="001E29C2">
        <w:rPr>
          <w:color w:val="000000" w:themeColor="text1"/>
          <w:szCs w:val="23"/>
          <w:lang w:val="en"/>
        </w:rPr>
        <w:t xml:space="preserve">our 133-apartment </w:t>
      </w:r>
      <w:r w:rsidR="00461C32" w:rsidRPr="001E29C2">
        <w:rPr>
          <w:color w:val="000000" w:themeColor="text1"/>
          <w:szCs w:val="23"/>
          <w:lang w:val="en"/>
        </w:rPr>
        <w:t>d</w:t>
      </w:r>
      <w:r w:rsidR="00E803B8" w:rsidRPr="001E29C2">
        <w:rPr>
          <w:color w:val="000000" w:themeColor="text1"/>
          <w:szCs w:val="23"/>
          <w:lang w:val="en"/>
        </w:rPr>
        <w:t xml:space="preserve">evelopment </w:t>
      </w:r>
      <w:r w:rsidR="000879E6" w:rsidRPr="001E29C2">
        <w:rPr>
          <w:color w:val="000000" w:themeColor="text1"/>
          <w:szCs w:val="23"/>
          <w:lang w:val="en"/>
        </w:rPr>
        <w:t>which is t</w:t>
      </w:r>
      <w:r w:rsidR="00141FA3" w:rsidRPr="001E29C2">
        <w:rPr>
          <w:color w:val="000000" w:themeColor="text1"/>
          <w:szCs w:val="23"/>
          <w:lang w:val="en"/>
        </w:rPr>
        <w:t>he first local authority funded standalone cost rental development in Ireland</w:t>
      </w:r>
      <w:r w:rsidR="000879E6" w:rsidRPr="001E29C2">
        <w:rPr>
          <w:color w:val="000000" w:themeColor="text1"/>
          <w:szCs w:val="23"/>
          <w:lang w:val="en"/>
        </w:rPr>
        <w:t xml:space="preserve">, </w:t>
      </w:r>
      <w:r>
        <w:rPr>
          <w:color w:val="000000" w:themeColor="text1"/>
          <w:szCs w:val="23"/>
          <w:lang w:val="en"/>
        </w:rPr>
        <w:t>with these homes</w:t>
      </w:r>
      <w:r w:rsidR="004E69A9">
        <w:rPr>
          <w:color w:val="000000" w:themeColor="text1"/>
          <w:szCs w:val="23"/>
          <w:lang w:val="en"/>
        </w:rPr>
        <w:t xml:space="preserve">, situated </w:t>
      </w:r>
      <w:r w:rsidR="004E69A9" w:rsidRPr="001E29C2">
        <w:rPr>
          <w:color w:val="000000" w:themeColor="text1"/>
          <w:szCs w:val="23"/>
        </w:rPr>
        <w:t xml:space="preserve">in </w:t>
      </w:r>
      <w:r w:rsidR="004E69A9">
        <w:rPr>
          <w:color w:val="000000" w:themeColor="text1"/>
          <w:szCs w:val="23"/>
        </w:rPr>
        <w:t xml:space="preserve">the </w:t>
      </w:r>
      <w:r w:rsidR="004E69A9" w:rsidRPr="001E29C2">
        <w:rPr>
          <w:color w:val="000000" w:themeColor="text1"/>
          <w:szCs w:val="23"/>
        </w:rPr>
        <w:t xml:space="preserve">new </w:t>
      </w:r>
      <w:r w:rsidR="004E69A9" w:rsidRPr="00163924">
        <w:rPr>
          <w:color w:val="000000" w:themeColor="text1"/>
          <w:szCs w:val="23"/>
        </w:rPr>
        <w:lastRenderedPageBreak/>
        <w:t xml:space="preserve">Innovation Square urban district of Tallaght, </w:t>
      </w:r>
      <w:r w:rsidR="0004064D" w:rsidRPr="00163924">
        <w:rPr>
          <w:color w:val="000000" w:themeColor="text1"/>
          <w:szCs w:val="23"/>
        </w:rPr>
        <w:t xml:space="preserve">due to be fully completed and </w:t>
      </w:r>
      <w:r w:rsidRPr="00163924">
        <w:rPr>
          <w:color w:val="000000" w:themeColor="text1"/>
          <w:szCs w:val="23"/>
          <w:lang w:val="en"/>
        </w:rPr>
        <w:t xml:space="preserve">launched to the market </w:t>
      </w:r>
      <w:r w:rsidR="008B1EF3" w:rsidRPr="00163924">
        <w:rPr>
          <w:color w:val="000000" w:themeColor="text1"/>
          <w:szCs w:val="23"/>
          <w:lang w:val="en"/>
        </w:rPr>
        <w:t xml:space="preserve">in Q1 2025 </w:t>
      </w:r>
      <w:r w:rsidR="002D730E" w:rsidRPr="00163924">
        <w:rPr>
          <w:color w:val="000000" w:themeColor="text1"/>
          <w:szCs w:val="23"/>
          <w:lang w:val="en"/>
        </w:rPr>
        <w:t xml:space="preserve">with </w:t>
      </w:r>
      <w:r w:rsidR="00203AFE" w:rsidRPr="00163924">
        <w:rPr>
          <w:color w:val="000000" w:themeColor="text1"/>
          <w:szCs w:val="23"/>
          <w:lang w:val="en"/>
        </w:rPr>
        <w:t xml:space="preserve">rents </w:t>
      </w:r>
      <w:r w:rsidR="002D730E" w:rsidRPr="00163924">
        <w:rPr>
          <w:color w:val="000000" w:themeColor="text1"/>
          <w:szCs w:val="23"/>
          <w:lang w:val="en"/>
        </w:rPr>
        <w:t>discounted by more than 25%.</w:t>
      </w:r>
    </w:p>
    <w:p w14:paraId="45AA0447" w14:textId="6281E7E5" w:rsidR="00141FA3" w:rsidRPr="00163924" w:rsidRDefault="00141FA3">
      <w:pPr>
        <w:pStyle w:val="ListParagraph"/>
        <w:numPr>
          <w:ilvl w:val="0"/>
          <w:numId w:val="33"/>
        </w:numPr>
        <w:spacing w:after="0" w:line="276" w:lineRule="auto"/>
        <w:rPr>
          <w:color w:val="000000" w:themeColor="text1"/>
          <w:szCs w:val="23"/>
          <w:lang w:val="en-US"/>
        </w:rPr>
      </w:pPr>
      <w:proofErr w:type="spellStart"/>
      <w:r w:rsidRPr="00163924">
        <w:rPr>
          <w:color w:val="000000" w:themeColor="text1"/>
          <w:szCs w:val="23"/>
        </w:rPr>
        <w:t>Pre-planning</w:t>
      </w:r>
      <w:proofErr w:type="spellEnd"/>
      <w:r w:rsidR="008B1EF3" w:rsidRPr="00163924">
        <w:rPr>
          <w:color w:val="000000" w:themeColor="text1"/>
          <w:szCs w:val="23"/>
        </w:rPr>
        <w:t xml:space="preserve"> </w:t>
      </w:r>
      <w:r w:rsidRPr="00163924">
        <w:rPr>
          <w:color w:val="000000" w:themeColor="text1"/>
          <w:szCs w:val="23"/>
        </w:rPr>
        <w:t>compliances were</w:t>
      </w:r>
      <w:r w:rsidR="008B1EF3" w:rsidRPr="00163924">
        <w:rPr>
          <w:color w:val="000000" w:themeColor="text1"/>
          <w:szCs w:val="23"/>
        </w:rPr>
        <w:t xml:space="preserve"> </w:t>
      </w:r>
      <w:r w:rsidRPr="00163924">
        <w:rPr>
          <w:color w:val="000000" w:themeColor="text1"/>
          <w:szCs w:val="23"/>
        </w:rPr>
        <w:t>completed and enabling works</w:t>
      </w:r>
      <w:r w:rsidR="008B1EF3" w:rsidRPr="00163924">
        <w:rPr>
          <w:color w:val="000000" w:themeColor="text1"/>
          <w:szCs w:val="23"/>
        </w:rPr>
        <w:t xml:space="preserve"> </w:t>
      </w:r>
      <w:r w:rsidRPr="00163924">
        <w:rPr>
          <w:color w:val="000000" w:themeColor="text1"/>
          <w:szCs w:val="23"/>
        </w:rPr>
        <w:t xml:space="preserve">commenced on site </w:t>
      </w:r>
      <w:r w:rsidRPr="00163924">
        <w:rPr>
          <w:color w:val="000000" w:themeColor="text1"/>
          <w:szCs w:val="23"/>
          <w:lang w:val="en-US"/>
        </w:rPr>
        <w:t xml:space="preserve">for </w:t>
      </w:r>
      <w:r w:rsidR="00706005" w:rsidRPr="00163924">
        <w:rPr>
          <w:color w:val="000000" w:themeColor="text1"/>
          <w:szCs w:val="23"/>
          <w:lang w:val="en-US"/>
        </w:rPr>
        <w:t>620</w:t>
      </w:r>
      <w:r w:rsidRPr="00163924">
        <w:rPr>
          <w:color w:val="000000" w:themeColor="text1"/>
          <w:szCs w:val="23"/>
          <w:lang w:val="en-US"/>
        </w:rPr>
        <w:t xml:space="preserve"> new private, social and affordable homes in the Killinarden Foothills joint venture project</w:t>
      </w:r>
      <w:r w:rsidR="0015511C" w:rsidRPr="00163924">
        <w:rPr>
          <w:color w:val="000000" w:themeColor="text1"/>
          <w:szCs w:val="23"/>
          <w:lang w:val="en-US"/>
        </w:rPr>
        <w:t xml:space="preserve"> while </w:t>
      </w:r>
      <w:r w:rsidR="00163924" w:rsidRPr="00163924">
        <w:rPr>
          <w:color w:val="000000" w:themeColor="text1"/>
          <w:szCs w:val="23"/>
          <w:lang w:val="en-US"/>
        </w:rPr>
        <w:t xml:space="preserve">consultants have been appointed to progress </w:t>
      </w:r>
      <w:r w:rsidRPr="00163924">
        <w:rPr>
          <w:color w:val="000000" w:themeColor="text1"/>
          <w:szCs w:val="23"/>
          <w:lang w:val="en-US"/>
        </w:rPr>
        <w:t>the Rathcoole Masterplan through to a Part 10 planning application</w:t>
      </w:r>
      <w:r w:rsidR="00163924" w:rsidRPr="00163924">
        <w:rPr>
          <w:color w:val="000000" w:themeColor="text1"/>
          <w:szCs w:val="23"/>
          <w:lang w:val="en-US"/>
        </w:rPr>
        <w:t xml:space="preserve"> in 2025</w:t>
      </w:r>
      <w:r w:rsidRPr="00163924">
        <w:rPr>
          <w:color w:val="000000" w:themeColor="text1"/>
          <w:szCs w:val="23"/>
          <w:lang w:val="en-US"/>
        </w:rPr>
        <w:t>.</w:t>
      </w:r>
    </w:p>
    <w:p w14:paraId="2672F275" w14:textId="53C84465" w:rsidR="00141FA3" w:rsidRPr="000F0EBB" w:rsidRDefault="00B651EC" w:rsidP="006F3C79">
      <w:pPr>
        <w:pStyle w:val="ListParagraph"/>
        <w:numPr>
          <w:ilvl w:val="0"/>
          <w:numId w:val="33"/>
        </w:numPr>
        <w:spacing w:after="0" w:line="276" w:lineRule="auto"/>
        <w:rPr>
          <w:rFonts w:eastAsia="Times New Roman"/>
          <w:color w:val="auto"/>
          <w:szCs w:val="23"/>
        </w:rPr>
      </w:pPr>
      <w:r>
        <w:rPr>
          <w:rFonts w:eastAsia="Times New Roman"/>
          <w:color w:val="000000" w:themeColor="text1"/>
          <w:kern w:val="0"/>
          <w:szCs w:val="23"/>
          <w14:ligatures w14:val="none"/>
        </w:rPr>
        <w:t xml:space="preserve">New homes were </w:t>
      </w:r>
      <w:proofErr w:type="gramStart"/>
      <w:r>
        <w:rPr>
          <w:rFonts w:eastAsia="Times New Roman"/>
          <w:color w:val="000000" w:themeColor="text1"/>
          <w:kern w:val="0"/>
          <w:szCs w:val="23"/>
          <w14:ligatures w14:val="none"/>
        </w:rPr>
        <w:t>completed</w:t>
      </w:r>
      <w:proofErr w:type="gramEnd"/>
      <w:r>
        <w:rPr>
          <w:rFonts w:eastAsia="Times New Roman"/>
          <w:color w:val="000000" w:themeColor="text1"/>
          <w:kern w:val="0"/>
          <w:szCs w:val="23"/>
          <w14:ligatures w14:val="none"/>
        </w:rPr>
        <w:t xml:space="preserve"> and allocations progressed on social </w:t>
      </w:r>
      <w:r w:rsidR="00141FA3" w:rsidRPr="00163924">
        <w:rPr>
          <w:rFonts w:eastAsia="Times New Roman"/>
          <w:color w:val="000000" w:themeColor="text1"/>
          <w:kern w:val="0"/>
          <w:szCs w:val="23"/>
          <w14:ligatures w14:val="none"/>
        </w:rPr>
        <w:t>housing developments</w:t>
      </w:r>
      <w:r w:rsidR="00141FA3" w:rsidRPr="000F0EBB">
        <w:rPr>
          <w:rFonts w:eastAsia="Times New Roman"/>
          <w:color w:val="000000" w:themeColor="text1"/>
          <w:kern w:val="0"/>
          <w:szCs w:val="23"/>
          <w14:ligatures w14:val="none"/>
        </w:rPr>
        <w:t xml:space="preserve"> at </w:t>
      </w:r>
      <w:proofErr w:type="spellStart"/>
      <w:r w:rsidR="00141FA3" w:rsidRPr="000F0EBB">
        <w:rPr>
          <w:rFonts w:eastAsia="Times New Roman"/>
          <w:color w:val="000000" w:themeColor="text1"/>
          <w:szCs w:val="23"/>
        </w:rPr>
        <w:t>Balgaddy</w:t>
      </w:r>
      <w:proofErr w:type="spellEnd"/>
      <w:r w:rsidR="00141FA3" w:rsidRPr="000F0EBB">
        <w:rPr>
          <w:rFonts w:eastAsia="Times New Roman"/>
          <w:color w:val="000000" w:themeColor="text1"/>
          <w:szCs w:val="23"/>
        </w:rPr>
        <w:t xml:space="preserve">, New </w:t>
      </w:r>
      <w:proofErr w:type="spellStart"/>
      <w:r w:rsidR="00141FA3" w:rsidRPr="000F0EBB">
        <w:rPr>
          <w:rFonts w:eastAsia="Times New Roman"/>
          <w:color w:val="000000" w:themeColor="text1"/>
          <w:szCs w:val="23"/>
        </w:rPr>
        <w:t>Nangor</w:t>
      </w:r>
      <w:proofErr w:type="spellEnd"/>
      <w:r w:rsidR="00141FA3" w:rsidRPr="000F0EBB">
        <w:rPr>
          <w:rFonts w:eastAsia="Times New Roman"/>
          <w:color w:val="000000" w:themeColor="text1"/>
          <w:szCs w:val="23"/>
        </w:rPr>
        <w:t xml:space="preserve"> Road and Lindisfarne</w:t>
      </w:r>
      <w:r w:rsidR="00141FA3" w:rsidRPr="000F0EBB">
        <w:rPr>
          <w:rFonts w:eastAsia="Times New Roman"/>
          <w:color w:val="000000" w:themeColor="text1"/>
          <w:kern w:val="0"/>
          <w:szCs w:val="23"/>
          <w14:ligatures w14:val="none"/>
        </w:rPr>
        <w:t xml:space="preserve">.  Construction is ongoing at </w:t>
      </w:r>
      <w:proofErr w:type="spellStart"/>
      <w:r w:rsidR="00141FA3" w:rsidRPr="000F0EBB">
        <w:rPr>
          <w:rFonts w:eastAsia="Times New Roman"/>
          <w:color w:val="000000" w:themeColor="text1"/>
          <w:kern w:val="0"/>
          <w:szCs w:val="23"/>
          <w14:ligatures w14:val="none"/>
        </w:rPr>
        <w:t>Homeville</w:t>
      </w:r>
      <w:proofErr w:type="spellEnd"/>
      <w:r w:rsidR="00141FA3" w:rsidRPr="000F0EBB">
        <w:rPr>
          <w:rFonts w:eastAsia="Times New Roman"/>
          <w:color w:val="000000" w:themeColor="text1"/>
          <w:kern w:val="0"/>
          <w:szCs w:val="23"/>
          <w14:ligatures w14:val="none"/>
        </w:rPr>
        <w:t xml:space="preserve"> and St. </w:t>
      </w:r>
      <w:proofErr w:type="spellStart"/>
      <w:r w:rsidR="00141FA3" w:rsidRPr="000F0EBB">
        <w:rPr>
          <w:rFonts w:eastAsia="Times New Roman"/>
          <w:color w:val="000000" w:themeColor="text1"/>
          <w:kern w:val="0"/>
          <w:szCs w:val="23"/>
          <w14:ligatures w14:val="none"/>
        </w:rPr>
        <w:t>Aongus</w:t>
      </w:r>
      <w:proofErr w:type="spellEnd"/>
      <w:r w:rsidR="00141FA3" w:rsidRPr="000F0EBB">
        <w:rPr>
          <w:rFonts w:eastAsia="Times New Roman"/>
          <w:color w:val="000000" w:themeColor="text1"/>
          <w:kern w:val="0"/>
          <w:szCs w:val="23"/>
          <w14:ligatures w14:val="none"/>
        </w:rPr>
        <w:t xml:space="preserve"> Green</w:t>
      </w:r>
      <w:r>
        <w:rPr>
          <w:rFonts w:eastAsia="Times New Roman"/>
          <w:color w:val="000000" w:themeColor="text1"/>
          <w:kern w:val="0"/>
          <w:szCs w:val="23"/>
          <w14:ligatures w14:val="none"/>
        </w:rPr>
        <w:t xml:space="preserve"> and co</w:t>
      </w:r>
      <w:r w:rsidR="00141FA3" w:rsidRPr="000F0EBB">
        <w:rPr>
          <w:rFonts w:eastAsia="Times New Roman"/>
          <w:color w:val="000000" w:themeColor="text1"/>
          <w:kern w:val="0"/>
          <w:szCs w:val="23"/>
          <w14:ligatures w14:val="none"/>
        </w:rPr>
        <w:t xml:space="preserve">ntractors </w:t>
      </w:r>
      <w:r>
        <w:rPr>
          <w:rFonts w:eastAsia="Times New Roman"/>
          <w:color w:val="000000" w:themeColor="text1"/>
          <w:kern w:val="0"/>
          <w:szCs w:val="23"/>
          <w14:ligatures w14:val="none"/>
        </w:rPr>
        <w:t xml:space="preserve">were </w:t>
      </w:r>
      <w:r w:rsidR="00141FA3" w:rsidRPr="000F0EBB">
        <w:rPr>
          <w:rFonts w:eastAsia="Times New Roman"/>
          <w:color w:val="auto"/>
          <w:kern w:val="0"/>
          <w:szCs w:val="23"/>
          <w14:ligatures w14:val="none"/>
        </w:rPr>
        <w:t>appointed</w:t>
      </w:r>
      <w:r>
        <w:rPr>
          <w:rFonts w:eastAsia="Times New Roman"/>
          <w:color w:val="auto"/>
          <w:kern w:val="0"/>
          <w:szCs w:val="23"/>
          <w14:ligatures w14:val="none"/>
        </w:rPr>
        <w:t xml:space="preserve"> for Part 8 </w:t>
      </w:r>
      <w:r w:rsidR="00141FA3" w:rsidRPr="000F0EBB">
        <w:rPr>
          <w:rFonts w:eastAsia="Times New Roman"/>
          <w:color w:val="auto"/>
          <w:kern w:val="0"/>
          <w:szCs w:val="23"/>
          <w14:ligatures w14:val="none"/>
        </w:rPr>
        <w:t>approved developments at St. Ronan’s Crescent and Pearse Brothers Park</w:t>
      </w:r>
      <w:r>
        <w:rPr>
          <w:rFonts w:eastAsia="Times New Roman"/>
          <w:color w:val="auto"/>
          <w:kern w:val="0"/>
          <w:szCs w:val="23"/>
          <w14:ligatures w14:val="none"/>
        </w:rPr>
        <w:t>.</w:t>
      </w:r>
    </w:p>
    <w:p w14:paraId="22CC441A" w14:textId="3E8DCCE2" w:rsidR="00141FA3" w:rsidRPr="000F0EBB" w:rsidRDefault="00141FA3" w:rsidP="006F3C79">
      <w:pPr>
        <w:pStyle w:val="ListParagraph"/>
        <w:numPr>
          <w:ilvl w:val="0"/>
          <w:numId w:val="33"/>
        </w:numPr>
        <w:spacing w:after="0" w:line="276" w:lineRule="auto"/>
        <w:rPr>
          <w:rFonts w:eastAsia="Times New Roman"/>
          <w:color w:val="000000" w:themeColor="text1"/>
          <w:lang w:val="en-US"/>
        </w:rPr>
      </w:pPr>
      <w:r w:rsidRPr="74AAE379">
        <w:rPr>
          <w:rFonts w:eastAsia="Times New Roman"/>
          <w:color w:val="000000" w:themeColor="text1"/>
          <w:kern w:val="0"/>
          <w:lang w:val="en-US"/>
          <w14:ligatures w14:val="none"/>
        </w:rPr>
        <w:t>Seven proposed housing developments were advertised under Section 179A temporary planning exemption for social and affordable housing</w:t>
      </w:r>
      <w:r w:rsidR="0032678F" w:rsidRPr="74AAE379">
        <w:rPr>
          <w:rFonts w:eastAsia="Times New Roman"/>
          <w:color w:val="000000" w:themeColor="text1"/>
          <w:kern w:val="0"/>
          <w:lang w:val="en-US"/>
          <w14:ligatures w14:val="none"/>
        </w:rPr>
        <w:t xml:space="preserve"> with c</w:t>
      </w:r>
      <w:r w:rsidRPr="74AAE379">
        <w:rPr>
          <w:rFonts w:eastAsia="Times New Roman"/>
          <w:color w:val="000000" w:themeColor="text1"/>
          <w:kern w:val="0"/>
          <w:lang w:val="en-US"/>
          <w14:ligatures w14:val="none"/>
        </w:rPr>
        <w:t>onstruction</w:t>
      </w:r>
      <w:r w:rsidR="0032678F" w:rsidRPr="74AAE379">
        <w:rPr>
          <w:rFonts w:eastAsia="Times New Roman"/>
          <w:color w:val="000000" w:themeColor="text1"/>
          <w:kern w:val="0"/>
          <w:lang w:val="en-US"/>
          <w14:ligatures w14:val="none"/>
        </w:rPr>
        <w:t>/</w:t>
      </w:r>
      <w:r w:rsidRPr="74AAE379">
        <w:rPr>
          <w:rFonts w:eastAsia="Times New Roman"/>
          <w:color w:val="000000" w:themeColor="text1"/>
          <w:kern w:val="0"/>
          <w:lang w:val="en-US"/>
          <w14:ligatures w14:val="none"/>
        </w:rPr>
        <w:t>enabling works commenced on six sites</w:t>
      </w:r>
      <w:r w:rsidR="0032678F" w:rsidRPr="74AAE379">
        <w:rPr>
          <w:rFonts w:eastAsia="Times New Roman"/>
          <w:color w:val="000000" w:themeColor="text1"/>
          <w:kern w:val="0"/>
          <w:lang w:val="en-US"/>
          <w14:ligatures w14:val="none"/>
        </w:rPr>
        <w:t xml:space="preserve"> by year end and one proposed </w:t>
      </w:r>
      <w:r w:rsidR="6CF60F9F" w:rsidRPr="74AAE379">
        <w:rPr>
          <w:rFonts w:eastAsia="Times New Roman"/>
          <w:color w:val="000000" w:themeColor="text1"/>
          <w:kern w:val="0"/>
          <w:lang w:val="en-US"/>
          <w14:ligatures w14:val="none"/>
        </w:rPr>
        <w:t>develop</w:t>
      </w:r>
      <w:r w:rsidR="05ED384F" w:rsidRPr="74AAE379">
        <w:rPr>
          <w:rFonts w:eastAsia="Times New Roman"/>
          <w:color w:val="000000" w:themeColor="text1"/>
          <w:kern w:val="0"/>
          <w:lang w:val="en-US"/>
          <w14:ligatures w14:val="none"/>
        </w:rPr>
        <w:t>ment</w:t>
      </w:r>
      <w:r w:rsidR="0032678F" w:rsidRPr="74AAE379">
        <w:rPr>
          <w:rFonts w:eastAsia="Times New Roman"/>
          <w:color w:val="000000" w:themeColor="text1"/>
          <w:kern w:val="0"/>
          <w:lang w:val="en-US"/>
          <w14:ligatures w14:val="none"/>
        </w:rPr>
        <w:t xml:space="preserve"> delayed due to </w:t>
      </w:r>
      <w:r w:rsidRPr="74AAE379">
        <w:rPr>
          <w:rFonts w:eastAsia="Times New Roman"/>
          <w:color w:val="000000" w:themeColor="text1"/>
          <w:kern w:val="0"/>
          <w14:ligatures w14:val="none"/>
        </w:rPr>
        <w:t>legal proceedings</w:t>
      </w:r>
      <w:r w:rsidR="0032678F" w:rsidRPr="74AAE379">
        <w:rPr>
          <w:rFonts w:eastAsia="Times New Roman"/>
          <w:color w:val="000000" w:themeColor="text1"/>
          <w:kern w:val="0"/>
          <w:lang w:val="en-US"/>
          <w14:ligatures w14:val="none"/>
        </w:rPr>
        <w:t>.</w:t>
      </w:r>
    </w:p>
    <w:p w14:paraId="115D6BDF" w14:textId="2156355B" w:rsidR="00141FA3" w:rsidRPr="000F0EBB" w:rsidRDefault="00141FA3" w:rsidP="006F3C79">
      <w:pPr>
        <w:pStyle w:val="ListParagraph"/>
        <w:numPr>
          <w:ilvl w:val="0"/>
          <w:numId w:val="33"/>
        </w:numPr>
        <w:spacing w:after="0" w:line="276" w:lineRule="auto"/>
        <w:rPr>
          <w:rFonts w:eastAsia="Times New Roman"/>
          <w:color w:val="000000" w:themeColor="text1"/>
          <w:szCs w:val="23"/>
          <w:lang w:val="en-US"/>
        </w:rPr>
      </w:pPr>
      <w:r w:rsidRPr="000F0EBB">
        <w:rPr>
          <w:rFonts w:eastAsia="Times New Roman"/>
          <w:color w:val="000000" w:themeColor="text1"/>
          <w:kern w:val="0"/>
          <w:szCs w:val="23"/>
          <w:lang w:val="en-US"/>
          <w14:ligatures w14:val="none"/>
        </w:rPr>
        <w:t xml:space="preserve">Seven homes were delivered </w:t>
      </w:r>
      <w:proofErr w:type="gramStart"/>
      <w:r w:rsidR="0032678F">
        <w:rPr>
          <w:rFonts w:eastAsia="Times New Roman"/>
          <w:color w:val="000000" w:themeColor="text1"/>
          <w:kern w:val="0"/>
          <w:szCs w:val="23"/>
          <w:lang w:val="en-US"/>
          <w14:ligatures w14:val="none"/>
        </w:rPr>
        <w:t>in</w:t>
      </w:r>
      <w:proofErr w:type="gramEnd"/>
      <w:r w:rsidR="0032678F">
        <w:rPr>
          <w:rFonts w:eastAsia="Times New Roman"/>
          <w:color w:val="000000" w:themeColor="text1"/>
          <w:kern w:val="0"/>
          <w:szCs w:val="23"/>
          <w:lang w:val="en-US"/>
          <w14:ligatures w14:val="none"/>
        </w:rPr>
        <w:t xml:space="preserve"> </w:t>
      </w:r>
      <w:r w:rsidRPr="000F0EBB">
        <w:rPr>
          <w:rFonts w:eastAsia="Times New Roman"/>
          <w:color w:val="000000" w:themeColor="text1"/>
          <w:kern w:val="0"/>
          <w:szCs w:val="23"/>
          <w:lang w:val="en-US"/>
          <w14:ligatures w14:val="none"/>
        </w:rPr>
        <w:t xml:space="preserve">a new </w:t>
      </w:r>
      <w:r w:rsidR="00B651EC">
        <w:rPr>
          <w:rFonts w:eastAsia="Times New Roman"/>
          <w:color w:val="000000" w:themeColor="text1"/>
          <w:kern w:val="0"/>
          <w:szCs w:val="23"/>
          <w:lang w:val="en-US"/>
          <w14:ligatures w14:val="none"/>
        </w:rPr>
        <w:t xml:space="preserve">Traveller </w:t>
      </w:r>
      <w:r w:rsidRPr="000F0EBB">
        <w:rPr>
          <w:rFonts w:eastAsia="Times New Roman"/>
          <w:color w:val="000000" w:themeColor="text1"/>
          <w:kern w:val="0"/>
          <w:szCs w:val="23"/>
          <w:lang w:val="en-US"/>
          <w14:ligatures w14:val="none"/>
        </w:rPr>
        <w:t>group housing scheme at Fonthill.</w:t>
      </w:r>
    </w:p>
    <w:p w14:paraId="69CDC49C" w14:textId="77777777" w:rsidR="004A021E" w:rsidRPr="000F0EBB" w:rsidRDefault="004A021E" w:rsidP="000C6B6B">
      <w:pPr>
        <w:spacing w:after="0" w:line="276" w:lineRule="auto"/>
        <w:ind w:left="0" w:hanging="426"/>
        <w:rPr>
          <w:rFonts w:eastAsia="Times New Roman"/>
          <w:color w:val="auto"/>
          <w:szCs w:val="23"/>
          <w:lang w:val="en-US"/>
        </w:rPr>
      </w:pPr>
    </w:p>
    <w:p w14:paraId="418D0304" w14:textId="77777777" w:rsidR="00141FA3" w:rsidRPr="000F0EBB" w:rsidRDefault="00141FA3" w:rsidP="3966637E">
      <w:pPr>
        <w:spacing w:after="0" w:line="276" w:lineRule="auto"/>
        <w:ind w:left="0" w:firstLine="0"/>
        <w:textAlignment w:val="baseline"/>
        <w:rPr>
          <w:rFonts w:eastAsia="Times New Roman"/>
          <w:b/>
          <w:bCs/>
          <w:color w:val="000000" w:themeColor="text1"/>
          <w:kern w:val="0"/>
          <w:lang w:val="en-US"/>
          <w14:ligatures w14:val="none"/>
        </w:rPr>
      </w:pPr>
      <w:r w:rsidRPr="3966637E">
        <w:rPr>
          <w:rFonts w:eastAsia="Times New Roman"/>
          <w:b/>
          <w:bCs/>
          <w:color w:val="000000" w:themeColor="text1"/>
          <w:kern w:val="0"/>
          <w:lang w:val="en-US"/>
          <w14:ligatures w14:val="none"/>
        </w:rPr>
        <w:t xml:space="preserve">Provide optimal and innovative housing management, </w:t>
      </w:r>
      <w:proofErr w:type="gramStart"/>
      <w:r w:rsidRPr="3966637E">
        <w:rPr>
          <w:rFonts w:eastAsia="Times New Roman"/>
          <w:b/>
          <w:bCs/>
          <w:color w:val="000000" w:themeColor="text1"/>
          <w:kern w:val="0"/>
          <w:lang w:val="en-US"/>
          <w14:ligatures w14:val="none"/>
        </w:rPr>
        <w:t>supports</w:t>
      </w:r>
      <w:proofErr w:type="gramEnd"/>
      <w:r w:rsidRPr="3966637E">
        <w:rPr>
          <w:rFonts w:eastAsia="Times New Roman"/>
          <w:b/>
          <w:bCs/>
          <w:color w:val="000000" w:themeColor="text1"/>
          <w:kern w:val="0"/>
          <w:lang w:val="en-US"/>
          <w14:ligatures w14:val="none"/>
        </w:rPr>
        <w:t xml:space="preserve"> and regulations for better tenancies and estates</w:t>
      </w:r>
    </w:p>
    <w:p w14:paraId="3C6E82C4" w14:textId="10C0E0E4" w:rsidR="00141FA3" w:rsidRPr="000F0EBB" w:rsidRDefault="00141FA3" w:rsidP="3966637E">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lang w:val="en-GB"/>
          <w14:ligatures w14:val="none"/>
        </w:rPr>
      </w:pPr>
      <w:r w:rsidRPr="3966637E">
        <w:rPr>
          <w:rFonts w:eastAsia="Times New Roman"/>
          <w:color w:val="000000" w:themeColor="text1"/>
          <w:kern w:val="0"/>
          <w:lang w:val="en"/>
          <w14:ligatures w14:val="none"/>
        </w:rPr>
        <w:t xml:space="preserve">We continued to manage and maintain our social housing stock of </w:t>
      </w:r>
      <w:r w:rsidR="00BD5142">
        <w:rPr>
          <w:rFonts w:eastAsia="Times New Roman"/>
          <w:color w:val="000000" w:themeColor="text1"/>
          <w:kern w:val="0"/>
          <w:lang w:val="en"/>
          <w14:ligatures w14:val="none"/>
        </w:rPr>
        <w:t>10,302</w:t>
      </w:r>
      <w:r w:rsidRPr="3966637E">
        <w:rPr>
          <w:rFonts w:eastAsia="Times New Roman"/>
          <w:color w:val="000000" w:themeColor="text1"/>
          <w:kern w:val="0"/>
          <w:lang w:val="en"/>
          <w14:ligatures w14:val="none"/>
        </w:rPr>
        <w:t xml:space="preserve"> and </w:t>
      </w:r>
      <w:r w:rsidR="793D3AE2" w:rsidRPr="3966637E">
        <w:rPr>
          <w:rFonts w:eastAsia="Times New Roman"/>
          <w:color w:val="000000" w:themeColor="text1"/>
          <w:kern w:val="0"/>
          <w:lang w:val="en"/>
          <w14:ligatures w14:val="none"/>
        </w:rPr>
        <w:t>957</w:t>
      </w:r>
      <w:r w:rsidRPr="3966637E">
        <w:rPr>
          <w:rFonts w:eastAsia="Times New Roman"/>
          <w:color w:val="000000" w:themeColor="text1"/>
          <w:kern w:val="0"/>
          <w:lang w:val="en"/>
          <w14:ligatures w14:val="none"/>
        </w:rPr>
        <w:t xml:space="preserve"> leased properties and supported 4,517 Housing Assistance Payment (HAP) and 737 Rental Accommodation Scheme (RAS) tenancies.</w:t>
      </w:r>
    </w:p>
    <w:p w14:paraId="769B6BD9" w14:textId="0CE1CFDC" w:rsidR="00141FA3" w:rsidRPr="000F0EBB"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szCs w:val="23"/>
          <w:lang w:val="en-GB"/>
          <w14:ligatures w14:val="none"/>
        </w:rPr>
      </w:pPr>
      <w:r w:rsidRPr="000F0EBB">
        <w:rPr>
          <w:rFonts w:eastAsia="Times New Roman"/>
          <w:color w:val="000000" w:themeColor="text1"/>
          <w:kern w:val="0"/>
          <w:szCs w:val="23"/>
          <w:lang w:val="en"/>
          <w14:ligatures w14:val="none"/>
        </w:rPr>
        <w:t>We made 1,24</w:t>
      </w:r>
      <w:r w:rsidR="00950702">
        <w:rPr>
          <w:rFonts w:eastAsia="Times New Roman"/>
          <w:color w:val="000000" w:themeColor="text1"/>
          <w:kern w:val="0"/>
          <w:szCs w:val="23"/>
          <w:lang w:val="en"/>
          <w14:ligatures w14:val="none"/>
        </w:rPr>
        <w:t>5</w:t>
      </w:r>
      <w:r w:rsidRPr="000F0EBB">
        <w:rPr>
          <w:rFonts w:eastAsia="Times New Roman"/>
          <w:color w:val="000000" w:themeColor="text1"/>
          <w:kern w:val="0"/>
          <w:szCs w:val="23"/>
          <w:lang w:val="en"/>
          <w14:ligatures w14:val="none"/>
        </w:rPr>
        <w:t xml:space="preserve"> housing allocations including 267 allocations to homeless households following 341,103 expressions of interest received through our Choice Based Letting system.</w:t>
      </w:r>
    </w:p>
    <w:p w14:paraId="43854B15" w14:textId="1EEE3079" w:rsidR="00141FA3" w:rsidRPr="000F0EBB"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szCs w:val="23"/>
          <w:lang w:val="en-GB"/>
          <w14:ligatures w14:val="none"/>
        </w:rPr>
      </w:pPr>
      <w:r w:rsidRPr="000F0EBB">
        <w:rPr>
          <w:color w:val="000000" w:themeColor="text1"/>
          <w:szCs w:val="23"/>
        </w:rPr>
        <w:t>118 properties were purchased under the tenant-in situ acquisition scheme with a further 71 progressed to sale agreed/conveyancing.</w:t>
      </w:r>
    </w:p>
    <w:p w14:paraId="6B9E4A28" w14:textId="6AD33370" w:rsidR="00141FA3" w:rsidRPr="000F0EBB"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szCs w:val="23"/>
          <w:lang w:val="en-GB"/>
          <w14:ligatures w14:val="none"/>
        </w:rPr>
      </w:pPr>
      <w:r w:rsidRPr="000F0EBB">
        <w:rPr>
          <w:rFonts w:eastAsia="Times New Roman"/>
          <w:color w:val="000000" w:themeColor="text1"/>
          <w:kern w:val="0"/>
          <w:szCs w:val="23"/>
          <w:lang w:val="en"/>
          <w14:ligatures w14:val="none"/>
        </w:rPr>
        <w:t>3,287 new applications for social housing support were received a</w:t>
      </w:r>
      <w:r w:rsidR="006347C6">
        <w:rPr>
          <w:rFonts w:eastAsia="Times New Roman"/>
          <w:color w:val="000000" w:themeColor="text1"/>
          <w:kern w:val="0"/>
          <w:szCs w:val="23"/>
          <w:lang w:val="en"/>
          <w14:ligatures w14:val="none"/>
        </w:rPr>
        <w:t xml:space="preserve">long with </w:t>
      </w:r>
      <w:r w:rsidRPr="000F0EBB">
        <w:rPr>
          <w:rFonts w:eastAsia="Times New Roman"/>
          <w:color w:val="000000" w:themeColor="text1"/>
          <w:kern w:val="0"/>
          <w:szCs w:val="23"/>
          <w:lang w:val="en"/>
          <w14:ligatures w14:val="none"/>
        </w:rPr>
        <w:t>191 rightsizing applications from social housing tenants and private homeowners</w:t>
      </w:r>
      <w:r w:rsidR="006347C6">
        <w:rPr>
          <w:rFonts w:eastAsia="Times New Roman"/>
          <w:color w:val="000000" w:themeColor="text1"/>
          <w:kern w:val="0"/>
          <w:szCs w:val="23"/>
          <w:lang w:val="en"/>
          <w14:ligatures w14:val="none"/>
        </w:rPr>
        <w:t>.</w:t>
      </w:r>
    </w:p>
    <w:p w14:paraId="328FBF18" w14:textId="285C1459" w:rsidR="00141FA3" w:rsidRPr="000F0EBB"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szCs w:val="23"/>
          <w:lang w:val="en"/>
          <w14:ligatures w14:val="none"/>
        </w:rPr>
      </w:pPr>
      <w:r w:rsidRPr="000F0EBB">
        <w:rPr>
          <w:rFonts w:eastAsia="Times New Roman"/>
          <w:color w:val="000000" w:themeColor="text1"/>
          <w:kern w:val="0"/>
          <w:szCs w:val="23"/>
          <w:lang w:val="en"/>
          <w14:ligatures w14:val="none"/>
        </w:rPr>
        <w:t>1,092 household</w:t>
      </w:r>
      <w:r w:rsidR="00B26057">
        <w:rPr>
          <w:rFonts w:eastAsia="Times New Roman"/>
          <w:color w:val="000000" w:themeColor="text1"/>
          <w:kern w:val="0"/>
          <w:szCs w:val="23"/>
          <w:lang w:val="en"/>
          <w14:ligatures w14:val="none"/>
        </w:rPr>
        <w:t>s p</w:t>
      </w:r>
      <w:r w:rsidRPr="000F0EBB">
        <w:rPr>
          <w:rFonts w:eastAsia="Times New Roman"/>
          <w:color w:val="000000" w:themeColor="text1"/>
          <w:kern w:val="0"/>
          <w:szCs w:val="23"/>
          <w:lang w:val="en"/>
          <w14:ligatures w14:val="none"/>
        </w:rPr>
        <w:t>resent</w:t>
      </w:r>
      <w:r w:rsidR="009516D2">
        <w:rPr>
          <w:rFonts w:eastAsia="Times New Roman"/>
          <w:color w:val="000000" w:themeColor="text1"/>
          <w:kern w:val="0"/>
          <w:szCs w:val="23"/>
          <w:lang w:val="en"/>
          <w14:ligatures w14:val="none"/>
        </w:rPr>
        <w:t xml:space="preserve">ing </w:t>
      </w:r>
      <w:r w:rsidRPr="000F0EBB">
        <w:rPr>
          <w:rFonts w:eastAsia="Times New Roman"/>
          <w:color w:val="000000" w:themeColor="text1"/>
          <w:kern w:val="0"/>
          <w:szCs w:val="23"/>
          <w:lang w:val="en"/>
          <w14:ligatures w14:val="none"/>
        </w:rPr>
        <w:t>to Homeless Services</w:t>
      </w:r>
      <w:r w:rsidR="00B26057" w:rsidRPr="00B26057">
        <w:rPr>
          <w:rFonts w:eastAsia="Times New Roman"/>
          <w:color w:val="000000" w:themeColor="text1"/>
          <w:kern w:val="0"/>
          <w:szCs w:val="23"/>
          <w:lang w:val="en"/>
          <w14:ligatures w14:val="none"/>
        </w:rPr>
        <w:t xml:space="preserve"> </w:t>
      </w:r>
      <w:r w:rsidR="009516D2">
        <w:rPr>
          <w:rFonts w:eastAsia="Times New Roman"/>
          <w:color w:val="000000" w:themeColor="text1"/>
          <w:kern w:val="0"/>
          <w:szCs w:val="23"/>
          <w:lang w:val="en"/>
          <w14:ligatures w14:val="none"/>
        </w:rPr>
        <w:t xml:space="preserve">were </w:t>
      </w:r>
      <w:r w:rsidR="00B26057">
        <w:rPr>
          <w:rFonts w:eastAsia="Times New Roman"/>
          <w:color w:val="000000" w:themeColor="text1"/>
          <w:kern w:val="0"/>
          <w:szCs w:val="23"/>
          <w:lang w:val="en"/>
          <w14:ligatures w14:val="none"/>
        </w:rPr>
        <w:t>supported</w:t>
      </w:r>
      <w:r w:rsidRPr="000F0EBB">
        <w:rPr>
          <w:rFonts w:eastAsia="Times New Roman"/>
          <w:color w:val="000000" w:themeColor="text1"/>
          <w:kern w:val="0"/>
          <w:szCs w:val="23"/>
          <w:lang w:val="en"/>
          <w14:ligatures w14:val="none"/>
        </w:rPr>
        <w:t>.</w:t>
      </w:r>
    </w:p>
    <w:p w14:paraId="4FA2B82F" w14:textId="77777777" w:rsidR="00141FA3" w:rsidRPr="000F0EBB"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szCs w:val="23"/>
          <w:lang w:val="en-GB"/>
          <w14:ligatures w14:val="none"/>
        </w:rPr>
      </w:pPr>
      <w:r w:rsidRPr="000F0EBB">
        <w:rPr>
          <w:rFonts w:eastAsia="Times New Roman"/>
          <w:color w:val="000000" w:themeColor="text1"/>
          <w:kern w:val="0"/>
          <w:szCs w:val="23"/>
          <w:lang w:val="en"/>
          <w14:ligatures w14:val="none"/>
        </w:rPr>
        <w:t>4,772 private rented properties were subject to initial inspections.</w:t>
      </w:r>
    </w:p>
    <w:p w14:paraId="3080D351" w14:textId="77777777" w:rsidR="00141FA3" w:rsidRPr="000F0EBB"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szCs w:val="23"/>
          <w:lang w:val="en-GB"/>
          <w14:ligatures w14:val="none"/>
        </w:rPr>
      </w:pPr>
      <w:r w:rsidRPr="000F0EBB">
        <w:rPr>
          <w:rFonts w:eastAsia="Times New Roman"/>
          <w:color w:val="000000" w:themeColor="text1"/>
          <w:kern w:val="0"/>
          <w:szCs w:val="23"/>
          <w:lang w:val="en"/>
          <w14:ligatures w14:val="none"/>
        </w:rPr>
        <w:t>706 private housing grants were approved, and 161 social housing adaptation works were completed.</w:t>
      </w:r>
    </w:p>
    <w:p w14:paraId="5937A803" w14:textId="4AE62DA2" w:rsidR="00141FA3" w:rsidRPr="009237F1"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szCs w:val="23"/>
          <w:lang w:val="en-GB"/>
          <w14:ligatures w14:val="none"/>
        </w:rPr>
      </w:pPr>
      <w:r w:rsidRPr="000F0EBB">
        <w:rPr>
          <w:rFonts w:eastAsia="Times New Roman"/>
          <w:color w:val="000000" w:themeColor="text1"/>
          <w:kern w:val="0"/>
          <w:szCs w:val="23"/>
          <w:lang w:val="en"/>
          <w14:ligatures w14:val="none"/>
        </w:rPr>
        <w:t xml:space="preserve">97 </w:t>
      </w:r>
      <w:r w:rsidRPr="009237F1">
        <w:rPr>
          <w:rFonts w:eastAsia="Times New Roman"/>
          <w:color w:val="000000" w:themeColor="text1"/>
          <w:kern w:val="0"/>
          <w:szCs w:val="23"/>
          <w:lang w:val="en"/>
          <w14:ligatures w14:val="none"/>
        </w:rPr>
        <w:t>applications were received for the Local Authority Home Loan scheme with €7.67 million provisionally approved to borrowers.</w:t>
      </w:r>
    </w:p>
    <w:p w14:paraId="47354FE9" w14:textId="77777777" w:rsidR="00141FA3" w:rsidRPr="009237F1"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szCs w:val="23"/>
          <w:lang w:val="en-GB"/>
          <w14:ligatures w14:val="none"/>
        </w:rPr>
      </w:pPr>
      <w:r w:rsidRPr="009237F1">
        <w:rPr>
          <w:rFonts w:eastAsia="Times New Roman"/>
          <w:color w:val="000000" w:themeColor="text1"/>
          <w:kern w:val="0"/>
          <w:szCs w:val="23"/>
          <w:lang w:val="en"/>
          <w14:ligatures w14:val="none"/>
        </w:rPr>
        <w:t>We allocated 184 re-let properties at an average turnaround time of 20.64 weeks.</w:t>
      </w:r>
    </w:p>
    <w:p w14:paraId="634768CC" w14:textId="615AD501" w:rsidR="00141FA3" w:rsidRPr="009237F1"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szCs w:val="23"/>
          <w:lang w:val="en-GB"/>
          <w14:ligatures w14:val="none"/>
        </w:rPr>
      </w:pPr>
      <w:r w:rsidRPr="009237F1">
        <w:rPr>
          <w:rFonts w:eastAsia="Times New Roman"/>
          <w:color w:val="000000" w:themeColor="text1"/>
          <w:kern w:val="0"/>
          <w:szCs w:val="23"/>
          <w:lang w:val="en"/>
          <w14:ligatures w14:val="none"/>
        </w:rPr>
        <w:t xml:space="preserve">85 home upgrades were completed under the </w:t>
      </w:r>
      <w:proofErr w:type="gramStart"/>
      <w:r w:rsidR="00FF2F87" w:rsidRPr="009237F1">
        <w:rPr>
          <w:rFonts w:eastAsia="Times New Roman"/>
          <w:color w:val="000000" w:themeColor="text1"/>
          <w:kern w:val="0"/>
          <w:szCs w:val="23"/>
          <w:lang w:val="en"/>
          <w14:ligatures w14:val="none"/>
        </w:rPr>
        <w:t>n</w:t>
      </w:r>
      <w:r w:rsidRPr="009237F1">
        <w:rPr>
          <w:rFonts w:eastAsia="Times New Roman"/>
          <w:color w:val="000000" w:themeColor="text1"/>
          <w:kern w:val="0"/>
          <w:szCs w:val="23"/>
          <w:lang w:val="en"/>
          <w14:ligatures w14:val="none"/>
        </w:rPr>
        <w:t>ational</w:t>
      </w:r>
      <w:proofErr w:type="gramEnd"/>
      <w:r w:rsidRPr="009237F1">
        <w:rPr>
          <w:rFonts w:eastAsia="Times New Roman"/>
          <w:color w:val="000000" w:themeColor="text1"/>
          <w:kern w:val="0"/>
          <w:szCs w:val="23"/>
          <w:lang w:val="en"/>
          <w14:ligatures w14:val="none"/>
        </w:rPr>
        <w:t xml:space="preserve"> Energy Efficiency Retrofit Programme, with a further 263 homes upgraded under our Windows and Doors Programme.</w:t>
      </w:r>
    </w:p>
    <w:p w14:paraId="458C3B11" w14:textId="39272F45" w:rsidR="00141FA3" w:rsidRPr="009237F1"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lang w:val="en-GB"/>
          <w14:ligatures w14:val="none"/>
        </w:rPr>
      </w:pPr>
      <w:r w:rsidRPr="01278718">
        <w:rPr>
          <w:rFonts w:eastAsia="Times New Roman"/>
          <w:color w:val="000000" w:themeColor="text1"/>
          <w:kern w:val="0"/>
          <w:lang w:val="en"/>
          <w14:ligatures w14:val="none"/>
        </w:rPr>
        <w:t>Our new Housing Customer Centre facilitated 1</w:t>
      </w:r>
      <w:r w:rsidR="00D15EF8" w:rsidRPr="01278718">
        <w:rPr>
          <w:rFonts w:eastAsia="Times New Roman"/>
          <w:color w:val="000000" w:themeColor="text1"/>
          <w:kern w:val="0"/>
          <w:lang w:val="en"/>
          <w14:ligatures w14:val="none"/>
        </w:rPr>
        <w:t>,</w:t>
      </w:r>
      <w:r w:rsidRPr="01278718">
        <w:rPr>
          <w:rFonts w:eastAsia="Times New Roman"/>
          <w:color w:val="000000" w:themeColor="text1"/>
          <w:kern w:val="0"/>
          <w:lang w:val="en"/>
          <w14:ligatures w14:val="none"/>
        </w:rPr>
        <w:t xml:space="preserve">893 appointments, and 12,144 housing </w:t>
      </w:r>
      <w:r w:rsidR="00222517" w:rsidRPr="01278718">
        <w:rPr>
          <w:rFonts w:eastAsia="Times New Roman"/>
          <w:color w:val="000000" w:themeColor="text1"/>
          <w:kern w:val="0"/>
          <w:lang w:val="en"/>
          <w14:ligatures w14:val="none"/>
        </w:rPr>
        <w:t>customers</w:t>
      </w:r>
      <w:r w:rsidRPr="01278718">
        <w:rPr>
          <w:rFonts w:eastAsia="Times New Roman"/>
          <w:color w:val="000000" w:themeColor="text1"/>
          <w:kern w:val="0"/>
          <w:lang w:val="en"/>
          <w14:ligatures w14:val="none"/>
        </w:rPr>
        <w:t xml:space="preserve"> are now registered with our Integrated Housing System</w:t>
      </w:r>
      <w:r w:rsidR="00222517" w:rsidRPr="01278718">
        <w:rPr>
          <w:rFonts w:eastAsia="Times New Roman"/>
          <w:color w:val="000000" w:themeColor="text1"/>
          <w:kern w:val="0"/>
          <w:lang w:val="en"/>
          <w14:ligatures w14:val="none"/>
        </w:rPr>
        <w:t xml:space="preserve"> </w:t>
      </w:r>
      <w:r w:rsidR="495F0465" w:rsidRPr="01278718">
        <w:rPr>
          <w:rFonts w:eastAsia="Times New Roman"/>
          <w:color w:val="000000" w:themeColor="text1"/>
          <w:kern w:val="0"/>
          <w:lang w:val="en"/>
          <w14:ligatures w14:val="none"/>
        </w:rPr>
        <w:t>to</w:t>
      </w:r>
      <w:r w:rsidR="002508A2" w:rsidRPr="01278718">
        <w:rPr>
          <w:rFonts w:eastAsia="Times New Roman"/>
          <w:color w:val="000000" w:themeColor="text1"/>
          <w:kern w:val="0"/>
          <w:lang w:val="en"/>
          <w14:ligatures w14:val="none"/>
        </w:rPr>
        <w:t xml:space="preserve"> which </w:t>
      </w:r>
      <w:r w:rsidR="00097F47" w:rsidRPr="01278718">
        <w:rPr>
          <w:rFonts w:eastAsia="Times New Roman"/>
          <w:color w:val="000000" w:themeColor="text1"/>
          <w:kern w:val="0"/>
          <w:lang w:val="en"/>
          <w14:ligatures w14:val="none"/>
        </w:rPr>
        <w:t>an online</w:t>
      </w:r>
      <w:r w:rsidR="00222517" w:rsidRPr="01278718">
        <w:rPr>
          <w:rFonts w:eastAsia="Times New Roman"/>
          <w:color w:val="000000" w:themeColor="text1"/>
          <w:kern w:val="0"/>
          <w:lang w:val="en"/>
          <w14:ligatures w14:val="none"/>
        </w:rPr>
        <w:t xml:space="preserve"> application </w:t>
      </w:r>
      <w:r w:rsidR="008A42C2" w:rsidRPr="01278718">
        <w:rPr>
          <w:rFonts w:eastAsia="Times New Roman"/>
          <w:color w:val="000000" w:themeColor="text1"/>
          <w:kern w:val="0"/>
          <w:lang w:val="en"/>
          <w14:ligatures w14:val="none"/>
        </w:rPr>
        <w:t>process for</w:t>
      </w:r>
      <w:r w:rsidR="00097F47" w:rsidRPr="01278718">
        <w:rPr>
          <w:rFonts w:eastAsia="Times New Roman"/>
          <w:color w:val="000000" w:themeColor="text1"/>
          <w:kern w:val="0"/>
          <w:lang w:val="en"/>
          <w14:ligatures w14:val="none"/>
        </w:rPr>
        <w:t xml:space="preserve"> private housing grants was added</w:t>
      </w:r>
      <w:r w:rsidRPr="01278718">
        <w:rPr>
          <w:rFonts w:eastAsia="Times New Roman"/>
          <w:color w:val="000000" w:themeColor="text1"/>
          <w:kern w:val="0"/>
          <w:lang w:val="en"/>
          <w14:ligatures w14:val="none"/>
        </w:rPr>
        <w:t>.</w:t>
      </w:r>
    </w:p>
    <w:p w14:paraId="2FC2D6AA" w14:textId="2E9283F4" w:rsidR="00141FA3" w:rsidRPr="000F0EBB"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szCs w:val="23"/>
          <w:lang w:val="en-GB"/>
          <w14:ligatures w14:val="none"/>
        </w:rPr>
      </w:pPr>
      <w:r w:rsidRPr="009237F1">
        <w:rPr>
          <w:rFonts w:eastAsia="Times New Roman"/>
          <w:color w:val="000000" w:themeColor="text1"/>
          <w:kern w:val="0"/>
          <w:szCs w:val="23"/>
          <w:lang w:val="en"/>
          <w14:ligatures w14:val="none"/>
        </w:rPr>
        <w:t>17,</w:t>
      </w:r>
      <w:r w:rsidR="006A333D" w:rsidRPr="009237F1">
        <w:rPr>
          <w:rFonts w:eastAsia="Times New Roman"/>
          <w:color w:val="000000" w:themeColor="text1"/>
          <w:kern w:val="0"/>
          <w:szCs w:val="23"/>
          <w:lang w:val="en"/>
          <w14:ligatures w14:val="none"/>
        </w:rPr>
        <w:t>423</w:t>
      </w:r>
      <w:r w:rsidRPr="009237F1">
        <w:rPr>
          <w:rFonts w:eastAsia="Times New Roman"/>
          <w:color w:val="000000" w:themeColor="text1"/>
          <w:kern w:val="0"/>
          <w:szCs w:val="23"/>
          <w:lang w:val="en"/>
          <w14:ligatures w14:val="none"/>
        </w:rPr>
        <w:t xml:space="preserve"> housing maintenance requests were received</w:t>
      </w:r>
      <w:r w:rsidRPr="000F0EBB">
        <w:rPr>
          <w:rFonts w:eastAsia="Times New Roman"/>
          <w:color w:val="000000" w:themeColor="text1"/>
          <w:kern w:val="0"/>
          <w:szCs w:val="23"/>
          <w:lang w:val="en"/>
          <w14:ligatures w14:val="none"/>
        </w:rPr>
        <w:t xml:space="preserve"> with 12,243 repairs completed.</w:t>
      </w:r>
    </w:p>
    <w:p w14:paraId="60B20947" w14:textId="7C84D3DD" w:rsidR="00141FA3" w:rsidRPr="000F0EBB"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szCs w:val="23"/>
          <w:lang w:val="en-US"/>
          <w14:ligatures w14:val="none"/>
        </w:rPr>
      </w:pPr>
      <w:r w:rsidRPr="000F0EBB">
        <w:rPr>
          <w:rFonts w:eastAsia="Times New Roman"/>
          <w:color w:val="000000" w:themeColor="text1"/>
          <w:kern w:val="0"/>
          <w:szCs w:val="23"/>
          <w:lang w:val="en-US"/>
          <w14:ligatures w14:val="none"/>
        </w:rPr>
        <w:t xml:space="preserve">A county-wide vacant homes survey was undertaken to support our use of DHLGH funding to bring vacant homes back into use and 146 Vacant Homes Refurbishment Grant applications were received, with 64 approved in principle </w:t>
      </w:r>
      <w:r w:rsidR="0063016F">
        <w:rPr>
          <w:rFonts w:eastAsia="Times New Roman"/>
          <w:color w:val="000000" w:themeColor="text1"/>
          <w:kern w:val="0"/>
          <w:szCs w:val="23"/>
          <w:lang w:val="en-US"/>
          <w14:ligatures w14:val="none"/>
        </w:rPr>
        <w:t>and</w:t>
      </w:r>
      <w:r w:rsidRPr="000F0EBB">
        <w:rPr>
          <w:rFonts w:eastAsia="Times New Roman"/>
          <w:color w:val="000000" w:themeColor="text1"/>
          <w:kern w:val="0"/>
          <w:szCs w:val="23"/>
          <w:lang w:val="en-US"/>
          <w14:ligatures w14:val="none"/>
        </w:rPr>
        <w:t xml:space="preserve"> 37 grants paid to applicants.</w:t>
      </w:r>
    </w:p>
    <w:p w14:paraId="291ADA9C" w14:textId="77777777" w:rsidR="00141FA3" w:rsidRPr="000F0EBB" w:rsidRDefault="00141FA3" w:rsidP="006F3C79">
      <w:pPr>
        <w:pStyle w:val="ListParagraph"/>
        <w:numPr>
          <w:ilvl w:val="0"/>
          <w:numId w:val="30"/>
        </w:numPr>
        <w:tabs>
          <w:tab w:val="clear" w:pos="720"/>
          <w:tab w:val="num" w:pos="1800"/>
        </w:tabs>
        <w:spacing w:after="0" w:line="276" w:lineRule="auto"/>
        <w:ind w:left="360"/>
        <w:textAlignment w:val="baseline"/>
        <w:rPr>
          <w:rFonts w:eastAsia="Times New Roman"/>
          <w:color w:val="000000" w:themeColor="text1"/>
          <w:kern w:val="0"/>
          <w:szCs w:val="23"/>
          <w:lang w:val="en-GB"/>
          <w14:ligatures w14:val="none"/>
        </w:rPr>
      </w:pPr>
      <w:r w:rsidRPr="000F0EBB">
        <w:rPr>
          <w:rFonts w:eastAsia="Times New Roman"/>
          <w:color w:val="000000" w:themeColor="text1"/>
          <w:kern w:val="0"/>
          <w:szCs w:val="23"/>
          <w:lang w:val="en"/>
          <w14:ligatures w14:val="none"/>
        </w:rPr>
        <w:t xml:space="preserve">New estate management structures were introduced with 375 pre-tenancy meetings held, 69 tenancy warnings issued for anti-social </w:t>
      </w:r>
      <w:proofErr w:type="spellStart"/>
      <w:r w:rsidRPr="000F0EBB">
        <w:rPr>
          <w:rFonts w:eastAsia="Times New Roman"/>
          <w:color w:val="000000" w:themeColor="text1"/>
          <w:kern w:val="0"/>
          <w:szCs w:val="23"/>
          <w:lang w:val="en"/>
          <w14:ligatures w14:val="none"/>
        </w:rPr>
        <w:t>behaviour</w:t>
      </w:r>
      <w:proofErr w:type="spellEnd"/>
      <w:r w:rsidRPr="000F0EBB">
        <w:rPr>
          <w:rFonts w:eastAsia="Times New Roman"/>
          <w:color w:val="000000" w:themeColor="text1"/>
          <w:kern w:val="0"/>
          <w:szCs w:val="23"/>
          <w:lang w:val="en"/>
          <w14:ligatures w14:val="none"/>
        </w:rPr>
        <w:t>, 22 abandonment notices served, and 12 tenancies terminated.</w:t>
      </w:r>
    </w:p>
    <w:p w14:paraId="166B5516" w14:textId="77777777" w:rsidR="00141FA3" w:rsidRDefault="00141FA3" w:rsidP="000C6B6B">
      <w:pPr>
        <w:spacing w:after="0" w:line="276" w:lineRule="auto"/>
        <w:ind w:left="0" w:firstLine="0"/>
        <w:textAlignment w:val="baseline"/>
        <w:rPr>
          <w:rFonts w:eastAsia="Times New Roman"/>
          <w:b/>
          <w:bCs/>
          <w:color w:val="000000" w:themeColor="text1"/>
          <w:kern w:val="0"/>
          <w:szCs w:val="23"/>
          <w:lang w:val="en"/>
          <w14:ligatures w14:val="none"/>
        </w:rPr>
      </w:pPr>
    </w:p>
    <w:p w14:paraId="3D7CF083" w14:textId="77777777" w:rsidR="001154FE" w:rsidRDefault="001154FE" w:rsidP="000C6B6B">
      <w:pPr>
        <w:spacing w:after="0" w:line="276" w:lineRule="auto"/>
        <w:ind w:left="0" w:firstLine="0"/>
        <w:textAlignment w:val="baseline"/>
        <w:rPr>
          <w:rFonts w:eastAsia="Times New Roman"/>
          <w:b/>
          <w:bCs/>
          <w:color w:val="000000" w:themeColor="text1"/>
          <w:kern w:val="0"/>
          <w:szCs w:val="23"/>
          <w:lang w:val="en"/>
          <w14:ligatures w14:val="none"/>
        </w:rPr>
      </w:pPr>
    </w:p>
    <w:p w14:paraId="5CFE666C" w14:textId="77777777" w:rsidR="001154FE" w:rsidRDefault="001154FE" w:rsidP="000C6B6B">
      <w:pPr>
        <w:spacing w:after="0" w:line="276" w:lineRule="auto"/>
        <w:ind w:left="0" w:firstLine="0"/>
        <w:textAlignment w:val="baseline"/>
        <w:rPr>
          <w:rFonts w:eastAsia="Times New Roman"/>
          <w:b/>
          <w:bCs/>
          <w:color w:val="000000" w:themeColor="text1"/>
          <w:kern w:val="0"/>
          <w:szCs w:val="23"/>
          <w:lang w:val="en"/>
          <w14:ligatures w14:val="none"/>
        </w:rPr>
      </w:pPr>
    </w:p>
    <w:p w14:paraId="17916278" w14:textId="77777777" w:rsidR="0056105F" w:rsidRDefault="0056105F" w:rsidP="000C6B6B">
      <w:pPr>
        <w:spacing w:after="0" w:line="276" w:lineRule="auto"/>
        <w:ind w:left="0" w:firstLine="0"/>
        <w:textAlignment w:val="baseline"/>
        <w:rPr>
          <w:rFonts w:eastAsia="Times New Roman"/>
          <w:b/>
          <w:bCs/>
          <w:color w:val="000000" w:themeColor="text1"/>
          <w:kern w:val="0"/>
          <w:szCs w:val="23"/>
          <w:lang w:val="en"/>
          <w14:ligatures w14:val="none"/>
        </w:rPr>
      </w:pPr>
    </w:p>
    <w:p w14:paraId="7A300C5E" w14:textId="77777777" w:rsidR="0056105F" w:rsidRPr="00EB6AFA" w:rsidRDefault="0056105F" w:rsidP="000C6B6B">
      <w:pPr>
        <w:spacing w:after="0" w:line="276" w:lineRule="auto"/>
        <w:ind w:left="0" w:firstLine="0"/>
        <w:textAlignment w:val="baseline"/>
        <w:rPr>
          <w:rFonts w:eastAsia="Times New Roman"/>
          <w:b/>
          <w:bCs/>
          <w:color w:val="000000" w:themeColor="text1"/>
          <w:kern w:val="0"/>
          <w:szCs w:val="23"/>
          <w:lang w:val="en"/>
          <w14:ligatures w14:val="none"/>
        </w:rPr>
      </w:pPr>
    </w:p>
    <w:p w14:paraId="2EABD9A7" w14:textId="77777777" w:rsidR="00141FA3" w:rsidRPr="00EB6AFA" w:rsidRDefault="00141FA3" w:rsidP="000C6B6B">
      <w:pPr>
        <w:spacing w:after="0" w:line="276" w:lineRule="auto"/>
        <w:ind w:left="0" w:firstLine="0"/>
        <w:textAlignment w:val="baseline"/>
        <w:rPr>
          <w:rFonts w:eastAsia="Times New Roman"/>
          <w:color w:val="000000" w:themeColor="text1"/>
          <w:kern w:val="0"/>
          <w:szCs w:val="23"/>
          <w:lang w:val="en-GB"/>
          <w14:ligatures w14:val="none"/>
        </w:rPr>
      </w:pPr>
      <w:r w:rsidRPr="00EB6AFA">
        <w:rPr>
          <w:rFonts w:eastAsia="Times New Roman"/>
          <w:b/>
          <w:bCs/>
          <w:color w:val="000000" w:themeColor="text1"/>
          <w:kern w:val="0"/>
          <w:szCs w:val="23"/>
          <w:lang w:val="en"/>
          <w14:ligatures w14:val="none"/>
        </w:rPr>
        <w:lastRenderedPageBreak/>
        <w:t xml:space="preserve">Lead inclusion, equality and interagency initiatives for integrated and socially connected communities </w:t>
      </w:r>
      <w:r w:rsidRPr="00EB6AFA">
        <w:rPr>
          <w:rFonts w:eastAsia="Times New Roman"/>
          <w:color w:val="000000" w:themeColor="text1"/>
          <w:kern w:val="0"/>
          <w:szCs w:val="23"/>
          <w:lang w:val="en-GB"/>
          <w14:ligatures w14:val="none"/>
        </w:rPr>
        <w:t> </w:t>
      </w:r>
    </w:p>
    <w:p w14:paraId="7E00BF0A" w14:textId="77777777" w:rsidR="00141FA3" w:rsidRPr="000F0EBB" w:rsidRDefault="00141FA3" w:rsidP="2062B25F">
      <w:pPr>
        <w:pStyle w:val="ListParagraph"/>
        <w:numPr>
          <w:ilvl w:val="0"/>
          <w:numId w:val="34"/>
        </w:numPr>
        <w:spacing w:after="0" w:line="276" w:lineRule="auto"/>
        <w:mirrorIndents/>
        <w:textAlignment w:val="baseline"/>
        <w:rPr>
          <w:color w:val="000000" w:themeColor="text1"/>
          <w:lang w:val="en-US"/>
        </w:rPr>
      </w:pPr>
      <w:r w:rsidRPr="2062B25F">
        <w:rPr>
          <w:rFonts w:eastAsia="Times New Roman"/>
          <w:color w:val="000000" w:themeColor="text1"/>
          <w:lang w:val="en"/>
        </w:rPr>
        <w:t xml:space="preserve">The implementation of the Social Inclusion Community Activation Programme (SICAP) continued under the guidance of the Local Community Development Committee (LCDC). </w:t>
      </w:r>
      <w:r w:rsidRPr="2062B25F">
        <w:rPr>
          <w:color w:val="000000" w:themeColor="text1"/>
          <w:lang w:val="en-US"/>
        </w:rPr>
        <w:t>South Dublin County Partnership were awarded the contract to deliver SICAP on behalf of the local authority.</w:t>
      </w:r>
    </w:p>
    <w:p w14:paraId="12D62D71" w14:textId="21FFAB64" w:rsidR="006641CD" w:rsidRPr="006641CD" w:rsidRDefault="00141FA3" w:rsidP="006641CD">
      <w:pPr>
        <w:pStyle w:val="ListParagraph"/>
        <w:numPr>
          <w:ilvl w:val="0"/>
          <w:numId w:val="34"/>
        </w:numPr>
        <w:spacing w:after="0" w:line="276" w:lineRule="auto"/>
        <w:mirrorIndents/>
        <w:textAlignment w:val="baseline"/>
        <w:rPr>
          <w:rFonts w:eastAsia="Times New Roman"/>
          <w:color w:val="000000" w:themeColor="text1"/>
          <w:kern w:val="0"/>
          <w:lang w:val="en-GB"/>
          <w14:ligatures w14:val="none"/>
        </w:rPr>
      </w:pPr>
      <w:r w:rsidRPr="2062B25F">
        <w:rPr>
          <w:color w:val="000000" w:themeColor="text1"/>
        </w:rPr>
        <w:t>The Community Response Forum was renamed the Community Integration Forum</w:t>
      </w:r>
      <w:r w:rsidR="00E15D0A">
        <w:rPr>
          <w:color w:val="000000" w:themeColor="text1"/>
        </w:rPr>
        <w:t xml:space="preserve"> and </w:t>
      </w:r>
      <w:r w:rsidR="00B27C7C">
        <w:rPr>
          <w:color w:val="000000" w:themeColor="text1"/>
        </w:rPr>
        <w:t xml:space="preserve">held </w:t>
      </w:r>
      <w:r w:rsidRPr="2062B25F">
        <w:rPr>
          <w:color w:val="000000" w:themeColor="text1"/>
        </w:rPr>
        <w:t xml:space="preserve">11 meetings </w:t>
      </w:r>
      <w:r w:rsidR="4EFFB3E5" w:rsidRPr="38E08A54">
        <w:rPr>
          <w:color w:val="000000" w:themeColor="text1"/>
        </w:rPr>
        <w:t xml:space="preserve">for </w:t>
      </w:r>
      <w:r w:rsidRPr="2062B25F">
        <w:rPr>
          <w:color w:val="000000" w:themeColor="text1"/>
        </w:rPr>
        <w:t>the year with a new focus on interagency services and supports for Beneficiaries of Temporary Protection (BOTPs) and International Protection Applicants (IPAs).</w:t>
      </w:r>
    </w:p>
    <w:p w14:paraId="7DADDB7D" w14:textId="5F8EB714" w:rsidR="00141FA3" w:rsidRPr="006641CD" w:rsidRDefault="006641CD" w:rsidP="006641CD">
      <w:pPr>
        <w:pStyle w:val="ListParagraph"/>
        <w:numPr>
          <w:ilvl w:val="0"/>
          <w:numId w:val="34"/>
        </w:numPr>
        <w:spacing w:after="0" w:line="276" w:lineRule="auto"/>
        <w:mirrorIndents/>
        <w:textAlignment w:val="baseline"/>
        <w:rPr>
          <w:rFonts w:eastAsia="Times New Roman"/>
          <w:color w:val="000000" w:themeColor="text1"/>
          <w:kern w:val="0"/>
          <w:szCs w:val="23"/>
          <w:lang w:val="en-GB"/>
          <w14:ligatures w14:val="none"/>
        </w:rPr>
      </w:pPr>
      <w:r>
        <w:rPr>
          <w:color w:val="000000" w:themeColor="text1"/>
          <w:szCs w:val="23"/>
          <w:lang w:val="en-GB"/>
        </w:rPr>
        <w:t xml:space="preserve">A new </w:t>
      </w:r>
      <w:r w:rsidRPr="000F0EBB">
        <w:rPr>
          <w:color w:val="000000" w:themeColor="text1"/>
          <w:szCs w:val="23"/>
          <w:lang w:val="en-GB"/>
        </w:rPr>
        <w:t>Integration Team was established in May to support I</w:t>
      </w:r>
      <w:r>
        <w:rPr>
          <w:color w:val="000000" w:themeColor="text1"/>
          <w:szCs w:val="23"/>
          <w:lang w:val="en-GB"/>
        </w:rPr>
        <w:t>PAs</w:t>
      </w:r>
      <w:r w:rsidRPr="000F0EBB">
        <w:rPr>
          <w:color w:val="000000" w:themeColor="text1"/>
          <w:szCs w:val="23"/>
          <w:lang w:val="en-GB"/>
        </w:rPr>
        <w:t xml:space="preserve"> and B</w:t>
      </w:r>
      <w:r>
        <w:rPr>
          <w:color w:val="000000" w:themeColor="text1"/>
          <w:szCs w:val="23"/>
          <w:lang w:val="en-GB"/>
        </w:rPr>
        <w:t>OTPs</w:t>
      </w:r>
      <w:r w:rsidRPr="000F0EBB">
        <w:rPr>
          <w:color w:val="000000" w:themeColor="text1"/>
          <w:szCs w:val="23"/>
          <w:lang w:val="en-GB"/>
        </w:rPr>
        <w:t xml:space="preserve"> to integrate with local communities. The team have held over 50 clinics in accommodation centres and built a network of relationships with other agencies and hosted a series of events including Refugee Week in June.</w:t>
      </w:r>
    </w:p>
    <w:p w14:paraId="11CA4A2B" w14:textId="7E9EB929" w:rsidR="00141FA3" w:rsidRPr="000F0EBB" w:rsidRDefault="00141FA3" w:rsidP="2062B25F">
      <w:pPr>
        <w:pStyle w:val="ListParagraph"/>
        <w:numPr>
          <w:ilvl w:val="0"/>
          <w:numId w:val="34"/>
        </w:numPr>
        <w:spacing w:after="0" w:line="276" w:lineRule="auto"/>
        <w:mirrorIndents/>
        <w:rPr>
          <w:color w:val="000000" w:themeColor="text1"/>
          <w:lang w:val="en-US"/>
        </w:rPr>
      </w:pPr>
      <w:r w:rsidRPr="2062B25F">
        <w:rPr>
          <w:color w:val="000000" w:themeColor="text1"/>
          <w:lang w:val="en-US"/>
        </w:rPr>
        <w:t xml:space="preserve">The 19 projects awarded funding under Community Recognition Fund 2023 progressed with 13 completed and the remaining </w:t>
      </w:r>
      <w:r w:rsidR="005C0EF1" w:rsidRPr="2062B25F">
        <w:rPr>
          <w:color w:val="000000" w:themeColor="text1"/>
          <w:lang w:val="en-US"/>
        </w:rPr>
        <w:t>six</w:t>
      </w:r>
      <w:r w:rsidRPr="2062B25F">
        <w:rPr>
          <w:color w:val="000000" w:themeColor="text1"/>
          <w:lang w:val="en-US"/>
        </w:rPr>
        <w:t xml:space="preserve"> to be finished in early 2025. An additional €2,249,663</w:t>
      </w:r>
      <w:r w:rsidR="00AF712E">
        <w:rPr>
          <w:color w:val="000000" w:themeColor="text1"/>
          <w:lang w:val="en-US"/>
        </w:rPr>
        <w:t xml:space="preserve"> in</w:t>
      </w:r>
      <w:r w:rsidRPr="2062B25F">
        <w:rPr>
          <w:color w:val="000000" w:themeColor="text1"/>
          <w:lang w:val="en-US"/>
        </w:rPr>
        <w:t xml:space="preserve"> funding was awarded under the Community Recognition Fund 2024. There were </w:t>
      </w:r>
      <w:r w:rsidR="005C0EF1" w:rsidRPr="2062B25F">
        <w:rPr>
          <w:color w:val="000000" w:themeColor="text1"/>
          <w:lang w:val="en-US"/>
        </w:rPr>
        <w:t>two</w:t>
      </w:r>
      <w:r w:rsidRPr="2062B25F">
        <w:rPr>
          <w:color w:val="000000" w:themeColor="text1"/>
          <w:lang w:val="en-US"/>
        </w:rPr>
        <w:t xml:space="preserve"> calls for applications in 2024 with </w:t>
      </w:r>
      <w:r w:rsidR="005C0EF1" w:rsidRPr="2062B25F">
        <w:rPr>
          <w:color w:val="000000" w:themeColor="text1"/>
          <w:lang w:val="en-US"/>
        </w:rPr>
        <w:t>five</w:t>
      </w:r>
      <w:r w:rsidRPr="2062B25F">
        <w:rPr>
          <w:color w:val="000000" w:themeColor="text1"/>
          <w:lang w:val="en-US"/>
        </w:rPr>
        <w:t xml:space="preserve"> projects being approved in the first call and </w:t>
      </w:r>
      <w:r w:rsidR="005C0EF1" w:rsidRPr="2062B25F">
        <w:rPr>
          <w:color w:val="000000" w:themeColor="text1"/>
          <w:lang w:val="en-US"/>
        </w:rPr>
        <w:t>seven</w:t>
      </w:r>
      <w:r w:rsidRPr="2062B25F">
        <w:rPr>
          <w:color w:val="000000" w:themeColor="text1"/>
          <w:lang w:val="en-US"/>
        </w:rPr>
        <w:t xml:space="preserve"> </w:t>
      </w:r>
      <w:r w:rsidR="0025752E" w:rsidRPr="2062B25F">
        <w:rPr>
          <w:color w:val="000000" w:themeColor="text1"/>
          <w:lang w:val="en-US"/>
        </w:rPr>
        <w:t>projects</w:t>
      </w:r>
      <w:r w:rsidRPr="2062B25F">
        <w:rPr>
          <w:color w:val="000000" w:themeColor="text1"/>
          <w:lang w:val="en-US"/>
        </w:rPr>
        <w:t xml:space="preserve"> awaiting departmental approval from the </w:t>
      </w:r>
      <w:r w:rsidR="00C82891" w:rsidRPr="2062B25F">
        <w:rPr>
          <w:color w:val="000000" w:themeColor="text1"/>
          <w:lang w:val="en-US"/>
        </w:rPr>
        <w:t>second</w:t>
      </w:r>
      <w:r w:rsidRPr="2062B25F">
        <w:rPr>
          <w:color w:val="000000" w:themeColor="text1"/>
          <w:lang w:val="en-US"/>
        </w:rPr>
        <w:t xml:space="preserve"> call. </w:t>
      </w:r>
    </w:p>
    <w:p w14:paraId="3ECA5373" w14:textId="5D6862E0" w:rsidR="00E91411" w:rsidRPr="00E91411" w:rsidRDefault="00141FA3" w:rsidP="2062B25F">
      <w:pPr>
        <w:pStyle w:val="ListParagraph"/>
        <w:numPr>
          <w:ilvl w:val="0"/>
          <w:numId w:val="34"/>
        </w:numPr>
        <w:spacing w:after="0" w:line="276" w:lineRule="auto"/>
        <w:mirrorIndents/>
        <w:rPr>
          <w:color w:val="000000" w:themeColor="text1"/>
        </w:rPr>
      </w:pPr>
      <w:r w:rsidRPr="2062B25F">
        <w:rPr>
          <w:color w:val="000000" w:themeColor="text1"/>
          <w:lang w:val="en-GB"/>
        </w:rPr>
        <w:t xml:space="preserve">The South Dublin Older Peoples Council’s key objective was to increase their visibility and awareness through the delivery of the inaugural Age Friendly Expo in South Dublin held in May. </w:t>
      </w:r>
      <w:r w:rsidR="00472F35">
        <w:rPr>
          <w:color w:val="000000" w:themeColor="text1"/>
          <w:lang w:val="en-GB"/>
        </w:rPr>
        <w:t>S</w:t>
      </w:r>
      <w:r w:rsidRPr="2062B25F">
        <w:rPr>
          <w:color w:val="000000" w:themeColor="text1"/>
          <w:lang w:val="en-GB"/>
        </w:rPr>
        <w:t>everal countywide projects including a digital literacy course, Active Aging and Care and Repair programmes progressed in conjunction with the Age Friendly Alliance and Age Friendly Ireland.</w:t>
      </w:r>
      <w:r w:rsidR="00E91411" w:rsidRPr="2062B25F">
        <w:rPr>
          <w:color w:val="000000" w:themeColor="text1"/>
          <w:lang w:val="en-GB"/>
        </w:rPr>
        <w:t xml:space="preserve"> </w:t>
      </w:r>
      <w:r w:rsidR="00E91411" w:rsidRPr="2062B25F">
        <w:rPr>
          <w:color w:val="000000" w:themeColor="text1"/>
        </w:rPr>
        <w:t xml:space="preserve">A 'Dementia Inclusive Community' </w:t>
      </w:r>
      <w:r w:rsidR="00DB7F4A" w:rsidRPr="2062B25F">
        <w:rPr>
          <w:color w:val="000000" w:themeColor="text1"/>
        </w:rPr>
        <w:t xml:space="preserve">was </w:t>
      </w:r>
      <w:r w:rsidR="00E91411" w:rsidRPr="2062B25F">
        <w:rPr>
          <w:color w:val="000000" w:themeColor="text1"/>
        </w:rPr>
        <w:t xml:space="preserve">established in Rosemount District Centre, Ballyroan including the launch </w:t>
      </w:r>
      <w:r w:rsidR="00472F35">
        <w:rPr>
          <w:color w:val="000000" w:themeColor="text1"/>
        </w:rPr>
        <w:t xml:space="preserve">in October </w:t>
      </w:r>
      <w:r w:rsidR="00E91411" w:rsidRPr="2062B25F">
        <w:rPr>
          <w:color w:val="000000" w:themeColor="text1"/>
        </w:rPr>
        <w:t xml:space="preserve">of a dementia café </w:t>
      </w:r>
      <w:r w:rsidR="00472F35">
        <w:rPr>
          <w:color w:val="000000" w:themeColor="text1"/>
        </w:rPr>
        <w:t xml:space="preserve">which </w:t>
      </w:r>
      <w:r w:rsidR="00472F35" w:rsidRPr="2062B25F">
        <w:rPr>
          <w:color w:val="000000" w:themeColor="text1"/>
        </w:rPr>
        <w:t>runs monthly on the second Tuesday of the month</w:t>
      </w:r>
      <w:r w:rsidR="00C252FC">
        <w:rPr>
          <w:color w:val="000000" w:themeColor="text1"/>
        </w:rPr>
        <w:t xml:space="preserve"> </w:t>
      </w:r>
      <w:r w:rsidR="00E91411" w:rsidRPr="2062B25F">
        <w:rPr>
          <w:color w:val="000000" w:themeColor="text1"/>
        </w:rPr>
        <w:t>in Ballyroan Community and Youth Centre</w:t>
      </w:r>
      <w:r w:rsidR="00472F35">
        <w:rPr>
          <w:color w:val="000000" w:themeColor="text1"/>
        </w:rPr>
        <w:t>.</w:t>
      </w:r>
    </w:p>
    <w:p w14:paraId="1F3C5DF0" w14:textId="42B7C130" w:rsidR="00E9219B" w:rsidRPr="00E9219B" w:rsidRDefault="00472F35" w:rsidP="00472F35">
      <w:pPr>
        <w:pStyle w:val="ListParagraph"/>
        <w:numPr>
          <w:ilvl w:val="0"/>
          <w:numId w:val="34"/>
        </w:numPr>
        <w:spacing w:after="0" w:line="276" w:lineRule="auto"/>
        <w:mirrorIndents/>
        <w:rPr>
          <w:rFonts w:eastAsiaTheme="majorEastAsia"/>
          <w:color w:val="000000" w:themeColor="text1"/>
          <w:szCs w:val="23"/>
          <w:lang w:val="en"/>
        </w:rPr>
      </w:pPr>
      <w:r>
        <w:rPr>
          <w:rFonts w:eastAsiaTheme="majorEastAsia"/>
          <w:color w:val="000000" w:themeColor="text1"/>
          <w:szCs w:val="23"/>
          <w:lang w:val="en-GB"/>
        </w:rPr>
        <w:t>A new Traveller Accommodation Programme</w:t>
      </w:r>
      <w:r w:rsidRPr="000F0EBB">
        <w:rPr>
          <w:rFonts w:eastAsiaTheme="majorEastAsia"/>
          <w:color w:val="000000" w:themeColor="text1"/>
          <w:szCs w:val="23"/>
          <w:lang w:val="en-GB"/>
        </w:rPr>
        <w:t xml:space="preserve"> 2025 – 2029 was approved </w:t>
      </w:r>
      <w:r w:rsidR="00987179">
        <w:rPr>
          <w:rFonts w:eastAsiaTheme="majorEastAsia"/>
          <w:color w:val="000000" w:themeColor="text1"/>
          <w:szCs w:val="23"/>
          <w:lang w:val="en-GB"/>
        </w:rPr>
        <w:t xml:space="preserve">in </w:t>
      </w:r>
      <w:r w:rsidRPr="000F0EBB">
        <w:rPr>
          <w:rFonts w:eastAsiaTheme="majorEastAsia"/>
          <w:color w:val="000000" w:themeColor="text1"/>
          <w:szCs w:val="23"/>
          <w:lang w:val="en-GB"/>
        </w:rPr>
        <w:t>October</w:t>
      </w:r>
      <w:r w:rsidR="00987179">
        <w:rPr>
          <w:rFonts w:eastAsiaTheme="majorEastAsia"/>
          <w:color w:val="000000" w:themeColor="text1"/>
          <w:szCs w:val="23"/>
          <w:lang w:val="en-GB"/>
        </w:rPr>
        <w:t>.</w:t>
      </w:r>
    </w:p>
    <w:p w14:paraId="4D3E6FAB" w14:textId="2717646E" w:rsidR="00141FA3" w:rsidRPr="00B72138" w:rsidRDefault="00141FA3">
      <w:pPr>
        <w:pStyle w:val="ListParagraph"/>
        <w:numPr>
          <w:ilvl w:val="0"/>
          <w:numId w:val="34"/>
        </w:numPr>
        <w:spacing w:after="0" w:line="276" w:lineRule="auto"/>
        <w:mirrorIndents/>
        <w:rPr>
          <w:rFonts w:eastAsiaTheme="majorEastAsia"/>
          <w:color w:val="000000" w:themeColor="text1"/>
          <w:lang w:val="en"/>
        </w:rPr>
      </w:pPr>
      <w:r w:rsidRPr="00B72138">
        <w:rPr>
          <w:rFonts w:eastAsia="Aptos"/>
          <w:color w:val="000000" w:themeColor="text1"/>
          <w:lang w:val="en-GB"/>
        </w:rPr>
        <w:t>T</w:t>
      </w:r>
      <w:r w:rsidRPr="00B72138">
        <w:rPr>
          <w:rFonts w:eastAsiaTheme="majorEastAsia"/>
          <w:color w:val="000000" w:themeColor="text1"/>
          <w:lang w:val="en-GB"/>
        </w:rPr>
        <w:t xml:space="preserve">he Local Traveller Accommodation Consultative Committee </w:t>
      </w:r>
      <w:r w:rsidR="00E9219B" w:rsidRPr="00B72138">
        <w:rPr>
          <w:rFonts w:eastAsiaTheme="majorEastAsia"/>
          <w:color w:val="000000" w:themeColor="text1"/>
          <w:lang w:val="en-GB"/>
        </w:rPr>
        <w:t xml:space="preserve">(LTACC) </w:t>
      </w:r>
      <w:r w:rsidRPr="00B72138">
        <w:rPr>
          <w:rFonts w:eastAsiaTheme="majorEastAsia"/>
          <w:color w:val="000000" w:themeColor="text1"/>
          <w:lang w:val="en-GB"/>
        </w:rPr>
        <w:t>monitored the</w:t>
      </w:r>
      <w:r w:rsidRPr="00B72138">
        <w:rPr>
          <w:rFonts w:eastAsiaTheme="majorEastAsia"/>
          <w:color w:val="000000" w:themeColor="text1"/>
          <w:lang w:val="en"/>
        </w:rPr>
        <w:t xml:space="preserve"> delivery of the Traveller Accommodation Programme, </w:t>
      </w:r>
      <w:r w:rsidR="00472F35" w:rsidRPr="00B72138">
        <w:rPr>
          <w:rFonts w:eastAsiaTheme="majorEastAsia"/>
          <w:color w:val="000000" w:themeColor="text1"/>
          <w:lang w:val="en"/>
        </w:rPr>
        <w:t xml:space="preserve">the </w:t>
      </w:r>
      <w:r w:rsidRPr="00B72138">
        <w:rPr>
          <w:rFonts w:eastAsiaTheme="majorEastAsia"/>
          <w:color w:val="000000" w:themeColor="text1"/>
          <w:lang w:val="en"/>
        </w:rPr>
        <w:t xml:space="preserve">Equality Action Plan, the caravan loan scheme, estate/waste management, fire safety, a STEAM project for young people and a new playground facility in </w:t>
      </w:r>
      <w:proofErr w:type="spellStart"/>
      <w:r w:rsidRPr="00B72138">
        <w:rPr>
          <w:rFonts w:eastAsiaTheme="majorEastAsia"/>
          <w:color w:val="000000" w:themeColor="text1"/>
          <w:lang w:val="en"/>
        </w:rPr>
        <w:t>Owendoher</w:t>
      </w:r>
      <w:proofErr w:type="spellEnd"/>
      <w:r w:rsidRPr="00B72138">
        <w:rPr>
          <w:rFonts w:eastAsiaTheme="majorEastAsia"/>
          <w:color w:val="000000" w:themeColor="text1"/>
          <w:lang w:val="en"/>
        </w:rPr>
        <w:t xml:space="preserve"> Haven</w:t>
      </w:r>
      <w:r w:rsidR="00B72138" w:rsidRPr="00B72138">
        <w:rPr>
          <w:rFonts w:eastAsiaTheme="majorEastAsia"/>
          <w:color w:val="000000" w:themeColor="text1"/>
          <w:lang w:val="en"/>
        </w:rPr>
        <w:t>.</w:t>
      </w:r>
    </w:p>
    <w:p w14:paraId="4027A7DD" w14:textId="366BC87C" w:rsidR="00141FA3" w:rsidRPr="000F0EBB" w:rsidRDefault="00141FA3" w:rsidP="0078451D">
      <w:pPr>
        <w:pStyle w:val="ListParagraph"/>
        <w:numPr>
          <w:ilvl w:val="0"/>
          <w:numId w:val="34"/>
        </w:numPr>
        <w:spacing w:after="0" w:line="276" w:lineRule="auto"/>
        <w:mirrorIndents/>
        <w:textAlignment w:val="baseline"/>
        <w:rPr>
          <w:color w:val="000000" w:themeColor="text1"/>
          <w:szCs w:val="23"/>
          <w:lang w:val="en"/>
        </w:rPr>
      </w:pPr>
      <w:r w:rsidRPr="000F0EBB">
        <w:rPr>
          <w:color w:val="000000" w:themeColor="text1"/>
          <w:szCs w:val="23"/>
          <w:lang w:val="en-US"/>
        </w:rPr>
        <w:t xml:space="preserve">The Public Services Fun Day took place in July in conjunction with The Square and </w:t>
      </w:r>
      <w:proofErr w:type="gramStart"/>
      <w:r w:rsidRPr="000F0EBB">
        <w:rPr>
          <w:color w:val="000000" w:themeColor="text1"/>
          <w:szCs w:val="23"/>
          <w:lang w:val="en-US"/>
        </w:rPr>
        <w:t>An</w:t>
      </w:r>
      <w:proofErr w:type="gramEnd"/>
      <w:r w:rsidRPr="000F0EBB">
        <w:rPr>
          <w:color w:val="000000" w:themeColor="text1"/>
          <w:szCs w:val="23"/>
          <w:lang w:val="en-US"/>
        </w:rPr>
        <w:t xml:space="preserve"> Garda S</w:t>
      </w:r>
      <w:r w:rsidR="00AF3AD1">
        <w:rPr>
          <w:color w:val="000000" w:themeColor="text1"/>
          <w:szCs w:val="23"/>
          <w:lang w:val="en-US"/>
        </w:rPr>
        <w:t>í</w:t>
      </w:r>
      <w:r w:rsidRPr="000F0EBB">
        <w:rPr>
          <w:color w:val="000000" w:themeColor="text1"/>
          <w:szCs w:val="23"/>
          <w:lang w:val="en-US"/>
        </w:rPr>
        <w:t>ochána to celebrate and highlight the work of essential services providers at a free family event.</w:t>
      </w:r>
    </w:p>
    <w:p w14:paraId="4C5F9A6F" w14:textId="4907BCB4" w:rsidR="00141FA3" w:rsidRPr="000F0EBB" w:rsidRDefault="00141FA3" w:rsidP="0078451D">
      <w:pPr>
        <w:pStyle w:val="ListParagraph"/>
        <w:numPr>
          <w:ilvl w:val="0"/>
          <w:numId w:val="34"/>
        </w:numPr>
        <w:spacing w:after="0" w:line="276" w:lineRule="auto"/>
        <w:mirrorIndents/>
        <w:textAlignment w:val="baseline"/>
        <w:rPr>
          <w:color w:val="000000" w:themeColor="text1"/>
          <w:lang w:val="en"/>
        </w:rPr>
      </w:pPr>
      <w:r w:rsidRPr="38E08A54">
        <w:rPr>
          <w:color w:val="000000" w:themeColor="text1"/>
          <w:lang w:val="en-US"/>
        </w:rPr>
        <w:t xml:space="preserve">The Community </w:t>
      </w:r>
      <w:r w:rsidRPr="38E08A54">
        <w:rPr>
          <w:color w:val="000000" w:themeColor="text1"/>
        </w:rPr>
        <w:t>Endeavour Awards recognis</w:t>
      </w:r>
      <w:r w:rsidR="00FA0063" w:rsidRPr="38E08A54">
        <w:rPr>
          <w:color w:val="000000" w:themeColor="text1"/>
        </w:rPr>
        <w:t>ing</w:t>
      </w:r>
      <w:r w:rsidRPr="38E08A54">
        <w:rPr>
          <w:color w:val="000000" w:themeColor="text1"/>
        </w:rPr>
        <w:t xml:space="preserve"> and reward</w:t>
      </w:r>
      <w:r w:rsidR="00467494" w:rsidRPr="38E08A54">
        <w:rPr>
          <w:color w:val="000000" w:themeColor="text1"/>
        </w:rPr>
        <w:t>ing</w:t>
      </w:r>
      <w:r w:rsidRPr="38E08A54">
        <w:rPr>
          <w:color w:val="000000" w:themeColor="text1"/>
        </w:rPr>
        <w:t xml:space="preserve"> community effort and achievement </w:t>
      </w:r>
      <w:r w:rsidR="58E2B9DE" w:rsidRPr="38E08A54">
        <w:rPr>
          <w:color w:val="000000" w:themeColor="text1"/>
        </w:rPr>
        <w:t>w</w:t>
      </w:r>
      <w:r w:rsidR="41F02578" w:rsidRPr="38E08A54">
        <w:rPr>
          <w:color w:val="000000" w:themeColor="text1"/>
        </w:rPr>
        <w:t>as</w:t>
      </w:r>
      <w:r w:rsidRPr="38E08A54">
        <w:rPr>
          <w:color w:val="000000" w:themeColor="text1"/>
        </w:rPr>
        <w:t xml:space="preserve"> hosted by the Mayor in the Plaza Hotel</w:t>
      </w:r>
      <w:r w:rsidR="00AF3AD1" w:rsidRPr="38E08A54">
        <w:rPr>
          <w:color w:val="000000" w:themeColor="text1"/>
        </w:rPr>
        <w:t>, Tallaght</w:t>
      </w:r>
      <w:r w:rsidRPr="38E08A54">
        <w:rPr>
          <w:color w:val="000000" w:themeColor="text1"/>
        </w:rPr>
        <w:t xml:space="preserve"> in October.</w:t>
      </w:r>
    </w:p>
    <w:p w14:paraId="0AB4634D" w14:textId="2F3A8246" w:rsidR="00141FA3" w:rsidRPr="000F0EBB" w:rsidRDefault="00141FA3" w:rsidP="0078451D">
      <w:pPr>
        <w:pStyle w:val="ListParagraph"/>
        <w:numPr>
          <w:ilvl w:val="0"/>
          <w:numId w:val="34"/>
        </w:numPr>
        <w:spacing w:after="0" w:line="276" w:lineRule="auto"/>
        <w:mirrorIndents/>
        <w:textAlignment w:val="baseline"/>
        <w:rPr>
          <w:color w:val="000000" w:themeColor="text1"/>
          <w:szCs w:val="23"/>
          <w:lang w:val="en-GB"/>
        </w:rPr>
      </w:pPr>
      <w:r w:rsidRPr="000F0EBB">
        <w:rPr>
          <w:color w:val="000000" w:themeColor="text1"/>
          <w:szCs w:val="23"/>
          <w:lang w:val="en-GB"/>
        </w:rPr>
        <w:t xml:space="preserve">Our Education Bursary Awards in conjunction with the Technological University of Dublin saw 16 students from </w:t>
      </w:r>
      <w:r w:rsidR="003B2AD8">
        <w:rPr>
          <w:color w:val="000000" w:themeColor="text1"/>
          <w:szCs w:val="23"/>
          <w:lang w:val="en-GB"/>
        </w:rPr>
        <w:t xml:space="preserve">local </w:t>
      </w:r>
      <w:r w:rsidRPr="000F0EBB">
        <w:rPr>
          <w:color w:val="000000" w:themeColor="text1"/>
          <w:szCs w:val="23"/>
          <w:lang w:val="en-GB"/>
        </w:rPr>
        <w:t xml:space="preserve">schools </w:t>
      </w:r>
      <w:r w:rsidR="00467494">
        <w:rPr>
          <w:color w:val="000000" w:themeColor="text1"/>
          <w:szCs w:val="23"/>
          <w:lang w:val="en-GB"/>
        </w:rPr>
        <w:t xml:space="preserve">each </w:t>
      </w:r>
      <w:r w:rsidRPr="000F0EBB">
        <w:rPr>
          <w:color w:val="000000" w:themeColor="text1"/>
          <w:szCs w:val="23"/>
          <w:lang w:val="en-GB"/>
        </w:rPr>
        <w:t>awarded €2,500 towards their third-level education expenses.</w:t>
      </w:r>
    </w:p>
    <w:p w14:paraId="455245AF" w14:textId="7C19109B" w:rsidR="00141FA3" w:rsidRPr="000F0EBB" w:rsidRDefault="00141FA3" w:rsidP="0078451D">
      <w:pPr>
        <w:pStyle w:val="ListParagraph"/>
        <w:numPr>
          <w:ilvl w:val="0"/>
          <w:numId w:val="34"/>
        </w:numPr>
        <w:spacing w:after="0" w:line="276" w:lineRule="auto"/>
        <w:mirrorIndents/>
        <w:textAlignment w:val="baseline"/>
        <w:rPr>
          <w:rFonts w:eastAsiaTheme="minorEastAsia"/>
          <w:color w:val="000000" w:themeColor="text1"/>
          <w:szCs w:val="23"/>
          <w:lang w:val="en-GB"/>
        </w:rPr>
      </w:pPr>
      <w:r w:rsidRPr="000F0EBB">
        <w:rPr>
          <w:rFonts w:eastAsiaTheme="minorEastAsia"/>
          <w:color w:val="000000" w:themeColor="text1"/>
          <w:szCs w:val="23"/>
          <w:lang w:val="en"/>
        </w:rPr>
        <w:t xml:space="preserve">Comhairle </w:t>
      </w:r>
      <w:proofErr w:type="spellStart"/>
      <w:r w:rsidRPr="000F0EBB">
        <w:rPr>
          <w:rFonts w:eastAsiaTheme="minorEastAsia"/>
          <w:color w:val="000000" w:themeColor="text1"/>
          <w:szCs w:val="23"/>
          <w:lang w:val="en-GB"/>
        </w:rPr>
        <w:t>na</w:t>
      </w:r>
      <w:proofErr w:type="spellEnd"/>
      <w:r w:rsidRPr="000F0EBB">
        <w:rPr>
          <w:rFonts w:eastAsiaTheme="minorEastAsia"/>
          <w:color w:val="000000" w:themeColor="text1"/>
          <w:szCs w:val="23"/>
          <w:lang w:val="en-GB"/>
        </w:rPr>
        <w:t xml:space="preserve"> </w:t>
      </w:r>
      <w:proofErr w:type="spellStart"/>
      <w:r w:rsidRPr="000F0EBB">
        <w:rPr>
          <w:rFonts w:eastAsiaTheme="minorEastAsia"/>
          <w:color w:val="000000" w:themeColor="text1"/>
          <w:szCs w:val="23"/>
          <w:lang w:val="en-GB"/>
        </w:rPr>
        <w:t>nÓg</w:t>
      </w:r>
      <w:proofErr w:type="spellEnd"/>
      <w:r w:rsidRPr="000F0EBB">
        <w:rPr>
          <w:rFonts w:eastAsiaTheme="minorEastAsia"/>
          <w:color w:val="000000" w:themeColor="text1"/>
          <w:szCs w:val="23"/>
          <w:lang w:val="en-GB"/>
        </w:rPr>
        <w:t xml:space="preserve"> completed their </w:t>
      </w:r>
      <w:r w:rsidR="006D5614">
        <w:rPr>
          <w:rFonts w:eastAsiaTheme="minorEastAsia"/>
          <w:color w:val="000000" w:themeColor="text1"/>
          <w:szCs w:val="23"/>
          <w:lang w:val="en-GB"/>
        </w:rPr>
        <w:t>m</w:t>
      </w:r>
      <w:r w:rsidRPr="000F0EBB">
        <w:rPr>
          <w:rFonts w:eastAsiaTheme="minorEastAsia"/>
          <w:color w:val="000000" w:themeColor="text1"/>
          <w:szCs w:val="23"/>
          <w:lang w:val="en-GB"/>
        </w:rPr>
        <w:t xml:space="preserve">ental </w:t>
      </w:r>
      <w:r w:rsidR="006D5614">
        <w:rPr>
          <w:rFonts w:eastAsiaTheme="minorEastAsia"/>
          <w:color w:val="000000" w:themeColor="text1"/>
          <w:szCs w:val="23"/>
          <w:lang w:val="en-GB"/>
        </w:rPr>
        <w:t>h</w:t>
      </w:r>
      <w:r w:rsidRPr="000F0EBB">
        <w:rPr>
          <w:rFonts w:eastAsiaTheme="minorEastAsia"/>
          <w:color w:val="000000" w:themeColor="text1"/>
          <w:szCs w:val="23"/>
          <w:lang w:val="en-GB"/>
        </w:rPr>
        <w:t>ealth awareness campaign and directory of services available to teens experiencing mental health. T</w:t>
      </w:r>
      <w:r w:rsidRPr="000F0EBB">
        <w:rPr>
          <w:rFonts w:eastAsiaTheme="minorEastAsia"/>
          <w:color w:val="000000" w:themeColor="text1"/>
          <w:szCs w:val="23"/>
          <w:lang w:val="en"/>
        </w:rPr>
        <w:t xml:space="preserve">he Comhairle concluded its business with the Annual Youth </w:t>
      </w:r>
      <w:r w:rsidR="00AB7D0C" w:rsidRPr="000F0EBB">
        <w:rPr>
          <w:rFonts w:eastAsiaTheme="minorEastAsia"/>
          <w:color w:val="000000" w:themeColor="text1"/>
          <w:szCs w:val="23"/>
          <w:lang w:val="en"/>
        </w:rPr>
        <w:t>Conference which</w:t>
      </w:r>
      <w:r w:rsidRPr="000F0EBB">
        <w:rPr>
          <w:rFonts w:eastAsiaTheme="minorEastAsia"/>
          <w:color w:val="000000" w:themeColor="text1"/>
          <w:szCs w:val="23"/>
          <w:lang w:val="en-GB"/>
        </w:rPr>
        <w:t xml:space="preserve"> took place in The Plaza Hotel in October and was attended by 80 young people from schools and youth services</w:t>
      </w:r>
      <w:r w:rsidR="003B2AD8">
        <w:rPr>
          <w:rFonts w:eastAsiaTheme="minorEastAsia"/>
          <w:color w:val="000000" w:themeColor="text1"/>
          <w:szCs w:val="23"/>
          <w:lang w:val="en-GB"/>
        </w:rPr>
        <w:t>.</w:t>
      </w:r>
    </w:p>
    <w:p w14:paraId="004813B5" w14:textId="77777777" w:rsidR="00141FA3" w:rsidRPr="000F0EBB" w:rsidRDefault="00141FA3" w:rsidP="0078451D">
      <w:pPr>
        <w:pStyle w:val="ListParagraph"/>
        <w:numPr>
          <w:ilvl w:val="0"/>
          <w:numId w:val="34"/>
        </w:numPr>
        <w:spacing w:after="0" w:line="276" w:lineRule="auto"/>
        <w:mirrorIndents/>
        <w:textAlignment w:val="baseline"/>
        <w:rPr>
          <w:color w:val="000000" w:themeColor="text1"/>
          <w:szCs w:val="23"/>
          <w:lang w:val="en-GB"/>
        </w:rPr>
      </w:pPr>
      <w:r w:rsidRPr="000F0EBB">
        <w:rPr>
          <w:color w:val="000000" w:themeColor="text1"/>
          <w:szCs w:val="23"/>
          <w:lang w:val="en"/>
        </w:rPr>
        <w:t xml:space="preserve">Joint Policing Committee (JPC) and Local Policing Fora meetings were held throughout the year with two </w:t>
      </w:r>
      <w:r w:rsidRPr="000F0EBB">
        <w:rPr>
          <w:color w:val="000000" w:themeColor="text1"/>
          <w:szCs w:val="23"/>
          <w:lang w:val="en-GB"/>
        </w:rPr>
        <w:t>JPC Meetings and two JPC Steering Group Committee meetings, three JPC Drugs subcommittee meetings, eight West Tallaght Community Safety Forum meetings, one Clondalkin Local Policing Forum Public meeting, the establishment of the Newcastle Rathcoole, Clondalkin Community Safety Forum, 12 North Clondalkin Community Safety meetings and eight Dublin 12 Local Policing Forum meetings.</w:t>
      </w:r>
    </w:p>
    <w:p w14:paraId="6828C504" w14:textId="166913BE" w:rsidR="00141FA3" w:rsidRPr="000F0EBB" w:rsidRDefault="00141FA3" w:rsidP="0078451D">
      <w:pPr>
        <w:pStyle w:val="ListParagraph"/>
        <w:numPr>
          <w:ilvl w:val="0"/>
          <w:numId w:val="34"/>
        </w:numPr>
        <w:spacing w:after="0" w:line="276" w:lineRule="auto"/>
        <w:mirrorIndents/>
        <w:textAlignment w:val="baseline"/>
        <w:rPr>
          <w:color w:val="000000" w:themeColor="text1"/>
          <w:szCs w:val="23"/>
          <w:lang w:val="en-GB"/>
        </w:rPr>
      </w:pPr>
      <w:r w:rsidRPr="000F0EBB">
        <w:rPr>
          <w:color w:val="000000" w:themeColor="text1"/>
          <w:szCs w:val="23"/>
          <w:lang w:val="en-GB"/>
        </w:rPr>
        <w:t xml:space="preserve">12 Transport Forum meetings took place with </w:t>
      </w:r>
      <w:r w:rsidR="004B7F0C">
        <w:rPr>
          <w:color w:val="000000" w:themeColor="text1"/>
          <w:szCs w:val="23"/>
          <w:lang w:val="en-GB"/>
        </w:rPr>
        <w:t>c</w:t>
      </w:r>
      <w:r w:rsidR="00C548AC">
        <w:rPr>
          <w:color w:val="000000" w:themeColor="text1"/>
          <w:szCs w:val="23"/>
          <w:lang w:val="en-GB"/>
        </w:rPr>
        <w:t>ouncillors</w:t>
      </w:r>
      <w:r w:rsidR="004B7F0C">
        <w:rPr>
          <w:color w:val="000000" w:themeColor="text1"/>
          <w:szCs w:val="23"/>
          <w:lang w:val="en-GB"/>
        </w:rPr>
        <w:t xml:space="preserve"> and staff present along with representatives </w:t>
      </w:r>
      <w:r w:rsidR="006A2D73">
        <w:rPr>
          <w:color w:val="000000" w:themeColor="text1"/>
          <w:szCs w:val="23"/>
          <w:lang w:val="en-GB"/>
        </w:rPr>
        <w:t xml:space="preserve">from </w:t>
      </w:r>
      <w:proofErr w:type="gramStart"/>
      <w:r w:rsidR="006A2D73" w:rsidRPr="000F0EBB">
        <w:rPr>
          <w:color w:val="000000" w:themeColor="text1"/>
          <w:szCs w:val="23"/>
          <w:lang w:val="en-GB"/>
        </w:rPr>
        <w:t>An</w:t>
      </w:r>
      <w:proofErr w:type="gramEnd"/>
      <w:r w:rsidRPr="000F0EBB">
        <w:rPr>
          <w:color w:val="000000" w:themeColor="text1"/>
          <w:szCs w:val="23"/>
          <w:lang w:val="en-GB"/>
        </w:rPr>
        <w:t xml:space="preserve"> Garda Síochána, Dublin Bus, Go Ahead, Luas</w:t>
      </w:r>
      <w:r w:rsidR="004B7F0C">
        <w:rPr>
          <w:color w:val="000000" w:themeColor="text1"/>
          <w:szCs w:val="23"/>
          <w:lang w:val="en-GB"/>
        </w:rPr>
        <w:t xml:space="preserve"> and other agencies.</w:t>
      </w:r>
    </w:p>
    <w:p w14:paraId="7F1B287B" w14:textId="77777777" w:rsidR="00141FA3" w:rsidRPr="000F0EBB" w:rsidRDefault="00141FA3" w:rsidP="0078451D">
      <w:pPr>
        <w:pStyle w:val="ListParagraph"/>
        <w:numPr>
          <w:ilvl w:val="0"/>
          <w:numId w:val="34"/>
        </w:numPr>
        <w:spacing w:after="0" w:line="276" w:lineRule="auto"/>
        <w:mirrorIndents/>
        <w:textAlignment w:val="baseline"/>
        <w:rPr>
          <w:color w:val="000000" w:themeColor="text1"/>
          <w:szCs w:val="23"/>
          <w:lang w:val="en-GB"/>
        </w:rPr>
      </w:pPr>
      <w:r w:rsidRPr="000F0EBB">
        <w:rPr>
          <w:color w:val="000000" w:themeColor="text1"/>
          <w:szCs w:val="23"/>
          <w:lang w:val="en-GB"/>
        </w:rPr>
        <w:t>Domestic Violence and Abuse Awareness training was delivered by Saoirse Domestic Violence Services to 52 frontline staff members and 10 elected members.</w:t>
      </w:r>
    </w:p>
    <w:p w14:paraId="4FECF2D7" w14:textId="78A59E68" w:rsidR="00141FA3" w:rsidRDefault="00141FA3" w:rsidP="0078451D">
      <w:pPr>
        <w:pStyle w:val="ListParagraph"/>
        <w:numPr>
          <w:ilvl w:val="0"/>
          <w:numId w:val="34"/>
        </w:numPr>
        <w:spacing w:after="0" w:line="276" w:lineRule="auto"/>
        <w:mirrorIndents/>
        <w:textAlignment w:val="baseline"/>
        <w:rPr>
          <w:color w:val="000000" w:themeColor="text1"/>
          <w:lang w:val="en-GB"/>
        </w:rPr>
      </w:pPr>
      <w:r w:rsidRPr="38E08A54">
        <w:rPr>
          <w:color w:val="000000" w:themeColor="text1"/>
          <w:lang w:val="en-GB"/>
        </w:rPr>
        <w:lastRenderedPageBreak/>
        <w:t xml:space="preserve">The Community Department collaborated with ‘A Playful </w:t>
      </w:r>
      <w:r w:rsidR="58E2B9DE" w:rsidRPr="38E08A54">
        <w:rPr>
          <w:color w:val="000000" w:themeColor="text1"/>
          <w:lang w:val="en-GB"/>
        </w:rPr>
        <w:t>City</w:t>
      </w:r>
      <w:r w:rsidR="58EE99EA" w:rsidRPr="38E08A54">
        <w:rPr>
          <w:color w:val="000000" w:themeColor="text1"/>
          <w:lang w:val="en-GB"/>
        </w:rPr>
        <w:t xml:space="preserve">’ </w:t>
      </w:r>
      <w:r w:rsidRPr="38E08A54">
        <w:rPr>
          <w:color w:val="000000" w:themeColor="text1"/>
          <w:lang w:val="en-GB"/>
        </w:rPr>
        <w:t>to deliver a new play street initiative in July and October</w:t>
      </w:r>
      <w:r w:rsidR="00855476" w:rsidRPr="38E08A54">
        <w:rPr>
          <w:color w:val="000000" w:themeColor="text1"/>
          <w:lang w:val="en-GB"/>
        </w:rPr>
        <w:t xml:space="preserve"> </w:t>
      </w:r>
      <w:r w:rsidRPr="38E08A54">
        <w:rPr>
          <w:color w:val="000000" w:themeColor="text1"/>
          <w:lang w:val="en-GB"/>
        </w:rPr>
        <w:t xml:space="preserve">with residents in Citywest Village, Cremorne, Knocklyon, Anne Devlin Avenue, Ballyroan and </w:t>
      </w:r>
      <w:proofErr w:type="spellStart"/>
      <w:r w:rsidRPr="38E08A54">
        <w:rPr>
          <w:color w:val="000000" w:themeColor="text1"/>
          <w:lang w:val="en-GB"/>
        </w:rPr>
        <w:t>Cushlawn</w:t>
      </w:r>
      <w:proofErr w:type="spellEnd"/>
      <w:r w:rsidRPr="38E08A54">
        <w:rPr>
          <w:color w:val="000000" w:themeColor="text1"/>
          <w:lang w:val="en-GB"/>
        </w:rPr>
        <w:t xml:space="preserve"> Dale, Tallaght.</w:t>
      </w:r>
    </w:p>
    <w:p w14:paraId="73446FD8" w14:textId="77777777" w:rsidR="0019354D" w:rsidRPr="000F0EBB" w:rsidRDefault="0019354D" w:rsidP="00AB37CB">
      <w:pPr>
        <w:pStyle w:val="ListParagraph"/>
        <w:spacing w:after="0" w:line="276" w:lineRule="auto"/>
        <w:ind w:left="360" w:firstLine="0"/>
        <w:mirrorIndents/>
        <w:textAlignment w:val="baseline"/>
        <w:rPr>
          <w:color w:val="000000" w:themeColor="text1"/>
          <w:szCs w:val="23"/>
          <w:lang w:val="en-GB"/>
        </w:rPr>
      </w:pPr>
    </w:p>
    <w:p w14:paraId="63F5E4F9" w14:textId="77777777" w:rsidR="00141FA3" w:rsidRPr="00EB6AFA" w:rsidRDefault="00141FA3" w:rsidP="000C6B6B">
      <w:pPr>
        <w:spacing w:after="0" w:line="276" w:lineRule="auto"/>
        <w:ind w:left="0" w:firstLine="0"/>
        <w:textAlignment w:val="baseline"/>
        <w:rPr>
          <w:rFonts w:eastAsia="Times New Roman"/>
          <w:color w:val="auto"/>
          <w:kern w:val="0"/>
          <w:szCs w:val="23"/>
          <w:lang w:val="en-GB"/>
          <w14:ligatures w14:val="none"/>
        </w:rPr>
      </w:pPr>
      <w:r w:rsidRPr="00EB6AFA">
        <w:rPr>
          <w:rFonts w:eastAsia="Times New Roman"/>
          <w:b/>
          <w:bCs/>
          <w:color w:val="auto"/>
          <w:kern w:val="0"/>
          <w:szCs w:val="23"/>
          <w:lang w:val="en-GB"/>
          <w14:ligatures w14:val="none"/>
        </w:rPr>
        <w:t xml:space="preserve">Lead a healthy, active and participative county </w:t>
      </w:r>
      <w:r w:rsidRPr="00EB6AFA">
        <w:rPr>
          <w:rFonts w:eastAsia="Times New Roman"/>
          <w:color w:val="auto"/>
          <w:kern w:val="0"/>
          <w:szCs w:val="23"/>
          <w:lang w:val="en-GB"/>
          <w14:ligatures w14:val="none"/>
        </w:rPr>
        <w:t> </w:t>
      </w:r>
    </w:p>
    <w:p w14:paraId="1363F395" w14:textId="69F3005E" w:rsidR="00141FA3" w:rsidRPr="0078451D" w:rsidRDefault="00141FA3" w:rsidP="0078451D">
      <w:pPr>
        <w:pStyle w:val="ListParagraph"/>
        <w:numPr>
          <w:ilvl w:val="0"/>
          <w:numId w:val="35"/>
        </w:numPr>
        <w:spacing w:after="0" w:line="276" w:lineRule="auto"/>
        <w:mirrorIndents/>
        <w:textAlignment w:val="baseline"/>
        <w:rPr>
          <w:color w:val="000000" w:themeColor="text1"/>
          <w:kern w:val="0"/>
          <w:szCs w:val="23"/>
          <w:lang w:val="en-US"/>
          <w14:ligatures w14:val="none"/>
        </w:rPr>
      </w:pPr>
      <w:r w:rsidRPr="0078451D">
        <w:rPr>
          <w:color w:val="000000" w:themeColor="text1"/>
          <w:szCs w:val="23"/>
          <w:lang w:val="en-US"/>
        </w:rPr>
        <w:t xml:space="preserve">The Local Community Development Committee met seven times </w:t>
      </w:r>
      <w:r w:rsidR="00987179">
        <w:rPr>
          <w:color w:val="000000" w:themeColor="text1"/>
          <w:szCs w:val="23"/>
          <w:lang w:val="en-US"/>
        </w:rPr>
        <w:t xml:space="preserve">and the </w:t>
      </w:r>
      <w:r w:rsidRPr="0078451D">
        <w:rPr>
          <w:color w:val="000000" w:themeColor="text1"/>
          <w:szCs w:val="23"/>
          <w:lang w:val="en-US"/>
        </w:rPr>
        <w:t xml:space="preserve">Local Economic and Community Plan was adopted </w:t>
      </w:r>
      <w:r w:rsidR="00987179">
        <w:rPr>
          <w:color w:val="000000" w:themeColor="text1"/>
          <w:szCs w:val="23"/>
          <w:lang w:val="en-US"/>
        </w:rPr>
        <w:t>in December</w:t>
      </w:r>
      <w:r w:rsidRPr="0078451D">
        <w:rPr>
          <w:color w:val="000000" w:themeColor="text1"/>
          <w:szCs w:val="23"/>
          <w:lang w:val="en-US"/>
        </w:rPr>
        <w:t>. Th</w:t>
      </w:r>
      <w:r w:rsidR="00B55F63">
        <w:rPr>
          <w:color w:val="000000" w:themeColor="text1"/>
          <w:szCs w:val="23"/>
          <w:lang w:val="en-US"/>
        </w:rPr>
        <w:t xml:space="preserve">is </w:t>
      </w:r>
      <w:r w:rsidRPr="0078451D">
        <w:rPr>
          <w:color w:val="000000" w:themeColor="text1"/>
          <w:szCs w:val="23"/>
          <w:lang w:val="en-US"/>
        </w:rPr>
        <w:t xml:space="preserve">integrated plan </w:t>
      </w:r>
      <w:r w:rsidR="00A60AE2">
        <w:rPr>
          <w:color w:val="000000" w:themeColor="text1"/>
          <w:szCs w:val="23"/>
          <w:lang w:val="en-US"/>
        </w:rPr>
        <w:t xml:space="preserve">involving </w:t>
      </w:r>
      <w:r w:rsidR="0006775E" w:rsidRPr="0078451D">
        <w:rPr>
          <w:color w:val="000000" w:themeColor="text1"/>
          <w:szCs w:val="23"/>
          <w:lang w:val="en-US"/>
        </w:rPr>
        <w:t>multiple internal and external stakeholders</w:t>
      </w:r>
      <w:r w:rsidR="00A60AE2">
        <w:rPr>
          <w:color w:val="000000" w:themeColor="text1"/>
          <w:szCs w:val="23"/>
          <w:lang w:val="en-US"/>
        </w:rPr>
        <w:t xml:space="preserve"> </w:t>
      </w:r>
      <w:r w:rsidRPr="0078451D">
        <w:rPr>
          <w:color w:val="000000" w:themeColor="text1"/>
          <w:szCs w:val="23"/>
          <w:lang w:val="en-US"/>
        </w:rPr>
        <w:t xml:space="preserve">will guide economic and community development over the next </w:t>
      </w:r>
      <w:r w:rsidR="0096036C">
        <w:rPr>
          <w:color w:val="000000" w:themeColor="text1"/>
          <w:szCs w:val="23"/>
          <w:lang w:val="en-US"/>
        </w:rPr>
        <w:t>six</w:t>
      </w:r>
      <w:r w:rsidRPr="0078451D">
        <w:rPr>
          <w:color w:val="000000" w:themeColor="text1"/>
          <w:szCs w:val="23"/>
          <w:lang w:val="en-US"/>
        </w:rPr>
        <w:t xml:space="preserve"> </w:t>
      </w:r>
      <w:r w:rsidR="006A2D73" w:rsidRPr="0078451D">
        <w:rPr>
          <w:color w:val="000000" w:themeColor="text1"/>
          <w:szCs w:val="23"/>
          <w:lang w:val="en-US"/>
        </w:rPr>
        <w:t>years.</w:t>
      </w:r>
    </w:p>
    <w:p w14:paraId="7AD9A134" w14:textId="0EBEAEAD" w:rsidR="00141FA3" w:rsidRPr="00D12BD0" w:rsidRDefault="00772616">
      <w:pPr>
        <w:pStyle w:val="ListParagraph"/>
        <w:numPr>
          <w:ilvl w:val="0"/>
          <w:numId w:val="35"/>
        </w:numPr>
        <w:spacing w:after="0" w:line="276" w:lineRule="auto"/>
        <w:mirrorIndents/>
        <w:rPr>
          <w:color w:val="000000" w:themeColor="text1"/>
          <w:szCs w:val="23"/>
          <w:lang w:val="en-US"/>
        </w:rPr>
      </w:pPr>
      <w:r w:rsidRPr="00D12BD0">
        <w:rPr>
          <w:color w:val="000000" w:themeColor="text1"/>
          <w:szCs w:val="23"/>
          <w:lang w:val="en-US"/>
        </w:rPr>
        <w:t xml:space="preserve">31 community </w:t>
      </w:r>
      <w:proofErr w:type="spellStart"/>
      <w:r w:rsidRPr="00D12BD0">
        <w:rPr>
          <w:color w:val="000000" w:themeColor="text1"/>
          <w:szCs w:val="23"/>
          <w:lang w:val="en-US"/>
        </w:rPr>
        <w:t>centre</w:t>
      </w:r>
      <w:proofErr w:type="spellEnd"/>
      <w:r w:rsidRPr="00D12BD0">
        <w:rPr>
          <w:color w:val="000000" w:themeColor="text1"/>
          <w:szCs w:val="23"/>
          <w:lang w:val="en-US"/>
        </w:rPr>
        <w:t xml:space="preserve"> management support fund grants were approved totaling €729,245 along with </w:t>
      </w:r>
      <w:r w:rsidR="00D12BD0" w:rsidRPr="00D12BD0">
        <w:rPr>
          <w:color w:val="000000" w:themeColor="text1"/>
          <w:szCs w:val="23"/>
          <w:lang w:val="en-US"/>
        </w:rPr>
        <w:t xml:space="preserve">17 community infrastructure </w:t>
      </w:r>
      <w:r w:rsidR="00A60AE2">
        <w:rPr>
          <w:color w:val="000000" w:themeColor="text1"/>
          <w:szCs w:val="23"/>
          <w:lang w:val="en-US"/>
        </w:rPr>
        <w:t xml:space="preserve">fund grants </w:t>
      </w:r>
      <w:r w:rsidR="00D12BD0" w:rsidRPr="00D12BD0">
        <w:rPr>
          <w:color w:val="000000" w:themeColor="text1"/>
          <w:szCs w:val="23"/>
          <w:lang w:val="en-US"/>
        </w:rPr>
        <w:t xml:space="preserve">(€401,750), </w:t>
      </w:r>
      <w:r w:rsidR="00141FA3" w:rsidRPr="00D12BD0">
        <w:rPr>
          <w:color w:val="000000" w:themeColor="text1"/>
          <w:szCs w:val="23"/>
          <w:lang w:val="en"/>
        </w:rPr>
        <w:t>177 community development grants</w:t>
      </w:r>
      <w:r w:rsidR="00D12BD0" w:rsidRPr="00D12BD0">
        <w:rPr>
          <w:color w:val="000000" w:themeColor="text1"/>
          <w:szCs w:val="23"/>
          <w:lang w:val="en"/>
        </w:rPr>
        <w:t xml:space="preserve"> (€</w:t>
      </w:r>
      <w:r w:rsidR="00141FA3" w:rsidRPr="00D12BD0">
        <w:rPr>
          <w:color w:val="000000" w:themeColor="text1"/>
          <w:szCs w:val="23"/>
          <w:lang w:val="en"/>
        </w:rPr>
        <w:t>263,9</w:t>
      </w:r>
      <w:r w:rsidRPr="00D12BD0">
        <w:rPr>
          <w:color w:val="000000" w:themeColor="text1"/>
          <w:szCs w:val="23"/>
          <w:lang w:val="en"/>
        </w:rPr>
        <w:t>90</w:t>
      </w:r>
      <w:r w:rsidR="00D12BD0" w:rsidRPr="00D12BD0">
        <w:rPr>
          <w:color w:val="000000" w:themeColor="text1"/>
          <w:szCs w:val="23"/>
          <w:lang w:val="en"/>
        </w:rPr>
        <w:t>)</w:t>
      </w:r>
      <w:r w:rsidR="00EC19F2" w:rsidRPr="00D12BD0">
        <w:rPr>
          <w:color w:val="000000" w:themeColor="text1"/>
          <w:szCs w:val="23"/>
          <w:lang w:val="en"/>
        </w:rPr>
        <w:t>,</w:t>
      </w:r>
      <w:r w:rsidRPr="00D12BD0">
        <w:rPr>
          <w:color w:val="000000" w:themeColor="text1"/>
          <w:szCs w:val="23"/>
          <w:lang w:val="en"/>
        </w:rPr>
        <w:t xml:space="preserve"> </w:t>
      </w:r>
      <w:r w:rsidR="00141FA3" w:rsidRPr="00D12BD0">
        <w:rPr>
          <w:color w:val="000000" w:themeColor="text1"/>
          <w:szCs w:val="23"/>
          <w:lang w:val="en"/>
        </w:rPr>
        <w:t xml:space="preserve">summer project grants </w:t>
      </w:r>
      <w:r w:rsidR="00D12BD0" w:rsidRPr="00D12BD0">
        <w:rPr>
          <w:color w:val="000000" w:themeColor="text1"/>
          <w:szCs w:val="23"/>
          <w:lang w:val="en"/>
        </w:rPr>
        <w:t>(</w:t>
      </w:r>
      <w:r w:rsidR="00141FA3" w:rsidRPr="00D12BD0">
        <w:rPr>
          <w:color w:val="000000" w:themeColor="text1"/>
          <w:szCs w:val="23"/>
          <w:lang w:val="en"/>
        </w:rPr>
        <w:t>€77,753</w:t>
      </w:r>
      <w:r w:rsidR="00D12BD0" w:rsidRPr="00D12BD0">
        <w:rPr>
          <w:color w:val="000000" w:themeColor="text1"/>
          <w:szCs w:val="23"/>
          <w:lang w:val="en"/>
        </w:rPr>
        <w:t>)</w:t>
      </w:r>
      <w:r w:rsidR="00C308F9" w:rsidRPr="00D12BD0">
        <w:rPr>
          <w:color w:val="000000" w:themeColor="text1"/>
          <w:szCs w:val="23"/>
          <w:lang w:val="en"/>
        </w:rPr>
        <w:t xml:space="preserve"> and 1</w:t>
      </w:r>
      <w:r w:rsidR="00141FA3" w:rsidRPr="00D12BD0">
        <w:rPr>
          <w:color w:val="000000" w:themeColor="text1"/>
          <w:szCs w:val="23"/>
          <w:lang w:val="en"/>
        </w:rPr>
        <w:t xml:space="preserve">00 sports grants </w:t>
      </w:r>
      <w:r w:rsidR="00D12BD0">
        <w:rPr>
          <w:color w:val="000000" w:themeColor="text1"/>
          <w:szCs w:val="23"/>
          <w:lang w:val="en"/>
        </w:rPr>
        <w:t>(</w:t>
      </w:r>
      <w:r w:rsidR="00141FA3" w:rsidRPr="00D12BD0">
        <w:rPr>
          <w:color w:val="000000" w:themeColor="text1"/>
          <w:szCs w:val="23"/>
          <w:lang w:val="en"/>
        </w:rPr>
        <w:t>€185,052</w:t>
      </w:r>
      <w:r w:rsidR="00D12BD0">
        <w:rPr>
          <w:color w:val="000000" w:themeColor="text1"/>
          <w:szCs w:val="23"/>
          <w:lang w:val="en"/>
        </w:rPr>
        <w:t>).</w:t>
      </w:r>
    </w:p>
    <w:p w14:paraId="54A0C453" w14:textId="15877F00" w:rsidR="00141FA3" w:rsidRPr="0078451D" w:rsidRDefault="00141FA3" w:rsidP="0078451D">
      <w:pPr>
        <w:pStyle w:val="ListParagraph"/>
        <w:numPr>
          <w:ilvl w:val="0"/>
          <w:numId w:val="35"/>
        </w:numPr>
        <w:spacing w:after="0" w:line="276" w:lineRule="auto"/>
        <w:mirrorIndents/>
        <w:textAlignment w:val="baseline"/>
        <w:rPr>
          <w:rFonts w:eastAsia="Times New Roman"/>
          <w:color w:val="000000" w:themeColor="text1"/>
          <w:kern w:val="0"/>
          <w:szCs w:val="23"/>
          <w:lang w:val="en-US"/>
          <w14:ligatures w14:val="none"/>
        </w:rPr>
      </w:pPr>
      <w:r w:rsidRPr="0078451D">
        <w:rPr>
          <w:rFonts w:eastAsia="Times New Roman"/>
          <w:color w:val="000000" w:themeColor="text1"/>
          <w:kern w:val="0"/>
          <w:szCs w:val="23"/>
          <w:lang w:val="en-US"/>
          <w14:ligatures w14:val="none"/>
        </w:rPr>
        <w:t xml:space="preserve">24 community </w:t>
      </w:r>
      <w:proofErr w:type="spellStart"/>
      <w:r w:rsidRPr="0078451D">
        <w:rPr>
          <w:rFonts w:eastAsia="Times New Roman"/>
          <w:color w:val="000000" w:themeColor="text1"/>
          <w:kern w:val="0"/>
          <w:szCs w:val="23"/>
          <w:lang w:val="en-US"/>
          <w14:ligatures w14:val="none"/>
        </w:rPr>
        <w:t>centres</w:t>
      </w:r>
      <w:proofErr w:type="spellEnd"/>
      <w:r w:rsidRPr="0078451D">
        <w:rPr>
          <w:rFonts w:eastAsia="Times New Roman"/>
          <w:color w:val="000000" w:themeColor="text1"/>
          <w:kern w:val="0"/>
          <w:szCs w:val="23"/>
          <w:lang w:val="en-US"/>
          <w14:ligatures w14:val="none"/>
        </w:rPr>
        <w:t xml:space="preserve"> are now using the online booking system</w:t>
      </w:r>
      <w:r w:rsidR="00AC6127">
        <w:rPr>
          <w:rFonts w:eastAsia="Times New Roman"/>
          <w:color w:val="000000" w:themeColor="text1"/>
          <w:kern w:val="0"/>
          <w:szCs w:val="23"/>
          <w:lang w:val="en-US"/>
          <w14:ligatures w14:val="none"/>
        </w:rPr>
        <w:t xml:space="preserve"> which was </w:t>
      </w:r>
      <w:r w:rsidRPr="0078451D">
        <w:rPr>
          <w:rFonts w:eastAsia="Times New Roman"/>
          <w:color w:val="000000" w:themeColor="text1"/>
          <w:kern w:val="0"/>
          <w:szCs w:val="23"/>
          <w:lang w:val="en-US"/>
          <w14:ligatures w14:val="none"/>
        </w:rPr>
        <w:t xml:space="preserve">used by the public to book 89,868 hours in our facilities </w:t>
      </w:r>
      <w:r w:rsidR="00AC6127">
        <w:rPr>
          <w:rFonts w:eastAsia="Times New Roman"/>
          <w:color w:val="000000" w:themeColor="text1"/>
          <w:kern w:val="0"/>
          <w:szCs w:val="23"/>
          <w:lang w:val="en-US"/>
          <w14:ligatures w14:val="none"/>
        </w:rPr>
        <w:t xml:space="preserve">for </w:t>
      </w:r>
      <w:r w:rsidRPr="0078451D">
        <w:rPr>
          <w:rFonts w:eastAsia="Times New Roman"/>
          <w:color w:val="000000" w:themeColor="text1"/>
          <w:kern w:val="0"/>
          <w:szCs w:val="23"/>
          <w:lang w:val="en-US"/>
          <w14:ligatures w14:val="none"/>
        </w:rPr>
        <w:t xml:space="preserve">114,931 participants </w:t>
      </w:r>
      <w:r w:rsidR="00255E75">
        <w:rPr>
          <w:rFonts w:eastAsia="Times New Roman"/>
          <w:color w:val="000000" w:themeColor="text1"/>
          <w:kern w:val="0"/>
          <w:szCs w:val="23"/>
          <w:lang w:val="en-US"/>
          <w14:ligatures w14:val="none"/>
        </w:rPr>
        <w:t xml:space="preserve">generating </w:t>
      </w:r>
      <w:r w:rsidRPr="0078451D">
        <w:rPr>
          <w:rFonts w:eastAsia="Times New Roman"/>
          <w:color w:val="000000" w:themeColor="text1"/>
          <w:kern w:val="0"/>
          <w:szCs w:val="23"/>
          <w:lang w:val="en-US"/>
          <w14:ligatures w14:val="none"/>
        </w:rPr>
        <w:t>€758,97</w:t>
      </w:r>
      <w:r w:rsidR="00D12BD0">
        <w:rPr>
          <w:rFonts w:eastAsia="Times New Roman"/>
          <w:color w:val="000000" w:themeColor="text1"/>
          <w:kern w:val="0"/>
          <w:szCs w:val="23"/>
          <w:lang w:val="en-US"/>
          <w14:ligatures w14:val="none"/>
        </w:rPr>
        <w:t>5</w:t>
      </w:r>
      <w:r w:rsidRPr="0078451D">
        <w:rPr>
          <w:rFonts w:eastAsia="Times New Roman"/>
          <w:color w:val="000000" w:themeColor="text1"/>
          <w:kern w:val="0"/>
          <w:szCs w:val="23"/>
          <w:lang w:val="en-US"/>
          <w14:ligatures w14:val="none"/>
        </w:rPr>
        <w:t xml:space="preserve"> in revenue.</w:t>
      </w:r>
    </w:p>
    <w:p w14:paraId="369889D5" w14:textId="6475426B" w:rsidR="00141FA3" w:rsidRPr="002B6CD9" w:rsidRDefault="00AE4048">
      <w:pPr>
        <w:pStyle w:val="ListParagraph"/>
        <w:numPr>
          <w:ilvl w:val="0"/>
          <w:numId w:val="35"/>
        </w:numPr>
        <w:spacing w:after="0" w:line="276" w:lineRule="auto"/>
        <w:mirrorIndents/>
        <w:textAlignment w:val="baseline"/>
        <w:rPr>
          <w:rFonts w:eastAsia="Times New Roman"/>
          <w:color w:val="000000" w:themeColor="text1"/>
          <w:kern w:val="0"/>
          <w:szCs w:val="23"/>
          <w:lang w:val="en-GB"/>
          <w14:ligatures w14:val="none"/>
        </w:rPr>
      </w:pPr>
      <w:r w:rsidRPr="002B6CD9">
        <w:rPr>
          <w:rFonts w:eastAsia="Times New Roman"/>
          <w:color w:val="000000" w:themeColor="text1"/>
          <w:kern w:val="0"/>
          <w:szCs w:val="23"/>
          <w:lang w:val="en"/>
          <w14:ligatures w14:val="none"/>
        </w:rPr>
        <w:t xml:space="preserve">Work was completed to deliver new community facilities at </w:t>
      </w:r>
      <w:proofErr w:type="spellStart"/>
      <w:r w:rsidRPr="002B6CD9">
        <w:rPr>
          <w:rFonts w:eastAsia="Times New Roman"/>
          <w:color w:val="000000" w:themeColor="text1"/>
          <w:kern w:val="0"/>
          <w:szCs w:val="23"/>
          <w:lang w:val="en"/>
          <w14:ligatures w14:val="none"/>
        </w:rPr>
        <w:t>Saggart</w:t>
      </w:r>
      <w:proofErr w:type="spellEnd"/>
      <w:r w:rsidRPr="002B6CD9">
        <w:rPr>
          <w:rFonts w:eastAsia="Times New Roman"/>
          <w:color w:val="000000" w:themeColor="text1"/>
          <w:kern w:val="0"/>
          <w:szCs w:val="23"/>
          <w:lang w:val="en"/>
          <w14:ligatures w14:val="none"/>
        </w:rPr>
        <w:t xml:space="preserve"> School House, </w:t>
      </w:r>
      <w:proofErr w:type="spellStart"/>
      <w:r w:rsidRPr="002B6CD9">
        <w:rPr>
          <w:rFonts w:eastAsia="Times New Roman"/>
          <w:color w:val="000000" w:themeColor="text1"/>
          <w:kern w:val="0"/>
          <w:szCs w:val="23"/>
          <w:lang w:val="en"/>
          <w14:ligatures w14:val="none"/>
        </w:rPr>
        <w:t>Glenasmole</w:t>
      </w:r>
      <w:proofErr w:type="spellEnd"/>
      <w:r w:rsidRPr="002B6CD9">
        <w:rPr>
          <w:rFonts w:eastAsia="Times New Roman"/>
          <w:color w:val="000000" w:themeColor="text1"/>
          <w:kern w:val="0"/>
          <w:szCs w:val="23"/>
          <w:lang w:val="en"/>
          <w14:ligatures w14:val="none"/>
        </w:rPr>
        <w:t xml:space="preserve">, Orchard Lodge Age Friendly Centre and </w:t>
      </w:r>
      <w:proofErr w:type="spellStart"/>
      <w:r w:rsidRPr="002B6CD9">
        <w:rPr>
          <w:rFonts w:eastAsia="Times New Roman"/>
          <w:color w:val="000000" w:themeColor="text1"/>
          <w:kern w:val="0"/>
          <w:szCs w:val="23"/>
          <w:lang w:val="en"/>
          <w14:ligatures w14:val="none"/>
        </w:rPr>
        <w:t>Balgaddy</w:t>
      </w:r>
      <w:proofErr w:type="spellEnd"/>
      <w:r w:rsidR="002B6CD9" w:rsidRPr="002B6CD9">
        <w:rPr>
          <w:rFonts w:eastAsia="Times New Roman"/>
          <w:color w:val="000000" w:themeColor="text1"/>
          <w:kern w:val="0"/>
          <w:szCs w:val="23"/>
          <w:lang w:val="en"/>
          <w14:ligatures w14:val="none"/>
        </w:rPr>
        <w:t xml:space="preserve"> along with </w:t>
      </w:r>
      <w:r w:rsidR="002B6CD9">
        <w:rPr>
          <w:rFonts w:eastAsia="Times New Roman"/>
          <w:color w:val="000000" w:themeColor="text1"/>
          <w:kern w:val="0"/>
          <w:szCs w:val="23"/>
          <w:lang w:val="en"/>
          <w14:ligatures w14:val="none"/>
        </w:rPr>
        <w:t>up</w:t>
      </w:r>
      <w:r w:rsidR="00141FA3" w:rsidRPr="002B6CD9">
        <w:rPr>
          <w:rFonts w:eastAsia="Times New Roman"/>
          <w:color w:val="000000" w:themeColor="text1"/>
          <w:kern w:val="0"/>
          <w:szCs w:val="23"/>
          <w:lang w:val="en"/>
          <w14:ligatures w14:val="none"/>
        </w:rPr>
        <w:t>grade works on Rathcoole Courthouse</w:t>
      </w:r>
      <w:r w:rsidR="002B6CD9">
        <w:rPr>
          <w:rFonts w:eastAsia="Times New Roman"/>
          <w:color w:val="000000" w:themeColor="text1"/>
          <w:kern w:val="0"/>
          <w:szCs w:val="23"/>
          <w:lang w:val="en"/>
          <w14:ligatures w14:val="none"/>
        </w:rPr>
        <w:t>.</w:t>
      </w:r>
    </w:p>
    <w:p w14:paraId="14EC7684" w14:textId="396F94B8" w:rsidR="00141FA3" w:rsidRPr="0078451D" w:rsidRDefault="00141FA3" w:rsidP="0078451D">
      <w:pPr>
        <w:pStyle w:val="ListParagraph"/>
        <w:numPr>
          <w:ilvl w:val="0"/>
          <w:numId w:val="35"/>
        </w:numPr>
        <w:spacing w:after="0" w:line="276" w:lineRule="auto"/>
        <w:mirrorIndents/>
        <w:textAlignment w:val="baseline"/>
        <w:rPr>
          <w:rFonts w:eastAsia="Times New Roman"/>
          <w:color w:val="000000" w:themeColor="text1"/>
          <w:kern w:val="0"/>
          <w:szCs w:val="23"/>
          <w:lang w:val="en-GB"/>
          <w14:ligatures w14:val="none"/>
        </w:rPr>
      </w:pPr>
      <w:r w:rsidRPr="0078451D">
        <w:rPr>
          <w:rFonts w:eastAsia="Times New Roman"/>
          <w:color w:val="000000" w:themeColor="text1"/>
          <w:kern w:val="0"/>
          <w:szCs w:val="23"/>
          <w:lang w:val="en"/>
          <w14:ligatures w14:val="none"/>
        </w:rPr>
        <w:t xml:space="preserve">Plans progressed for the Citywest and </w:t>
      </w:r>
      <w:proofErr w:type="spellStart"/>
      <w:r w:rsidRPr="0078451D">
        <w:rPr>
          <w:rFonts w:eastAsia="Times New Roman"/>
          <w:color w:val="000000" w:themeColor="text1"/>
          <w:kern w:val="0"/>
          <w:szCs w:val="23"/>
          <w:lang w:val="en"/>
          <w14:ligatures w14:val="none"/>
        </w:rPr>
        <w:t>Kilcarbery</w:t>
      </w:r>
      <w:proofErr w:type="spellEnd"/>
      <w:r w:rsidRPr="0078451D">
        <w:rPr>
          <w:rFonts w:eastAsia="Times New Roman"/>
          <w:color w:val="000000" w:themeColor="text1"/>
          <w:kern w:val="0"/>
          <w:szCs w:val="23"/>
          <w:lang w:val="en"/>
          <w14:ligatures w14:val="none"/>
        </w:rPr>
        <w:t xml:space="preserve"> community facilities, and local engagement and design work </w:t>
      </w:r>
      <w:r w:rsidR="00550CCF">
        <w:rPr>
          <w:rFonts w:eastAsia="Times New Roman"/>
          <w:color w:val="000000" w:themeColor="text1"/>
          <w:kern w:val="0"/>
          <w:szCs w:val="23"/>
          <w:lang w:val="en"/>
          <w14:ligatures w14:val="none"/>
        </w:rPr>
        <w:t xml:space="preserve">continued </w:t>
      </w:r>
      <w:r w:rsidRPr="0078451D">
        <w:rPr>
          <w:rFonts w:eastAsia="Times New Roman"/>
          <w:color w:val="000000" w:themeColor="text1"/>
          <w:kern w:val="0"/>
          <w:szCs w:val="23"/>
          <w:lang w:val="en"/>
          <w14:ligatures w14:val="none"/>
        </w:rPr>
        <w:t xml:space="preserve">for upgrades to existing community facilities at </w:t>
      </w:r>
      <w:r w:rsidR="00550CCF">
        <w:rPr>
          <w:rFonts w:eastAsia="Times New Roman"/>
          <w:color w:val="000000" w:themeColor="text1"/>
          <w:kern w:val="0"/>
          <w:szCs w:val="23"/>
          <w:lang w:val="en"/>
          <w14:ligatures w14:val="none"/>
        </w:rPr>
        <w:t xml:space="preserve">Newcastle, </w:t>
      </w:r>
      <w:r w:rsidRPr="0078451D">
        <w:rPr>
          <w:rFonts w:eastAsia="Times New Roman"/>
          <w:color w:val="000000" w:themeColor="text1"/>
          <w:kern w:val="0"/>
          <w:szCs w:val="23"/>
          <w:lang w:val="en"/>
          <w14:ligatures w14:val="none"/>
        </w:rPr>
        <w:t>Ballyroan and The Park Centre.</w:t>
      </w:r>
    </w:p>
    <w:p w14:paraId="4E8B5A07" w14:textId="1ECC1C5A" w:rsidR="00141FA3" w:rsidRPr="0078451D" w:rsidRDefault="00141FA3" w:rsidP="0078451D">
      <w:pPr>
        <w:pStyle w:val="ListParagraph"/>
        <w:numPr>
          <w:ilvl w:val="0"/>
          <w:numId w:val="35"/>
        </w:numPr>
        <w:spacing w:after="0" w:line="276" w:lineRule="auto"/>
        <w:mirrorIndents/>
        <w:textAlignment w:val="baseline"/>
        <w:rPr>
          <w:rFonts w:eastAsia="Times New Roman"/>
          <w:color w:val="000000" w:themeColor="text1"/>
          <w:kern w:val="0"/>
          <w:szCs w:val="23"/>
          <w:lang w:val="en-GB"/>
          <w14:ligatures w14:val="none"/>
        </w:rPr>
      </w:pPr>
      <w:r w:rsidRPr="0078451D">
        <w:rPr>
          <w:rFonts w:eastAsia="Times New Roman"/>
          <w:color w:val="000000" w:themeColor="text1"/>
          <w:kern w:val="0"/>
          <w:szCs w:val="23"/>
          <w:lang w:val="en"/>
          <w14:ligatures w14:val="none"/>
        </w:rPr>
        <w:t xml:space="preserve">Works commenced on the all-weather pitch at Belgard Community Centre and design work </w:t>
      </w:r>
      <w:r w:rsidR="00B5403A">
        <w:rPr>
          <w:rFonts w:eastAsia="Times New Roman"/>
          <w:color w:val="000000" w:themeColor="text1"/>
          <w:kern w:val="0"/>
          <w:szCs w:val="23"/>
          <w:lang w:val="en"/>
          <w14:ligatures w14:val="none"/>
        </w:rPr>
        <w:t xml:space="preserve">also began on the proposed </w:t>
      </w:r>
      <w:r w:rsidRPr="0078451D">
        <w:rPr>
          <w:rFonts w:eastAsia="Times New Roman"/>
          <w:color w:val="000000" w:themeColor="text1"/>
          <w:kern w:val="0"/>
          <w:szCs w:val="23"/>
          <w:lang w:val="en"/>
          <w14:ligatures w14:val="none"/>
        </w:rPr>
        <w:t>Whitechurch Sports Facility.</w:t>
      </w:r>
    </w:p>
    <w:p w14:paraId="5309A199" w14:textId="76DF32B3" w:rsidR="00141FA3" w:rsidRPr="0078451D" w:rsidRDefault="00B5403A" w:rsidP="0078451D">
      <w:pPr>
        <w:pStyle w:val="ListParagraph"/>
        <w:numPr>
          <w:ilvl w:val="0"/>
          <w:numId w:val="35"/>
        </w:numPr>
        <w:spacing w:after="0" w:line="276" w:lineRule="auto"/>
        <w:mirrorIndents/>
        <w:textAlignment w:val="baseline"/>
        <w:rPr>
          <w:color w:val="000000" w:themeColor="text1"/>
          <w:kern w:val="0"/>
          <w:lang w:val="en"/>
          <w14:ligatures w14:val="none"/>
        </w:rPr>
      </w:pPr>
      <w:r w:rsidRPr="38E08A54">
        <w:rPr>
          <w:color w:val="000000" w:themeColor="text1"/>
          <w:lang w:val="en"/>
        </w:rPr>
        <w:t>Implementation of our</w:t>
      </w:r>
      <w:r w:rsidR="00141FA3" w:rsidRPr="38E08A54">
        <w:rPr>
          <w:color w:val="000000" w:themeColor="text1"/>
          <w:lang w:val="en"/>
        </w:rPr>
        <w:t xml:space="preserve"> Active South Dublin </w:t>
      </w:r>
      <w:r w:rsidRPr="38E08A54">
        <w:rPr>
          <w:color w:val="000000" w:themeColor="text1"/>
          <w:lang w:val="en"/>
        </w:rPr>
        <w:t xml:space="preserve">Plan </w:t>
      </w:r>
      <w:r w:rsidR="00141FA3" w:rsidRPr="38E08A54">
        <w:rPr>
          <w:color w:val="000000" w:themeColor="text1"/>
          <w:lang w:val="en"/>
        </w:rPr>
        <w:t>continued with</w:t>
      </w:r>
      <w:r w:rsidR="00141FA3" w:rsidRPr="38E08A54">
        <w:rPr>
          <w:color w:val="000000" w:themeColor="text1"/>
          <w:lang w:val="en-GB"/>
        </w:rPr>
        <w:t xml:space="preserve"> </w:t>
      </w:r>
      <w:r w:rsidR="00141FA3" w:rsidRPr="38E08A54">
        <w:rPr>
          <w:color w:val="000000" w:themeColor="text1"/>
          <w:lang w:val="en"/>
        </w:rPr>
        <w:t xml:space="preserve">delivery of school </w:t>
      </w:r>
      <w:proofErr w:type="spellStart"/>
      <w:r w:rsidR="00141FA3" w:rsidRPr="38E08A54">
        <w:rPr>
          <w:color w:val="000000" w:themeColor="text1"/>
          <w:lang w:val="en"/>
        </w:rPr>
        <w:t>programmes</w:t>
      </w:r>
      <w:proofErr w:type="spellEnd"/>
      <w:r w:rsidR="00141FA3" w:rsidRPr="38E08A54">
        <w:rPr>
          <w:color w:val="000000" w:themeColor="text1"/>
          <w:lang w:val="en"/>
        </w:rPr>
        <w:t xml:space="preserve"> including indoor rowing, </w:t>
      </w:r>
      <w:r w:rsidR="00C82891" w:rsidRPr="38E08A54">
        <w:rPr>
          <w:color w:val="000000" w:themeColor="text1"/>
          <w:lang w:val="en"/>
        </w:rPr>
        <w:t>athletics,</w:t>
      </w:r>
      <w:r w:rsidR="00141FA3" w:rsidRPr="38E08A54">
        <w:rPr>
          <w:color w:val="000000" w:themeColor="text1"/>
          <w:lang w:val="en"/>
        </w:rPr>
        <w:t xml:space="preserve"> swimming and the ‘Try One Challenge’ in community </w:t>
      </w:r>
      <w:proofErr w:type="spellStart"/>
      <w:r w:rsidR="00141FA3" w:rsidRPr="38E08A54">
        <w:rPr>
          <w:color w:val="000000" w:themeColor="text1"/>
          <w:lang w:val="en"/>
        </w:rPr>
        <w:t>centres</w:t>
      </w:r>
      <w:proofErr w:type="spellEnd"/>
      <w:r w:rsidR="00141FA3" w:rsidRPr="38E08A54">
        <w:rPr>
          <w:color w:val="000000" w:themeColor="text1"/>
          <w:lang w:val="en"/>
        </w:rPr>
        <w:t xml:space="preserve"> and settings</w:t>
      </w:r>
      <w:r w:rsidRPr="38E08A54">
        <w:rPr>
          <w:color w:val="000000" w:themeColor="text1"/>
          <w:lang w:val="en-GB"/>
        </w:rPr>
        <w:t xml:space="preserve">, along with ongoing support for the Active South Dublin </w:t>
      </w:r>
      <w:r w:rsidRPr="38E08A54">
        <w:rPr>
          <w:color w:val="000000" w:themeColor="text1"/>
          <w:lang w:val="en"/>
        </w:rPr>
        <w:t>amateur sports awards</w:t>
      </w:r>
      <w:r w:rsidR="00141FA3" w:rsidRPr="38E08A54">
        <w:rPr>
          <w:color w:val="000000" w:themeColor="text1"/>
          <w:lang w:val="en"/>
        </w:rPr>
        <w:t xml:space="preserve">. Additional highlights included the expanded Active Parks </w:t>
      </w:r>
      <w:proofErr w:type="spellStart"/>
      <w:r w:rsidR="00141FA3" w:rsidRPr="38E08A54">
        <w:rPr>
          <w:color w:val="000000" w:themeColor="text1"/>
          <w:lang w:val="en"/>
        </w:rPr>
        <w:t>programme</w:t>
      </w:r>
      <w:proofErr w:type="spellEnd"/>
      <w:r w:rsidR="00141FA3" w:rsidRPr="38E08A54">
        <w:rPr>
          <w:color w:val="000000" w:themeColor="text1"/>
          <w:lang w:val="en"/>
        </w:rPr>
        <w:t xml:space="preserve"> in July and August, the </w:t>
      </w:r>
      <w:proofErr w:type="spellStart"/>
      <w:r w:rsidR="00141FA3" w:rsidRPr="38E08A54">
        <w:rPr>
          <w:color w:val="000000" w:themeColor="text1"/>
          <w:lang w:val="en"/>
        </w:rPr>
        <w:t>Colour</w:t>
      </w:r>
      <w:proofErr w:type="spellEnd"/>
      <w:r w:rsidR="00141FA3" w:rsidRPr="38E08A54">
        <w:rPr>
          <w:color w:val="000000" w:themeColor="text1"/>
          <w:lang w:val="en"/>
        </w:rPr>
        <w:t xml:space="preserve"> Dash in </w:t>
      </w:r>
      <w:proofErr w:type="spellStart"/>
      <w:r w:rsidR="00141FA3" w:rsidRPr="38E08A54">
        <w:rPr>
          <w:color w:val="000000" w:themeColor="text1"/>
          <w:lang w:val="en"/>
        </w:rPr>
        <w:t>Corkagh</w:t>
      </w:r>
      <w:proofErr w:type="spellEnd"/>
      <w:r w:rsidR="00141FA3" w:rsidRPr="38E08A54">
        <w:rPr>
          <w:color w:val="000000" w:themeColor="text1"/>
          <w:lang w:val="en"/>
        </w:rPr>
        <w:t xml:space="preserve"> Park with 1</w:t>
      </w:r>
      <w:r w:rsidR="00314734" w:rsidRPr="38E08A54">
        <w:rPr>
          <w:color w:val="000000" w:themeColor="text1"/>
          <w:lang w:val="en"/>
        </w:rPr>
        <w:t>,</w:t>
      </w:r>
      <w:r w:rsidR="00141FA3" w:rsidRPr="38E08A54">
        <w:rPr>
          <w:color w:val="000000" w:themeColor="text1"/>
          <w:lang w:val="en"/>
        </w:rPr>
        <w:t xml:space="preserve">500 participants in September and a new </w:t>
      </w:r>
      <w:r w:rsidR="00550CCF" w:rsidRPr="38E08A54">
        <w:rPr>
          <w:color w:val="000000" w:themeColor="text1"/>
          <w:lang w:val="en"/>
        </w:rPr>
        <w:t>nine</w:t>
      </w:r>
      <w:r w:rsidR="00851B3F" w:rsidRPr="38E08A54">
        <w:rPr>
          <w:color w:val="000000" w:themeColor="text1"/>
          <w:lang w:val="en"/>
        </w:rPr>
        <w:t>-</w:t>
      </w:r>
      <w:r w:rsidR="00550CCF" w:rsidRPr="38E08A54">
        <w:rPr>
          <w:color w:val="000000" w:themeColor="text1"/>
          <w:lang w:val="en"/>
        </w:rPr>
        <w:t>hole disc golf</w:t>
      </w:r>
      <w:r w:rsidR="00141FA3" w:rsidRPr="38E08A54">
        <w:rPr>
          <w:color w:val="000000" w:themeColor="text1"/>
          <w:lang w:val="en"/>
        </w:rPr>
        <w:t xml:space="preserve"> facility in </w:t>
      </w:r>
      <w:proofErr w:type="spellStart"/>
      <w:r w:rsidR="00141FA3" w:rsidRPr="38E08A54">
        <w:rPr>
          <w:color w:val="000000" w:themeColor="text1"/>
          <w:lang w:val="en"/>
        </w:rPr>
        <w:t>Corkagh</w:t>
      </w:r>
      <w:proofErr w:type="spellEnd"/>
      <w:r w:rsidR="00141FA3" w:rsidRPr="38E08A54">
        <w:rPr>
          <w:color w:val="000000" w:themeColor="text1"/>
          <w:lang w:val="en"/>
        </w:rPr>
        <w:t xml:space="preserve"> Park, the first public course of its kind in Ireland.</w:t>
      </w:r>
    </w:p>
    <w:p w14:paraId="3389495E" w14:textId="1376A887" w:rsidR="00141FA3" w:rsidRPr="0078451D" w:rsidRDefault="00141FA3" w:rsidP="0078451D">
      <w:pPr>
        <w:pStyle w:val="ListParagraph"/>
        <w:numPr>
          <w:ilvl w:val="0"/>
          <w:numId w:val="35"/>
        </w:numPr>
        <w:spacing w:after="0" w:line="276" w:lineRule="auto"/>
        <w:mirrorIndents/>
        <w:textAlignment w:val="baseline"/>
        <w:rPr>
          <w:color w:val="000000" w:themeColor="text1"/>
          <w:lang w:val="en"/>
        </w:rPr>
      </w:pPr>
      <w:r w:rsidRPr="38E08A54">
        <w:rPr>
          <w:color w:val="000000" w:themeColor="text1"/>
          <w:lang w:val="en"/>
        </w:rPr>
        <w:t xml:space="preserve">Our Healthy Ireland and </w:t>
      </w:r>
      <w:proofErr w:type="spellStart"/>
      <w:r w:rsidRPr="38E08A54">
        <w:rPr>
          <w:color w:val="000000" w:themeColor="text1"/>
          <w:lang w:val="en"/>
        </w:rPr>
        <w:t>Sláintecare</w:t>
      </w:r>
      <w:proofErr w:type="spellEnd"/>
      <w:r w:rsidRPr="38E08A54">
        <w:rPr>
          <w:color w:val="000000" w:themeColor="text1"/>
          <w:lang w:val="en"/>
        </w:rPr>
        <w:t xml:space="preserve"> </w:t>
      </w:r>
      <w:proofErr w:type="spellStart"/>
      <w:r w:rsidR="001750E2" w:rsidRPr="38E08A54">
        <w:rPr>
          <w:color w:val="000000" w:themeColor="text1"/>
          <w:lang w:val="en"/>
        </w:rPr>
        <w:t>programmes</w:t>
      </w:r>
      <w:proofErr w:type="spellEnd"/>
      <w:r w:rsidR="001750E2" w:rsidRPr="38E08A54">
        <w:rPr>
          <w:color w:val="000000" w:themeColor="text1"/>
          <w:lang w:val="en"/>
        </w:rPr>
        <w:t xml:space="preserve"> </w:t>
      </w:r>
      <w:r w:rsidRPr="38E08A54">
        <w:rPr>
          <w:color w:val="000000" w:themeColor="text1"/>
          <w:lang w:val="en"/>
        </w:rPr>
        <w:t xml:space="preserve">continued </w:t>
      </w:r>
      <w:r w:rsidR="001750E2" w:rsidRPr="38E08A54">
        <w:rPr>
          <w:color w:val="000000" w:themeColor="text1"/>
          <w:lang w:val="en"/>
        </w:rPr>
        <w:t xml:space="preserve">with </w:t>
      </w:r>
      <w:r w:rsidRPr="38E08A54">
        <w:rPr>
          <w:color w:val="000000" w:themeColor="text1"/>
          <w:lang w:val="en"/>
        </w:rPr>
        <w:t>a range of initiatives to address energy poverty</w:t>
      </w:r>
      <w:r w:rsidR="00081A23" w:rsidRPr="38E08A54">
        <w:rPr>
          <w:color w:val="000000" w:themeColor="text1"/>
          <w:lang w:val="en"/>
        </w:rPr>
        <w:t>,</w:t>
      </w:r>
      <w:r w:rsidRPr="38E08A54">
        <w:rPr>
          <w:color w:val="000000" w:themeColor="text1"/>
          <w:lang w:val="en"/>
        </w:rPr>
        <w:t xml:space="preserve"> community safety including the Community Safety Innovation Fund - Generation Connections Project in Mac Uilliam</w:t>
      </w:r>
      <w:r w:rsidRPr="38E08A54">
        <w:rPr>
          <w:color w:val="000000" w:themeColor="text1"/>
          <w:lang w:val="en-GB"/>
        </w:rPr>
        <w:t xml:space="preserve">, </w:t>
      </w:r>
      <w:r w:rsidRPr="38E08A54">
        <w:rPr>
          <w:color w:val="000000" w:themeColor="text1"/>
          <w:lang w:val="en"/>
        </w:rPr>
        <w:t xml:space="preserve">health inequalities, gambling related harm awareness and period poverty. We also supported </w:t>
      </w:r>
      <w:r w:rsidRPr="38E08A54">
        <w:rPr>
          <w:color w:val="000000" w:themeColor="text1"/>
          <w:lang w:val="en-GB"/>
        </w:rPr>
        <w:t>the ‘</w:t>
      </w:r>
      <w:r w:rsidRPr="38E08A54">
        <w:rPr>
          <w:color w:val="000000" w:themeColor="text1"/>
          <w:lang w:val="en"/>
        </w:rPr>
        <w:t xml:space="preserve">Grow it Yourself Schools </w:t>
      </w:r>
      <w:proofErr w:type="gramStart"/>
      <w:r w:rsidRPr="38E08A54">
        <w:rPr>
          <w:color w:val="000000" w:themeColor="text1"/>
          <w:lang w:val="en"/>
        </w:rPr>
        <w:t>Programme</w:t>
      </w:r>
      <w:r w:rsidR="00700D62" w:rsidRPr="38E08A54">
        <w:rPr>
          <w:color w:val="000000" w:themeColor="text1"/>
          <w:lang w:val="en"/>
        </w:rPr>
        <w:t>,’</w:t>
      </w:r>
      <w:proofErr w:type="gramEnd"/>
      <w:r w:rsidRPr="38E08A54">
        <w:rPr>
          <w:color w:val="000000" w:themeColor="text1"/>
          <w:lang w:val="en-GB"/>
        </w:rPr>
        <w:t xml:space="preserve"> a </w:t>
      </w:r>
      <w:r w:rsidR="0067248C" w:rsidRPr="38E08A54">
        <w:rPr>
          <w:color w:val="000000" w:themeColor="text1"/>
          <w:lang w:val="en"/>
        </w:rPr>
        <w:t>h</w:t>
      </w:r>
      <w:r w:rsidRPr="38E08A54">
        <w:rPr>
          <w:color w:val="000000" w:themeColor="text1"/>
          <w:lang w:val="en"/>
        </w:rPr>
        <w:t xml:space="preserve">ealth and </w:t>
      </w:r>
      <w:r w:rsidR="0067248C" w:rsidRPr="38E08A54">
        <w:rPr>
          <w:color w:val="000000" w:themeColor="text1"/>
          <w:lang w:val="en"/>
        </w:rPr>
        <w:t>w</w:t>
      </w:r>
      <w:r w:rsidRPr="38E08A54">
        <w:rPr>
          <w:color w:val="000000" w:themeColor="text1"/>
          <w:lang w:val="en"/>
        </w:rPr>
        <w:t xml:space="preserve">ellbeing </w:t>
      </w:r>
      <w:proofErr w:type="spellStart"/>
      <w:r w:rsidR="0067248C" w:rsidRPr="38E08A54">
        <w:rPr>
          <w:color w:val="000000" w:themeColor="text1"/>
          <w:lang w:val="en"/>
        </w:rPr>
        <w:t>p</w:t>
      </w:r>
      <w:r w:rsidRPr="38E08A54">
        <w:rPr>
          <w:color w:val="000000" w:themeColor="text1"/>
          <w:lang w:val="en"/>
        </w:rPr>
        <w:t>rogramme</w:t>
      </w:r>
      <w:proofErr w:type="spellEnd"/>
      <w:r w:rsidRPr="38E08A54">
        <w:rPr>
          <w:color w:val="000000" w:themeColor="text1"/>
          <w:lang w:val="en"/>
        </w:rPr>
        <w:t xml:space="preserve"> held across the community </w:t>
      </w:r>
      <w:proofErr w:type="spellStart"/>
      <w:r w:rsidRPr="38E08A54">
        <w:rPr>
          <w:color w:val="000000" w:themeColor="text1"/>
          <w:lang w:val="en"/>
        </w:rPr>
        <w:t>centre</w:t>
      </w:r>
      <w:proofErr w:type="spellEnd"/>
      <w:r w:rsidRPr="38E08A54">
        <w:rPr>
          <w:color w:val="000000" w:themeColor="text1"/>
          <w:lang w:val="en"/>
        </w:rPr>
        <w:t xml:space="preserve"> network and community-based health screenin</w:t>
      </w:r>
      <w:r w:rsidR="001750E2" w:rsidRPr="38E08A54">
        <w:rPr>
          <w:color w:val="000000" w:themeColor="text1"/>
          <w:lang w:val="en"/>
        </w:rPr>
        <w:t xml:space="preserve">g and assisted with </w:t>
      </w:r>
      <w:r w:rsidR="2B85877A" w:rsidRPr="38E08A54">
        <w:rPr>
          <w:color w:val="000000" w:themeColor="text1"/>
          <w:lang w:val="en"/>
        </w:rPr>
        <w:t xml:space="preserve">the </w:t>
      </w:r>
      <w:r w:rsidR="001750E2" w:rsidRPr="38E08A54">
        <w:rPr>
          <w:color w:val="000000" w:themeColor="text1"/>
          <w:lang w:val="en"/>
        </w:rPr>
        <w:t>de</w:t>
      </w:r>
      <w:r w:rsidRPr="38E08A54">
        <w:rPr>
          <w:color w:val="000000" w:themeColor="text1"/>
          <w:lang w:val="en"/>
        </w:rPr>
        <w:t xml:space="preserve">livery of a new natural playground in </w:t>
      </w:r>
      <w:proofErr w:type="spellStart"/>
      <w:r w:rsidRPr="38E08A54">
        <w:rPr>
          <w:color w:val="000000" w:themeColor="text1"/>
          <w:lang w:val="en"/>
        </w:rPr>
        <w:t>Jobstown</w:t>
      </w:r>
      <w:proofErr w:type="spellEnd"/>
      <w:r w:rsidRPr="38E08A54">
        <w:rPr>
          <w:color w:val="000000" w:themeColor="text1"/>
          <w:lang w:val="en"/>
        </w:rPr>
        <w:t xml:space="preserve"> Park.</w:t>
      </w:r>
    </w:p>
    <w:p w14:paraId="2FDD4381" w14:textId="77777777" w:rsidR="00046A14" w:rsidRPr="003E4E01" w:rsidRDefault="00046A14" w:rsidP="00023B95">
      <w:pPr>
        <w:spacing w:after="0" w:line="276" w:lineRule="auto"/>
        <w:ind w:left="0" w:hanging="426"/>
        <w:textAlignment w:val="baseline"/>
        <w:rPr>
          <w:rFonts w:asciiTheme="minorHAnsi" w:eastAsia="Times New Roman" w:hAnsiTheme="minorHAnsi" w:cstheme="minorHAnsi"/>
          <w:color w:val="auto"/>
          <w:kern w:val="0"/>
          <w:szCs w:val="23"/>
          <w:lang w:val="en-GB"/>
          <w14:ligatures w14:val="none"/>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44"/>
        <w:gridCol w:w="1817"/>
      </w:tblGrid>
      <w:tr w:rsidR="004A175D" w14:paraId="6DE9AA0F" w14:textId="77777777" w:rsidTr="00180B26">
        <w:trPr>
          <w:trHeight w:val="284"/>
          <w:jc w:val="center"/>
        </w:trPr>
        <w:tc>
          <w:tcPr>
            <w:tcW w:w="7344" w:type="dxa"/>
          </w:tcPr>
          <w:p w14:paraId="6A6D245D" w14:textId="2E5D56D1" w:rsidR="004A175D" w:rsidRDefault="004A175D" w:rsidP="00C913A6">
            <w:pPr>
              <w:pStyle w:val="TableParagraph"/>
              <w:spacing w:before="0" w:line="276" w:lineRule="auto"/>
              <w:ind w:left="149"/>
              <w:jc w:val="center"/>
              <w:rPr>
                <w:b/>
              </w:rPr>
            </w:pPr>
            <w:r>
              <w:rPr>
                <w:b/>
              </w:rPr>
              <w:t>Housing,</w:t>
            </w:r>
            <w:r>
              <w:rPr>
                <w:b/>
                <w:spacing w:val="-3"/>
              </w:rPr>
              <w:t xml:space="preserve"> </w:t>
            </w:r>
            <w:r>
              <w:rPr>
                <w:b/>
              </w:rPr>
              <w:t>Social</w:t>
            </w:r>
            <w:r>
              <w:rPr>
                <w:b/>
                <w:spacing w:val="-3"/>
              </w:rPr>
              <w:t xml:space="preserve"> </w:t>
            </w:r>
            <w:r>
              <w:rPr>
                <w:b/>
              </w:rPr>
              <w:t>and</w:t>
            </w:r>
            <w:r>
              <w:rPr>
                <w:b/>
                <w:spacing w:val="-5"/>
              </w:rPr>
              <w:t xml:space="preserve"> </w:t>
            </w:r>
            <w:r>
              <w:rPr>
                <w:b/>
              </w:rPr>
              <w:t>Community</w:t>
            </w:r>
            <w:r>
              <w:rPr>
                <w:b/>
                <w:spacing w:val="-2"/>
              </w:rPr>
              <w:t xml:space="preserve"> Development</w:t>
            </w:r>
            <w:r w:rsidR="00C905BE">
              <w:rPr>
                <w:b/>
                <w:spacing w:val="-2"/>
              </w:rPr>
              <w:t xml:space="preserve"> Key Statistics</w:t>
            </w:r>
          </w:p>
        </w:tc>
        <w:tc>
          <w:tcPr>
            <w:tcW w:w="1817" w:type="dxa"/>
          </w:tcPr>
          <w:p w14:paraId="7818E3D7" w14:textId="3B2EC335" w:rsidR="004A175D" w:rsidRDefault="00C905BE" w:rsidP="00C913A6">
            <w:pPr>
              <w:pStyle w:val="TableParagraph"/>
              <w:spacing w:before="0" w:line="276" w:lineRule="auto"/>
              <w:jc w:val="center"/>
              <w:rPr>
                <w:rFonts w:ascii="Times New Roman"/>
                <w:sz w:val="20"/>
              </w:rPr>
            </w:pPr>
            <w:r>
              <w:rPr>
                <w:b/>
              </w:rPr>
              <w:t>2024</w:t>
            </w:r>
            <w:r>
              <w:rPr>
                <w:b/>
                <w:spacing w:val="-1"/>
              </w:rPr>
              <w:t xml:space="preserve"> </w:t>
            </w:r>
            <w:r>
              <w:rPr>
                <w:b/>
                <w:spacing w:val="-2"/>
              </w:rPr>
              <w:t>Totals</w:t>
            </w:r>
          </w:p>
        </w:tc>
      </w:tr>
      <w:tr w:rsidR="004A175D" w14:paraId="757AE692" w14:textId="77777777" w:rsidTr="00180B26">
        <w:trPr>
          <w:trHeight w:val="284"/>
          <w:jc w:val="center"/>
        </w:trPr>
        <w:tc>
          <w:tcPr>
            <w:tcW w:w="7344" w:type="dxa"/>
          </w:tcPr>
          <w:p w14:paraId="7C9D0D74" w14:textId="194CB696" w:rsidR="004A175D" w:rsidRDefault="00D12BD0" w:rsidP="00C905BE">
            <w:pPr>
              <w:pStyle w:val="TableParagraph"/>
              <w:spacing w:before="0" w:line="276" w:lineRule="auto"/>
              <w:ind w:left="149"/>
              <w:jc w:val="both"/>
            </w:pPr>
            <w:r>
              <w:rPr>
                <w:spacing w:val="-4"/>
              </w:rPr>
              <w:t>H</w:t>
            </w:r>
            <w:r w:rsidR="007227ED">
              <w:rPr>
                <w:spacing w:val="-4"/>
              </w:rPr>
              <w:t xml:space="preserve">ousehold </w:t>
            </w:r>
            <w:r w:rsidR="004A175D">
              <w:rPr>
                <w:spacing w:val="-4"/>
              </w:rPr>
              <w:t>housing</w:t>
            </w:r>
            <w:r w:rsidR="004A175D">
              <w:rPr>
                <w:spacing w:val="-1"/>
              </w:rPr>
              <w:t xml:space="preserve"> </w:t>
            </w:r>
            <w:r w:rsidR="004A175D">
              <w:rPr>
                <w:spacing w:val="-4"/>
              </w:rPr>
              <w:t>needs</w:t>
            </w:r>
            <w:r w:rsidR="004A175D">
              <w:t xml:space="preserve"> </w:t>
            </w:r>
            <w:r w:rsidR="004A175D">
              <w:rPr>
                <w:spacing w:val="-4"/>
              </w:rPr>
              <w:t>assessed</w:t>
            </w:r>
          </w:p>
        </w:tc>
        <w:tc>
          <w:tcPr>
            <w:tcW w:w="1817" w:type="dxa"/>
          </w:tcPr>
          <w:p w14:paraId="301A2143" w14:textId="70053C76" w:rsidR="004A175D" w:rsidRDefault="00B5493B" w:rsidP="00944730">
            <w:pPr>
              <w:pStyle w:val="TableParagraph"/>
              <w:spacing w:before="0" w:line="276" w:lineRule="auto"/>
              <w:jc w:val="center"/>
            </w:pPr>
            <w:r>
              <w:t>7,618</w:t>
            </w:r>
          </w:p>
        </w:tc>
      </w:tr>
      <w:tr w:rsidR="004A175D" w14:paraId="4FE5DFD7" w14:textId="77777777" w:rsidTr="00180B26">
        <w:trPr>
          <w:trHeight w:val="284"/>
          <w:jc w:val="center"/>
        </w:trPr>
        <w:tc>
          <w:tcPr>
            <w:tcW w:w="7344" w:type="dxa"/>
          </w:tcPr>
          <w:p w14:paraId="06EC6A13" w14:textId="1FAE060F" w:rsidR="004A175D" w:rsidRDefault="00D12BD0" w:rsidP="00C905BE">
            <w:pPr>
              <w:pStyle w:val="TableParagraph"/>
              <w:spacing w:before="0" w:line="276" w:lineRule="auto"/>
              <w:ind w:left="149"/>
              <w:jc w:val="both"/>
            </w:pPr>
            <w:r>
              <w:rPr>
                <w:spacing w:val="-2"/>
              </w:rPr>
              <w:t>A</w:t>
            </w:r>
            <w:r w:rsidR="004A175D">
              <w:rPr>
                <w:spacing w:val="-2"/>
              </w:rPr>
              <w:t>llocations</w:t>
            </w:r>
            <w:r w:rsidR="004A175D">
              <w:rPr>
                <w:spacing w:val="-11"/>
              </w:rPr>
              <w:t xml:space="preserve"> </w:t>
            </w:r>
            <w:r w:rsidR="00180B26">
              <w:rPr>
                <w:spacing w:val="-11"/>
              </w:rPr>
              <w:t>(new tenancies)</w:t>
            </w:r>
          </w:p>
        </w:tc>
        <w:tc>
          <w:tcPr>
            <w:tcW w:w="1817" w:type="dxa"/>
          </w:tcPr>
          <w:p w14:paraId="36AE1845" w14:textId="4D1B6AED" w:rsidR="004A175D" w:rsidRDefault="00B5493B" w:rsidP="00944730">
            <w:pPr>
              <w:pStyle w:val="TableParagraph"/>
              <w:spacing w:before="0" w:line="276" w:lineRule="auto"/>
              <w:jc w:val="center"/>
            </w:pPr>
            <w:r>
              <w:t>1,0</w:t>
            </w:r>
            <w:r w:rsidR="397DDA9B">
              <w:t>43</w:t>
            </w:r>
          </w:p>
        </w:tc>
      </w:tr>
      <w:tr w:rsidR="00C913A6" w:rsidRPr="00171A9C" w14:paraId="2A4E7CB0" w14:textId="77777777" w:rsidTr="00180B26">
        <w:trPr>
          <w:trHeight w:val="284"/>
          <w:jc w:val="center"/>
        </w:trPr>
        <w:tc>
          <w:tcPr>
            <w:tcW w:w="7344" w:type="dxa"/>
          </w:tcPr>
          <w:p w14:paraId="4EABC30B" w14:textId="75B75BFF" w:rsidR="00C913A6" w:rsidRDefault="00D12BD0">
            <w:pPr>
              <w:pStyle w:val="TableParagraph"/>
              <w:spacing w:before="0" w:line="276" w:lineRule="auto"/>
              <w:ind w:left="149"/>
              <w:jc w:val="both"/>
            </w:pPr>
            <w:r>
              <w:t>Homel</w:t>
            </w:r>
            <w:r w:rsidR="00C913A6">
              <w:t xml:space="preserve">ess </w:t>
            </w:r>
            <w:r w:rsidR="00C913A6">
              <w:rPr>
                <w:spacing w:val="-2"/>
              </w:rPr>
              <w:t>households</w:t>
            </w:r>
          </w:p>
        </w:tc>
        <w:tc>
          <w:tcPr>
            <w:tcW w:w="1817" w:type="dxa"/>
          </w:tcPr>
          <w:p w14:paraId="2E666C1E" w14:textId="77777777" w:rsidR="00C913A6" w:rsidRPr="00171A9C" w:rsidRDefault="00C913A6">
            <w:pPr>
              <w:pStyle w:val="TableParagraph"/>
              <w:spacing w:before="0" w:line="276" w:lineRule="auto"/>
              <w:jc w:val="center"/>
            </w:pPr>
            <w:r>
              <w:t>498</w:t>
            </w:r>
          </w:p>
        </w:tc>
      </w:tr>
      <w:tr w:rsidR="004A175D" w14:paraId="61256B69" w14:textId="77777777" w:rsidTr="00180B26">
        <w:trPr>
          <w:trHeight w:val="284"/>
          <w:jc w:val="center"/>
        </w:trPr>
        <w:tc>
          <w:tcPr>
            <w:tcW w:w="7344" w:type="dxa"/>
          </w:tcPr>
          <w:p w14:paraId="7F8F74F1" w14:textId="499DAECE" w:rsidR="004A175D" w:rsidRDefault="00D12BD0" w:rsidP="00C905BE">
            <w:pPr>
              <w:pStyle w:val="TableParagraph"/>
              <w:spacing w:before="0" w:line="276" w:lineRule="auto"/>
              <w:ind w:left="149"/>
              <w:jc w:val="both"/>
            </w:pPr>
            <w:r>
              <w:rPr>
                <w:spacing w:val="-2"/>
              </w:rPr>
              <w:t>H</w:t>
            </w:r>
            <w:r w:rsidR="004A175D">
              <w:rPr>
                <w:spacing w:val="-2"/>
              </w:rPr>
              <w:t>omeless</w:t>
            </w:r>
            <w:r w:rsidR="004A175D">
              <w:rPr>
                <w:spacing w:val="-5"/>
              </w:rPr>
              <w:t xml:space="preserve"> </w:t>
            </w:r>
            <w:r w:rsidR="004A175D">
              <w:rPr>
                <w:spacing w:val="-2"/>
              </w:rPr>
              <w:t>exits</w:t>
            </w:r>
            <w:r w:rsidR="004A175D">
              <w:rPr>
                <w:spacing w:val="-5"/>
              </w:rPr>
              <w:t xml:space="preserve"> </w:t>
            </w:r>
            <w:r w:rsidR="004A175D">
              <w:rPr>
                <w:spacing w:val="-2"/>
              </w:rPr>
              <w:t>/</w:t>
            </w:r>
            <w:r w:rsidR="004A175D">
              <w:rPr>
                <w:spacing w:val="-4"/>
              </w:rPr>
              <w:t xml:space="preserve"> </w:t>
            </w:r>
            <w:r w:rsidR="004A175D">
              <w:rPr>
                <w:spacing w:val="-2"/>
              </w:rPr>
              <w:t>preventions</w:t>
            </w:r>
          </w:p>
        </w:tc>
        <w:tc>
          <w:tcPr>
            <w:tcW w:w="1817" w:type="dxa"/>
          </w:tcPr>
          <w:p w14:paraId="3D86382A" w14:textId="20EA1FCF" w:rsidR="004A175D" w:rsidRDefault="004C6E24" w:rsidP="00944730">
            <w:pPr>
              <w:pStyle w:val="TableParagraph"/>
              <w:spacing w:before="0" w:line="276" w:lineRule="auto"/>
              <w:jc w:val="center"/>
            </w:pPr>
            <w:r>
              <w:t>720</w:t>
            </w:r>
          </w:p>
        </w:tc>
      </w:tr>
      <w:tr w:rsidR="004A175D" w:rsidRPr="00171A9C" w14:paraId="028F2555" w14:textId="77777777" w:rsidTr="00180B26">
        <w:trPr>
          <w:trHeight w:val="284"/>
          <w:jc w:val="center"/>
        </w:trPr>
        <w:tc>
          <w:tcPr>
            <w:tcW w:w="7344" w:type="dxa"/>
          </w:tcPr>
          <w:p w14:paraId="70A0D3F8" w14:textId="1534B3F2" w:rsidR="004A175D" w:rsidRDefault="00D12BD0" w:rsidP="00C905BE">
            <w:pPr>
              <w:pStyle w:val="TableParagraph"/>
              <w:spacing w:before="0" w:line="276" w:lineRule="auto"/>
              <w:ind w:left="149"/>
              <w:jc w:val="both"/>
            </w:pPr>
            <w:r>
              <w:rPr>
                <w:spacing w:val="-4"/>
              </w:rPr>
              <w:t xml:space="preserve">Homes </w:t>
            </w:r>
            <w:r w:rsidR="004A175D">
              <w:rPr>
                <w:spacing w:val="-4"/>
              </w:rPr>
              <w:t>in</w:t>
            </w:r>
            <w:r w:rsidR="004A175D">
              <w:rPr>
                <w:spacing w:val="-3"/>
              </w:rPr>
              <w:t xml:space="preserve"> </w:t>
            </w:r>
            <w:r w:rsidR="00F300C0">
              <w:rPr>
                <w:spacing w:val="-3"/>
              </w:rPr>
              <w:t xml:space="preserve">local authority </w:t>
            </w:r>
            <w:r w:rsidR="004A175D">
              <w:rPr>
                <w:spacing w:val="-4"/>
              </w:rPr>
              <w:t>ownership</w:t>
            </w:r>
          </w:p>
        </w:tc>
        <w:tc>
          <w:tcPr>
            <w:tcW w:w="1817" w:type="dxa"/>
          </w:tcPr>
          <w:p w14:paraId="64F0BCFD" w14:textId="0CDA837A" w:rsidR="004A175D" w:rsidRPr="00B15CD0" w:rsidRDefault="004C6E24" w:rsidP="00944730">
            <w:pPr>
              <w:pStyle w:val="TableParagraph"/>
              <w:spacing w:before="0" w:line="276" w:lineRule="auto"/>
              <w:jc w:val="center"/>
              <w:rPr>
                <w:highlight w:val="yellow"/>
              </w:rPr>
            </w:pPr>
            <w:r w:rsidRPr="00CA790A">
              <w:t>10</w:t>
            </w:r>
            <w:r w:rsidR="00B15CD0" w:rsidRPr="00CA790A">
              <w:t>,302</w:t>
            </w:r>
          </w:p>
        </w:tc>
      </w:tr>
      <w:tr w:rsidR="004A175D" w:rsidRPr="00171A9C" w14:paraId="4333ECBB" w14:textId="77777777" w:rsidTr="00180B26">
        <w:trPr>
          <w:trHeight w:val="284"/>
          <w:jc w:val="center"/>
        </w:trPr>
        <w:tc>
          <w:tcPr>
            <w:tcW w:w="7344" w:type="dxa"/>
          </w:tcPr>
          <w:p w14:paraId="16DB2D05" w14:textId="746809F2" w:rsidR="004A175D" w:rsidRPr="007227ED" w:rsidRDefault="007227ED" w:rsidP="00C905BE">
            <w:pPr>
              <w:pStyle w:val="TableParagraph"/>
              <w:spacing w:before="0" w:line="276" w:lineRule="auto"/>
              <w:ind w:left="149"/>
              <w:jc w:val="both"/>
              <w:rPr>
                <w:highlight w:val="yellow"/>
              </w:rPr>
            </w:pPr>
            <w:r w:rsidRPr="00E33A3C">
              <w:rPr>
                <w:spacing w:val="-2"/>
              </w:rPr>
              <w:t>So</w:t>
            </w:r>
            <w:r w:rsidR="004A175D" w:rsidRPr="00E33A3C">
              <w:rPr>
                <w:spacing w:val="-2"/>
              </w:rPr>
              <w:t>cial</w:t>
            </w:r>
            <w:r w:rsidR="004A175D" w:rsidRPr="00E33A3C">
              <w:rPr>
                <w:spacing w:val="-9"/>
              </w:rPr>
              <w:t xml:space="preserve"> </w:t>
            </w:r>
            <w:r w:rsidR="004A175D" w:rsidRPr="00E33A3C">
              <w:rPr>
                <w:spacing w:val="-2"/>
              </w:rPr>
              <w:t>and</w:t>
            </w:r>
            <w:r w:rsidR="004A175D" w:rsidRPr="00E33A3C">
              <w:rPr>
                <w:spacing w:val="-8"/>
              </w:rPr>
              <w:t xml:space="preserve"> </w:t>
            </w:r>
            <w:r w:rsidR="004A175D" w:rsidRPr="00E33A3C">
              <w:rPr>
                <w:spacing w:val="-2"/>
              </w:rPr>
              <w:t>affordable</w:t>
            </w:r>
            <w:r w:rsidR="004A175D" w:rsidRPr="00E33A3C">
              <w:rPr>
                <w:spacing w:val="-7"/>
              </w:rPr>
              <w:t xml:space="preserve"> </w:t>
            </w:r>
            <w:r w:rsidR="004A175D" w:rsidRPr="00E33A3C">
              <w:rPr>
                <w:spacing w:val="-2"/>
              </w:rPr>
              <w:t>homes</w:t>
            </w:r>
            <w:r w:rsidR="004A175D" w:rsidRPr="00E33A3C">
              <w:rPr>
                <w:spacing w:val="-7"/>
              </w:rPr>
              <w:t xml:space="preserve"> </w:t>
            </w:r>
            <w:r w:rsidR="004A175D" w:rsidRPr="00E33A3C">
              <w:rPr>
                <w:spacing w:val="-2"/>
              </w:rPr>
              <w:t>under</w:t>
            </w:r>
            <w:r w:rsidR="004A175D" w:rsidRPr="00E33A3C">
              <w:rPr>
                <w:spacing w:val="-8"/>
              </w:rPr>
              <w:t xml:space="preserve"> </w:t>
            </w:r>
            <w:r w:rsidR="004A175D" w:rsidRPr="00E33A3C">
              <w:rPr>
                <w:spacing w:val="-2"/>
              </w:rPr>
              <w:t>construction</w:t>
            </w:r>
          </w:p>
        </w:tc>
        <w:tc>
          <w:tcPr>
            <w:tcW w:w="1817" w:type="dxa"/>
          </w:tcPr>
          <w:p w14:paraId="715ACB3E" w14:textId="2A7ABF11" w:rsidR="004A175D" w:rsidRPr="00171A9C" w:rsidRDefault="00E33A3C" w:rsidP="00944730">
            <w:pPr>
              <w:pStyle w:val="TableParagraph"/>
              <w:spacing w:before="0" w:line="276" w:lineRule="auto"/>
              <w:jc w:val="center"/>
            </w:pPr>
            <w:r>
              <w:t>473</w:t>
            </w:r>
          </w:p>
        </w:tc>
      </w:tr>
      <w:tr w:rsidR="00AA51C7" w:rsidRPr="00171A9C" w14:paraId="755B399D" w14:textId="77777777">
        <w:trPr>
          <w:trHeight w:val="284"/>
          <w:jc w:val="center"/>
        </w:trPr>
        <w:tc>
          <w:tcPr>
            <w:tcW w:w="7344" w:type="dxa"/>
          </w:tcPr>
          <w:p w14:paraId="526B4563" w14:textId="7CA0BE0C" w:rsidR="00AA51C7" w:rsidRDefault="007227ED">
            <w:pPr>
              <w:pStyle w:val="TableParagraph"/>
              <w:spacing w:before="0" w:line="276" w:lineRule="auto"/>
              <w:ind w:left="149"/>
              <w:jc w:val="both"/>
            </w:pPr>
            <w:r>
              <w:t>L</w:t>
            </w:r>
            <w:r w:rsidR="00AA51C7">
              <w:rPr>
                <w:spacing w:val="-3"/>
              </w:rPr>
              <w:t>ocal authority homes</w:t>
            </w:r>
            <w:r w:rsidR="00AA51C7">
              <w:rPr>
                <w:spacing w:val="-11"/>
              </w:rPr>
              <w:t xml:space="preserve"> </w:t>
            </w:r>
            <w:r w:rsidR="00AA51C7">
              <w:rPr>
                <w:spacing w:val="-2"/>
              </w:rPr>
              <w:t>vacant</w:t>
            </w:r>
          </w:p>
        </w:tc>
        <w:tc>
          <w:tcPr>
            <w:tcW w:w="1817" w:type="dxa"/>
          </w:tcPr>
          <w:p w14:paraId="7851CE10" w14:textId="77777777" w:rsidR="00AA51C7" w:rsidRPr="00171A9C" w:rsidRDefault="00AA51C7">
            <w:pPr>
              <w:pStyle w:val="TableParagraph"/>
              <w:spacing w:before="0" w:line="276" w:lineRule="auto"/>
              <w:jc w:val="center"/>
            </w:pPr>
            <w:r>
              <w:t>95</w:t>
            </w:r>
          </w:p>
        </w:tc>
      </w:tr>
      <w:tr w:rsidR="00AA51C7" w:rsidRPr="00171A9C" w14:paraId="13E3CAF4" w14:textId="77777777">
        <w:trPr>
          <w:trHeight w:val="284"/>
          <w:jc w:val="center"/>
        </w:trPr>
        <w:tc>
          <w:tcPr>
            <w:tcW w:w="7344" w:type="dxa"/>
          </w:tcPr>
          <w:p w14:paraId="47BE3B57" w14:textId="2E65BB36" w:rsidR="00AA51C7" w:rsidRDefault="007227ED">
            <w:pPr>
              <w:pStyle w:val="TableParagraph"/>
              <w:spacing w:before="0" w:line="276" w:lineRule="auto"/>
              <w:ind w:left="149"/>
              <w:jc w:val="both"/>
            </w:pPr>
            <w:r>
              <w:t>Average r</w:t>
            </w:r>
            <w:r w:rsidR="00AA51C7">
              <w:t>e</w:t>
            </w:r>
            <w:r>
              <w:t>-</w:t>
            </w:r>
            <w:r w:rsidR="00AA51C7">
              <w:t>let time (weeks)</w:t>
            </w:r>
          </w:p>
        </w:tc>
        <w:tc>
          <w:tcPr>
            <w:tcW w:w="1817" w:type="dxa"/>
          </w:tcPr>
          <w:p w14:paraId="67F74375" w14:textId="77777777" w:rsidR="00AA51C7" w:rsidRPr="00171A9C" w:rsidRDefault="00AA51C7">
            <w:pPr>
              <w:pStyle w:val="TableParagraph"/>
              <w:spacing w:before="0" w:line="276" w:lineRule="auto"/>
              <w:jc w:val="center"/>
            </w:pPr>
            <w:r>
              <w:t>20.64</w:t>
            </w:r>
          </w:p>
        </w:tc>
      </w:tr>
      <w:tr w:rsidR="000F0494" w14:paraId="062D62A1" w14:textId="77777777">
        <w:trPr>
          <w:trHeight w:val="284"/>
          <w:jc w:val="center"/>
        </w:trPr>
        <w:tc>
          <w:tcPr>
            <w:tcW w:w="7344" w:type="dxa"/>
          </w:tcPr>
          <w:p w14:paraId="4909339C" w14:textId="77777777" w:rsidR="000F0494" w:rsidRDefault="000F0494">
            <w:pPr>
              <w:pStyle w:val="TableParagraph"/>
              <w:spacing w:before="0" w:line="276" w:lineRule="auto"/>
              <w:ind w:left="149"/>
              <w:jc w:val="both"/>
            </w:pPr>
            <w:r>
              <w:t>Expenditure</w:t>
            </w:r>
            <w:r>
              <w:rPr>
                <w:spacing w:val="-3"/>
              </w:rPr>
              <w:t xml:space="preserve"> </w:t>
            </w:r>
            <w:r>
              <w:t>on</w:t>
            </w:r>
            <w:r>
              <w:rPr>
                <w:spacing w:val="-4"/>
              </w:rPr>
              <w:t xml:space="preserve"> </w:t>
            </w:r>
            <w:r>
              <w:t>planned</w:t>
            </w:r>
            <w:r>
              <w:rPr>
                <w:spacing w:val="-4"/>
              </w:rPr>
              <w:t xml:space="preserve"> </w:t>
            </w:r>
            <w:r>
              <w:rPr>
                <w:spacing w:val="-2"/>
              </w:rPr>
              <w:t>maintenance</w:t>
            </w:r>
          </w:p>
        </w:tc>
        <w:tc>
          <w:tcPr>
            <w:tcW w:w="1817" w:type="dxa"/>
          </w:tcPr>
          <w:p w14:paraId="010DB6E0" w14:textId="77777777" w:rsidR="000F0494" w:rsidRDefault="000F0494">
            <w:pPr>
              <w:pStyle w:val="TableParagraph"/>
              <w:spacing w:before="0" w:line="276" w:lineRule="auto"/>
              <w:jc w:val="center"/>
            </w:pPr>
            <w:r>
              <w:t>€7,783,968</w:t>
            </w:r>
          </w:p>
        </w:tc>
      </w:tr>
      <w:tr w:rsidR="000F0494" w:rsidRPr="00171A9C" w14:paraId="13CC976A" w14:textId="77777777">
        <w:trPr>
          <w:trHeight w:val="284"/>
          <w:jc w:val="center"/>
        </w:trPr>
        <w:tc>
          <w:tcPr>
            <w:tcW w:w="7344" w:type="dxa"/>
          </w:tcPr>
          <w:p w14:paraId="162D7742" w14:textId="77777777" w:rsidR="000F0494" w:rsidRDefault="000F0494">
            <w:pPr>
              <w:pStyle w:val="TableParagraph"/>
              <w:spacing w:before="0" w:line="276" w:lineRule="auto"/>
              <w:ind w:left="149"/>
              <w:jc w:val="both"/>
            </w:pPr>
            <w:r>
              <w:t>Homes</w:t>
            </w:r>
            <w:r>
              <w:rPr>
                <w:spacing w:val="-1"/>
              </w:rPr>
              <w:t xml:space="preserve"> </w:t>
            </w:r>
            <w:r>
              <w:t>completed</w:t>
            </w:r>
            <w:r>
              <w:rPr>
                <w:spacing w:val="-3"/>
              </w:rPr>
              <w:t xml:space="preserve"> </w:t>
            </w:r>
            <w:r>
              <w:t>under</w:t>
            </w:r>
            <w:r>
              <w:rPr>
                <w:spacing w:val="-1"/>
              </w:rPr>
              <w:t xml:space="preserve"> </w:t>
            </w:r>
            <w:r>
              <w:t>Energy Efficiency</w:t>
            </w:r>
            <w:r>
              <w:rPr>
                <w:spacing w:val="-1"/>
              </w:rPr>
              <w:t xml:space="preserve"> </w:t>
            </w:r>
            <w:r>
              <w:t xml:space="preserve">Retrofit </w:t>
            </w:r>
            <w:r>
              <w:rPr>
                <w:spacing w:val="-2"/>
              </w:rPr>
              <w:t>Programme</w:t>
            </w:r>
          </w:p>
        </w:tc>
        <w:tc>
          <w:tcPr>
            <w:tcW w:w="1817" w:type="dxa"/>
          </w:tcPr>
          <w:p w14:paraId="6944E9DC" w14:textId="77777777" w:rsidR="000F0494" w:rsidRPr="00171A9C" w:rsidRDefault="000F0494">
            <w:pPr>
              <w:pStyle w:val="TableParagraph"/>
              <w:spacing w:before="0" w:line="276" w:lineRule="auto"/>
              <w:jc w:val="center"/>
              <w:rPr>
                <w:spacing w:val="-2"/>
              </w:rPr>
            </w:pPr>
            <w:r>
              <w:rPr>
                <w:spacing w:val="-2"/>
              </w:rPr>
              <w:t>85</w:t>
            </w:r>
          </w:p>
        </w:tc>
      </w:tr>
      <w:tr w:rsidR="00AA51C7" w:rsidRPr="00171A9C" w14:paraId="0D0239F9" w14:textId="77777777">
        <w:trPr>
          <w:trHeight w:val="284"/>
          <w:jc w:val="center"/>
        </w:trPr>
        <w:tc>
          <w:tcPr>
            <w:tcW w:w="7344" w:type="dxa"/>
          </w:tcPr>
          <w:p w14:paraId="24EDB840" w14:textId="77777777" w:rsidR="00AA51C7" w:rsidRDefault="00AA51C7">
            <w:pPr>
              <w:pStyle w:val="TableParagraph"/>
              <w:spacing w:before="0" w:line="276" w:lineRule="auto"/>
              <w:ind w:left="149"/>
              <w:jc w:val="both"/>
            </w:pPr>
            <w:r>
              <w:t>Maintenance</w:t>
            </w:r>
            <w:r>
              <w:rPr>
                <w:spacing w:val="-4"/>
              </w:rPr>
              <w:t xml:space="preserve"> </w:t>
            </w:r>
            <w:r>
              <w:t>requests</w:t>
            </w:r>
            <w:r>
              <w:rPr>
                <w:spacing w:val="-4"/>
              </w:rPr>
              <w:t xml:space="preserve"> </w:t>
            </w:r>
            <w:r>
              <w:rPr>
                <w:spacing w:val="-2"/>
              </w:rPr>
              <w:t>received</w:t>
            </w:r>
          </w:p>
        </w:tc>
        <w:tc>
          <w:tcPr>
            <w:tcW w:w="1817" w:type="dxa"/>
          </w:tcPr>
          <w:p w14:paraId="4EC23F46" w14:textId="77777777" w:rsidR="00AA51C7" w:rsidRPr="00171A9C" w:rsidRDefault="00AA51C7">
            <w:pPr>
              <w:pStyle w:val="TableParagraph"/>
              <w:spacing w:before="0" w:line="276" w:lineRule="auto"/>
              <w:jc w:val="center"/>
            </w:pPr>
            <w:r>
              <w:t>17,423</w:t>
            </w:r>
          </w:p>
        </w:tc>
      </w:tr>
      <w:tr w:rsidR="00AA51C7" w:rsidRPr="00171A9C" w14:paraId="0A6C0624" w14:textId="77777777">
        <w:trPr>
          <w:trHeight w:val="284"/>
          <w:jc w:val="center"/>
        </w:trPr>
        <w:tc>
          <w:tcPr>
            <w:tcW w:w="7344" w:type="dxa"/>
          </w:tcPr>
          <w:p w14:paraId="2976BB42" w14:textId="77777777" w:rsidR="00AA51C7" w:rsidRDefault="00AA51C7">
            <w:pPr>
              <w:pStyle w:val="TableParagraph"/>
              <w:spacing w:before="0" w:line="276" w:lineRule="auto"/>
              <w:ind w:left="149"/>
              <w:jc w:val="both"/>
            </w:pPr>
            <w:r>
              <w:t>Maintenance</w:t>
            </w:r>
            <w:r>
              <w:rPr>
                <w:spacing w:val="-4"/>
              </w:rPr>
              <w:t xml:space="preserve"> </w:t>
            </w:r>
            <w:r>
              <w:t>requests</w:t>
            </w:r>
            <w:r>
              <w:rPr>
                <w:spacing w:val="-4"/>
              </w:rPr>
              <w:t xml:space="preserve"> </w:t>
            </w:r>
            <w:r>
              <w:rPr>
                <w:spacing w:val="-2"/>
              </w:rPr>
              <w:t>completed</w:t>
            </w:r>
          </w:p>
        </w:tc>
        <w:tc>
          <w:tcPr>
            <w:tcW w:w="1817" w:type="dxa"/>
          </w:tcPr>
          <w:p w14:paraId="4AFA967D" w14:textId="77777777" w:rsidR="00AA51C7" w:rsidRPr="00171A9C" w:rsidRDefault="00AA51C7">
            <w:pPr>
              <w:pStyle w:val="TableParagraph"/>
              <w:spacing w:before="0" w:line="276" w:lineRule="auto"/>
              <w:jc w:val="center"/>
            </w:pPr>
            <w:r>
              <w:t>12,243</w:t>
            </w:r>
          </w:p>
        </w:tc>
      </w:tr>
      <w:tr w:rsidR="004A175D" w:rsidRPr="00171A9C" w14:paraId="0DBB7DC4" w14:textId="77777777" w:rsidTr="00180B26">
        <w:trPr>
          <w:trHeight w:val="284"/>
          <w:jc w:val="center"/>
        </w:trPr>
        <w:tc>
          <w:tcPr>
            <w:tcW w:w="7344" w:type="dxa"/>
          </w:tcPr>
          <w:p w14:paraId="3A0D884B" w14:textId="77777777" w:rsidR="004A175D" w:rsidRDefault="004A175D" w:rsidP="00C905BE">
            <w:pPr>
              <w:pStyle w:val="TableParagraph"/>
              <w:spacing w:before="0" w:line="276" w:lineRule="auto"/>
              <w:ind w:left="149"/>
              <w:jc w:val="both"/>
            </w:pPr>
            <w:r>
              <w:rPr>
                <w:spacing w:val="-4"/>
              </w:rPr>
              <w:t>HAP/</w:t>
            </w:r>
            <w:r>
              <w:rPr>
                <w:spacing w:val="-5"/>
              </w:rPr>
              <w:t xml:space="preserve"> </w:t>
            </w:r>
            <w:r>
              <w:rPr>
                <w:spacing w:val="-4"/>
              </w:rPr>
              <w:t>RAS tenancies</w:t>
            </w:r>
          </w:p>
        </w:tc>
        <w:tc>
          <w:tcPr>
            <w:tcW w:w="1817" w:type="dxa"/>
          </w:tcPr>
          <w:p w14:paraId="34326E3A" w14:textId="68E28797" w:rsidR="004A175D" w:rsidRPr="00171A9C" w:rsidRDefault="00B15CD0" w:rsidP="00944730">
            <w:pPr>
              <w:pStyle w:val="TableParagraph"/>
              <w:spacing w:before="0" w:line="276" w:lineRule="auto"/>
              <w:jc w:val="center"/>
            </w:pPr>
            <w:r>
              <w:t>5,2</w:t>
            </w:r>
            <w:r w:rsidR="00A43E75">
              <w:t>5</w:t>
            </w:r>
            <w:r>
              <w:t>4</w:t>
            </w:r>
          </w:p>
        </w:tc>
      </w:tr>
      <w:tr w:rsidR="00C913A6" w14:paraId="3AEC68D2" w14:textId="77777777" w:rsidTr="00180B26">
        <w:trPr>
          <w:trHeight w:val="284"/>
          <w:jc w:val="center"/>
        </w:trPr>
        <w:tc>
          <w:tcPr>
            <w:tcW w:w="7344" w:type="dxa"/>
          </w:tcPr>
          <w:p w14:paraId="02F41015" w14:textId="0C28A846" w:rsidR="00C913A6" w:rsidRDefault="00C913A6">
            <w:pPr>
              <w:pStyle w:val="TableParagraph"/>
              <w:spacing w:before="0" w:line="276" w:lineRule="auto"/>
              <w:ind w:left="149"/>
              <w:jc w:val="both"/>
            </w:pPr>
            <w:r>
              <w:rPr>
                <w:spacing w:val="-2"/>
              </w:rPr>
              <w:lastRenderedPageBreak/>
              <w:t>P</w:t>
            </w:r>
            <w:r w:rsidR="000519EA">
              <w:rPr>
                <w:spacing w:val="-2"/>
              </w:rPr>
              <w:t>rivate rented dwelling i</w:t>
            </w:r>
            <w:r>
              <w:rPr>
                <w:spacing w:val="-2"/>
              </w:rPr>
              <w:t>nspections</w:t>
            </w:r>
          </w:p>
        </w:tc>
        <w:tc>
          <w:tcPr>
            <w:tcW w:w="1817" w:type="dxa"/>
          </w:tcPr>
          <w:p w14:paraId="6819A56E" w14:textId="77777777" w:rsidR="00C913A6" w:rsidRDefault="00C913A6">
            <w:pPr>
              <w:pStyle w:val="TableParagraph"/>
              <w:spacing w:before="0" w:line="276" w:lineRule="auto"/>
              <w:jc w:val="center"/>
            </w:pPr>
            <w:r>
              <w:t>4,772</w:t>
            </w:r>
          </w:p>
        </w:tc>
      </w:tr>
      <w:tr w:rsidR="004A175D" w:rsidRPr="00171A9C" w14:paraId="39129FB6" w14:textId="77777777" w:rsidTr="00180B26">
        <w:trPr>
          <w:trHeight w:val="284"/>
          <w:jc w:val="center"/>
        </w:trPr>
        <w:tc>
          <w:tcPr>
            <w:tcW w:w="7344" w:type="dxa"/>
          </w:tcPr>
          <w:p w14:paraId="6CD481BF" w14:textId="3870FC14" w:rsidR="004A175D" w:rsidRDefault="007227ED" w:rsidP="00C905BE">
            <w:pPr>
              <w:pStyle w:val="TableParagraph"/>
              <w:spacing w:before="0" w:line="276" w:lineRule="auto"/>
              <w:ind w:left="149"/>
              <w:jc w:val="both"/>
            </w:pPr>
            <w:r>
              <w:rPr>
                <w:spacing w:val="-4"/>
              </w:rPr>
              <w:t>C</w:t>
            </w:r>
            <w:r w:rsidR="004A175D">
              <w:rPr>
                <w:spacing w:val="-4"/>
              </w:rPr>
              <w:t>ommunity</w:t>
            </w:r>
            <w:r w:rsidR="004A175D">
              <w:rPr>
                <w:spacing w:val="-9"/>
              </w:rPr>
              <w:t xml:space="preserve"> </w:t>
            </w:r>
            <w:r w:rsidR="004A175D">
              <w:rPr>
                <w:spacing w:val="-4"/>
              </w:rPr>
              <w:t>grants</w:t>
            </w:r>
            <w:r w:rsidR="004A175D">
              <w:rPr>
                <w:spacing w:val="-7"/>
              </w:rPr>
              <w:t xml:space="preserve"> </w:t>
            </w:r>
            <w:r w:rsidR="004A175D">
              <w:rPr>
                <w:spacing w:val="-4"/>
              </w:rPr>
              <w:t>paid</w:t>
            </w:r>
          </w:p>
        </w:tc>
        <w:tc>
          <w:tcPr>
            <w:tcW w:w="1817" w:type="dxa"/>
          </w:tcPr>
          <w:p w14:paraId="2F826969" w14:textId="37F8AB85" w:rsidR="004A175D" w:rsidRPr="00171A9C" w:rsidRDefault="00AC5882" w:rsidP="00944730">
            <w:pPr>
              <w:pStyle w:val="TableParagraph"/>
              <w:spacing w:before="0" w:line="276" w:lineRule="auto"/>
              <w:jc w:val="center"/>
            </w:pPr>
            <w:r>
              <w:t>477</w:t>
            </w:r>
          </w:p>
        </w:tc>
      </w:tr>
      <w:tr w:rsidR="00C913A6" w14:paraId="1EB1DE79" w14:textId="77777777" w:rsidTr="00180B26">
        <w:trPr>
          <w:trHeight w:val="284"/>
          <w:jc w:val="center"/>
        </w:trPr>
        <w:tc>
          <w:tcPr>
            <w:tcW w:w="7344" w:type="dxa"/>
          </w:tcPr>
          <w:p w14:paraId="54B40975" w14:textId="77777777" w:rsidR="00C913A6" w:rsidRDefault="00C913A6">
            <w:pPr>
              <w:pStyle w:val="TableParagraph"/>
              <w:spacing w:before="0" w:line="276" w:lineRule="auto"/>
              <w:ind w:left="149"/>
              <w:jc w:val="both"/>
            </w:pPr>
            <w:r>
              <w:rPr>
                <w:spacing w:val="-4"/>
              </w:rPr>
              <w:t>Visitors</w:t>
            </w:r>
            <w:r>
              <w:t xml:space="preserve"> </w:t>
            </w:r>
            <w:r>
              <w:rPr>
                <w:spacing w:val="-4"/>
              </w:rPr>
              <w:t>to</w:t>
            </w:r>
            <w:r>
              <w:rPr>
                <w:spacing w:val="-1"/>
              </w:rPr>
              <w:t xml:space="preserve"> </w:t>
            </w:r>
            <w:r>
              <w:rPr>
                <w:spacing w:val="-4"/>
              </w:rPr>
              <w:t>leisure</w:t>
            </w:r>
            <w:r>
              <w:rPr>
                <w:spacing w:val="1"/>
              </w:rPr>
              <w:t xml:space="preserve"> </w:t>
            </w:r>
            <w:r>
              <w:rPr>
                <w:spacing w:val="-4"/>
              </w:rPr>
              <w:t>facilities</w:t>
            </w:r>
          </w:p>
        </w:tc>
        <w:tc>
          <w:tcPr>
            <w:tcW w:w="1817" w:type="dxa"/>
          </w:tcPr>
          <w:p w14:paraId="19DBC218" w14:textId="77777777" w:rsidR="00C913A6" w:rsidRDefault="00C913A6">
            <w:pPr>
              <w:pStyle w:val="TableParagraph"/>
              <w:spacing w:before="0" w:line="276" w:lineRule="auto"/>
              <w:jc w:val="center"/>
            </w:pPr>
            <w:r>
              <w:t>683,415</w:t>
            </w:r>
          </w:p>
        </w:tc>
      </w:tr>
      <w:tr w:rsidR="004A175D" w:rsidRPr="00171A9C" w14:paraId="52D1B8B7" w14:textId="77777777" w:rsidTr="00180B26">
        <w:trPr>
          <w:trHeight w:val="284"/>
          <w:jc w:val="center"/>
        </w:trPr>
        <w:tc>
          <w:tcPr>
            <w:tcW w:w="7344" w:type="dxa"/>
          </w:tcPr>
          <w:p w14:paraId="1A85D64C" w14:textId="77777777" w:rsidR="004A175D" w:rsidRDefault="004A175D" w:rsidP="00C905BE">
            <w:pPr>
              <w:pStyle w:val="TableParagraph"/>
              <w:spacing w:before="0" w:line="276" w:lineRule="auto"/>
              <w:ind w:left="149"/>
              <w:jc w:val="both"/>
            </w:pPr>
            <w:r>
              <w:rPr>
                <w:spacing w:val="-2"/>
              </w:rPr>
              <w:t>Participants</w:t>
            </w:r>
            <w:r>
              <w:rPr>
                <w:spacing w:val="-5"/>
              </w:rPr>
              <w:t xml:space="preserve"> </w:t>
            </w:r>
            <w:r>
              <w:rPr>
                <w:spacing w:val="-2"/>
              </w:rPr>
              <w:t>in</w:t>
            </w:r>
            <w:r>
              <w:rPr>
                <w:spacing w:val="-4"/>
              </w:rPr>
              <w:t xml:space="preserve"> </w:t>
            </w:r>
            <w:r>
              <w:rPr>
                <w:spacing w:val="-2"/>
              </w:rPr>
              <w:t>council</w:t>
            </w:r>
            <w:r>
              <w:rPr>
                <w:spacing w:val="-6"/>
              </w:rPr>
              <w:t xml:space="preserve"> </w:t>
            </w:r>
            <w:r>
              <w:rPr>
                <w:spacing w:val="-2"/>
              </w:rPr>
              <w:t>led</w:t>
            </w:r>
            <w:r>
              <w:rPr>
                <w:spacing w:val="-6"/>
              </w:rPr>
              <w:t xml:space="preserve"> </w:t>
            </w:r>
            <w:r>
              <w:rPr>
                <w:spacing w:val="-2"/>
              </w:rPr>
              <w:t>sports</w:t>
            </w:r>
            <w:r>
              <w:rPr>
                <w:spacing w:val="-4"/>
              </w:rPr>
              <w:t xml:space="preserve"> </w:t>
            </w:r>
            <w:r>
              <w:rPr>
                <w:spacing w:val="-2"/>
              </w:rPr>
              <w:t>and</w:t>
            </w:r>
            <w:r>
              <w:rPr>
                <w:spacing w:val="-6"/>
              </w:rPr>
              <w:t xml:space="preserve"> </w:t>
            </w:r>
            <w:r>
              <w:rPr>
                <w:spacing w:val="-2"/>
              </w:rPr>
              <w:t>community</w:t>
            </w:r>
            <w:r>
              <w:rPr>
                <w:spacing w:val="-6"/>
              </w:rPr>
              <w:t xml:space="preserve"> </w:t>
            </w:r>
            <w:r>
              <w:rPr>
                <w:spacing w:val="-2"/>
              </w:rPr>
              <w:t>initiatives</w:t>
            </w:r>
          </w:p>
        </w:tc>
        <w:tc>
          <w:tcPr>
            <w:tcW w:w="1817" w:type="dxa"/>
          </w:tcPr>
          <w:p w14:paraId="1B7AD889" w14:textId="7FED7CF2" w:rsidR="004A175D" w:rsidRPr="00171A9C" w:rsidRDefault="00AC5882" w:rsidP="00944730">
            <w:pPr>
              <w:pStyle w:val="TableParagraph"/>
              <w:spacing w:before="0" w:line="276" w:lineRule="auto"/>
              <w:jc w:val="center"/>
            </w:pPr>
            <w:r>
              <w:t>124,057</w:t>
            </w:r>
          </w:p>
        </w:tc>
      </w:tr>
    </w:tbl>
    <w:p w14:paraId="5E023AA2" w14:textId="77777777" w:rsidR="006D7D15" w:rsidRDefault="006D7D15" w:rsidP="00023B95">
      <w:pPr>
        <w:spacing w:after="0" w:line="276" w:lineRule="auto"/>
        <w:ind w:left="0" w:hanging="426"/>
        <w:textAlignment w:val="baseline"/>
        <w:rPr>
          <w:rFonts w:asciiTheme="minorHAnsi" w:eastAsia="Times New Roman" w:hAnsiTheme="minorHAnsi" w:cstheme="minorBidi"/>
          <w:b/>
          <w:bCs/>
          <w:color w:val="auto"/>
          <w:kern w:val="0"/>
          <w:lang w:val="en-GB"/>
          <w14:ligatures w14:val="none"/>
        </w:rPr>
      </w:pPr>
    </w:p>
    <w:p w14:paraId="0FE7D5F1" w14:textId="77777777" w:rsidR="00E77D63" w:rsidRDefault="00E77D63" w:rsidP="00023B95">
      <w:pPr>
        <w:spacing w:after="0" w:line="276" w:lineRule="auto"/>
        <w:ind w:left="0" w:hanging="426"/>
        <w:textAlignment w:val="baseline"/>
        <w:rPr>
          <w:rFonts w:asciiTheme="minorHAnsi" w:eastAsia="Times New Roman" w:hAnsiTheme="minorHAnsi" w:cstheme="minorBidi"/>
          <w:b/>
          <w:bCs/>
          <w:color w:val="auto"/>
          <w:kern w:val="0"/>
          <w:lang w:val="en-GB"/>
          <w14:ligatures w14:val="none"/>
        </w:rPr>
      </w:pPr>
    </w:p>
    <w:p w14:paraId="7E371C94" w14:textId="0075DDF4" w:rsidR="008E4E5E" w:rsidRPr="003E4E01" w:rsidRDefault="007367AF" w:rsidP="00CF46AE">
      <w:pPr>
        <w:spacing w:after="0" w:line="276" w:lineRule="auto"/>
        <w:ind w:left="0" w:hanging="426"/>
        <w:jc w:val="center"/>
        <w:textAlignment w:val="baseline"/>
        <w:rPr>
          <w:rFonts w:asciiTheme="minorHAnsi" w:eastAsia="Times New Roman" w:hAnsiTheme="minorHAnsi" w:cstheme="minorHAnsi"/>
          <w:color w:val="auto"/>
          <w:kern w:val="0"/>
          <w:szCs w:val="23"/>
          <w14:ligatures w14:val="none"/>
        </w:rPr>
      </w:pPr>
      <w:r>
        <w:rPr>
          <w:rFonts w:asciiTheme="minorHAnsi" w:eastAsia="Times New Roman" w:hAnsiTheme="minorHAnsi" w:cstheme="minorHAnsi"/>
          <w:b/>
          <w:bCs/>
          <w:color w:val="auto"/>
          <w:kern w:val="0"/>
          <w:szCs w:val="23"/>
          <w:lang w:val="en-GB"/>
          <w14:ligatures w14:val="none"/>
        </w:rPr>
        <w:t>En</w:t>
      </w:r>
      <w:r w:rsidR="008E4E5E" w:rsidRPr="00E75A8E">
        <w:rPr>
          <w:rFonts w:asciiTheme="minorHAnsi" w:eastAsia="Times New Roman" w:hAnsiTheme="minorHAnsi" w:cstheme="minorHAnsi"/>
          <w:b/>
          <w:bCs/>
          <w:color w:val="auto"/>
          <w:kern w:val="0"/>
          <w:szCs w:val="23"/>
          <w:lang w:val="en-GB"/>
          <w14:ligatures w14:val="none"/>
        </w:rPr>
        <w:t>vironment Water &amp; Climate Change</w:t>
      </w:r>
    </w:p>
    <w:p w14:paraId="5B22A1A7" w14:textId="2425FACB" w:rsidR="008E4E5E" w:rsidRPr="003E4E01" w:rsidRDefault="008E4E5E" w:rsidP="12C22028">
      <w:pPr>
        <w:spacing w:after="0" w:line="276" w:lineRule="auto"/>
        <w:ind w:left="0"/>
        <w:textAlignment w:val="baseline"/>
        <w:rPr>
          <w:rFonts w:asciiTheme="minorHAnsi" w:eastAsia="Times New Roman" w:hAnsiTheme="minorHAnsi" w:cstheme="minorBidi"/>
          <w:color w:val="auto"/>
          <w:kern w:val="0"/>
          <w14:ligatures w14:val="none"/>
        </w:rPr>
      </w:pPr>
    </w:p>
    <w:p w14:paraId="2C00D902" w14:textId="629F58DE" w:rsidR="001E6284" w:rsidRDefault="001E6284" w:rsidP="009B243F">
      <w:pPr>
        <w:pStyle w:val="Heading1"/>
        <w:spacing w:line="276" w:lineRule="auto"/>
        <w:ind w:left="0"/>
      </w:pPr>
      <w:r>
        <w:t>Create a sustainable low carbon and climate resilient county</w:t>
      </w:r>
    </w:p>
    <w:p w14:paraId="03CA74CA" w14:textId="311875EC" w:rsidR="001E6284" w:rsidRPr="0020638C" w:rsidRDefault="006E61F3" w:rsidP="0020638C">
      <w:pPr>
        <w:pStyle w:val="BodyText"/>
        <w:spacing w:line="276" w:lineRule="auto"/>
        <w:ind w:left="0" w:firstLine="0"/>
      </w:pPr>
      <w:r>
        <w:t xml:space="preserve">A new </w:t>
      </w:r>
      <w:r w:rsidRPr="000C5DD6">
        <w:t xml:space="preserve">Climate Action Plan (CAP) </w:t>
      </w:r>
      <w:r>
        <w:t xml:space="preserve">for </w:t>
      </w:r>
      <w:r w:rsidRPr="000C5DD6">
        <w:t xml:space="preserve">2024-2029 was approved </w:t>
      </w:r>
      <w:r>
        <w:t xml:space="preserve">in February, setting out the </w:t>
      </w:r>
      <w:r w:rsidRPr="000C5DD6">
        <w:rPr>
          <w:rFonts w:asciiTheme="minorHAnsi" w:eastAsiaTheme="minorEastAsia" w:hAnsiTheme="minorHAnsi" w:cstheme="minorBidi"/>
        </w:rPr>
        <w:t xml:space="preserve">mitigation, adaptation, and other climate action measures to create a low carbon and climate resilient </w:t>
      </w:r>
      <w:r w:rsidR="00354D28">
        <w:rPr>
          <w:rFonts w:asciiTheme="minorHAnsi" w:eastAsiaTheme="minorEastAsia" w:hAnsiTheme="minorHAnsi" w:cstheme="minorBidi"/>
        </w:rPr>
        <w:t>c</w:t>
      </w:r>
      <w:r w:rsidRPr="000C5DD6">
        <w:rPr>
          <w:rFonts w:asciiTheme="minorHAnsi" w:eastAsiaTheme="minorEastAsia" w:hAnsiTheme="minorHAnsi" w:cstheme="minorBidi"/>
        </w:rPr>
        <w:t>ounty</w:t>
      </w:r>
      <w:r w:rsidR="00700D62" w:rsidRPr="000C5DD6">
        <w:rPr>
          <w:rFonts w:asciiTheme="minorHAnsi" w:eastAsiaTheme="minorEastAsia" w:hAnsiTheme="minorHAnsi" w:cstheme="minorBidi"/>
        </w:rPr>
        <w:t xml:space="preserve">. </w:t>
      </w:r>
      <w:r w:rsidR="001E6284" w:rsidRPr="000C5DD6">
        <w:t xml:space="preserve">The continuing energy crisis and climate related </w:t>
      </w:r>
      <w:r w:rsidR="001E6284">
        <w:t xml:space="preserve">weather events </w:t>
      </w:r>
      <w:r w:rsidR="001E6284" w:rsidRPr="000C5DD6">
        <w:t xml:space="preserve">have further </w:t>
      </w:r>
      <w:proofErr w:type="spellStart"/>
      <w:r w:rsidR="001E6284" w:rsidRPr="000C5DD6">
        <w:t>emphasi</w:t>
      </w:r>
      <w:r w:rsidR="000C4BC6">
        <w:t>s</w:t>
      </w:r>
      <w:r w:rsidR="001E6284" w:rsidRPr="000C5DD6">
        <w:t>ed</w:t>
      </w:r>
      <w:proofErr w:type="spellEnd"/>
      <w:r w:rsidR="001E6284" w:rsidRPr="000C5DD6">
        <w:t xml:space="preserve"> the importance of the four key targets of our Climate Action Plan and</w:t>
      </w:r>
      <w:r w:rsidR="00875E4F">
        <w:t xml:space="preserve"> </w:t>
      </w:r>
      <w:r w:rsidR="00354D28">
        <w:t xml:space="preserve">our </w:t>
      </w:r>
      <w:r w:rsidR="001E6284" w:rsidRPr="000C5DD6">
        <w:t>objectives to improve our energy efficiency, reduce energy waste, and cut greenhouse gas emissions. Focus on the development of resilient systems that consider the potential for future climate change events will build confidence and reliability in our services. This proactive approach combined with citizen engagement and education awareness will empower and encourage communities to act at a local level.</w:t>
      </w:r>
      <w:r w:rsidR="00163924">
        <w:t xml:space="preserve"> </w:t>
      </w:r>
      <w:r w:rsidR="001E6284" w:rsidRPr="0020638C">
        <w:t xml:space="preserve">The 129 actions in </w:t>
      </w:r>
      <w:r w:rsidR="0020638C">
        <w:t xml:space="preserve">our </w:t>
      </w:r>
      <w:r w:rsidR="001E6284" w:rsidRPr="0020638C">
        <w:t xml:space="preserve">CAP collectively address four key targets, which are framed by the Climate (Amendment) Act 2021 and the </w:t>
      </w:r>
      <w:proofErr w:type="gramStart"/>
      <w:r w:rsidR="001E6284" w:rsidRPr="0020638C">
        <w:t>national</w:t>
      </w:r>
      <w:proofErr w:type="gramEnd"/>
      <w:r w:rsidR="001E6284" w:rsidRPr="0020638C">
        <w:t xml:space="preserve"> Climate Action Plan: </w:t>
      </w:r>
    </w:p>
    <w:p w14:paraId="08EF234E" w14:textId="77777777" w:rsidR="001E6284" w:rsidRPr="009C5D99" w:rsidRDefault="001E6284" w:rsidP="3A094F9A">
      <w:pPr>
        <w:pStyle w:val="ListParagraph"/>
        <w:widowControl w:val="0"/>
        <w:numPr>
          <w:ilvl w:val="0"/>
          <w:numId w:val="22"/>
        </w:numPr>
        <w:autoSpaceDE w:val="0"/>
        <w:autoSpaceDN w:val="0"/>
        <w:spacing w:after="0" w:line="276" w:lineRule="auto"/>
        <w:ind w:left="360"/>
        <w:rPr>
          <w:rFonts w:asciiTheme="minorHAnsi" w:eastAsiaTheme="minorEastAsia" w:hAnsiTheme="minorHAnsi" w:cstheme="minorBidi"/>
          <w:szCs w:val="23"/>
        </w:rPr>
      </w:pPr>
      <w:r w:rsidRPr="009C5D99">
        <w:rPr>
          <w:rFonts w:asciiTheme="minorHAnsi" w:eastAsiaTheme="minorEastAsia" w:hAnsiTheme="minorHAnsi" w:cstheme="minorBidi"/>
          <w:szCs w:val="23"/>
        </w:rPr>
        <w:t xml:space="preserve">50% improvement in SDCC’s energy efficiency by 2030. </w:t>
      </w:r>
    </w:p>
    <w:p w14:paraId="592A2A78" w14:textId="77777777" w:rsidR="001E6284" w:rsidRPr="009C5D99" w:rsidRDefault="001E6284" w:rsidP="3A094F9A">
      <w:pPr>
        <w:pStyle w:val="ListParagraph"/>
        <w:widowControl w:val="0"/>
        <w:numPr>
          <w:ilvl w:val="0"/>
          <w:numId w:val="21"/>
        </w:numPr>
        <w:autoSpaceDE w:val="0"/>
        <w:autoSpaceDN w:val="0"/>
        <w:spacing w:after="0" w:line="276" w:lineRule="auto"/>
        <w:ind w:left="360"/>
        <w:rPr>
          <w:rFonts w:asciiTheme="minorHAnsi" w:eastAsiaTheme="minorEastAsia" w:hAnsiTheme="minorHAnsi" w:cstheme="minorBidi"/>
          <w:szCs w:val="23"/>
        </w:rPr>
      </w:pPr>
      <w:r w:rsidRPr="009C5D99">
        <w:rPr>
          <w:rFonts w:asciiTheme="minorHAnsi" w:eastAsiaTheme="minorEastAsia" w:hAnsiTheme="minorHAnsi" w:cstheme="minorBidi"/>
          <w:szCs w:val="23"/>
        </w:rPr>
        <w:t xml:space="preserve">51% reduction in SDCC’s greenhouse gas (GHG) emissions by 2030. </w:t>
      </w:r>
    </w:p>
    <w:p w14:paraId="41AC3435" w14:textId="1CA0457B" w:rsidR="001E6284" w:rsidRPr="009C5D99" w:rsidRDefault="001E6284" w:rsidP="3A094F9A">
      <w:pPr>
        <w:pStyle w:val="ListParagraph"/>
        <w:widowControl w:val="0"/>
        <w:numPr>
          <w:ilvl w:val="0"/>
          <w:numId w:val="20"/>
        </w:numPr>
        <w:autoSpaceDE w:val="0"/>
        <w:autoSpaceDN w:val="0"/>
        <w:spacing w:after="0" w:line="276" w:lineRule="auto"/>
        <w:ind w:left="360"/>
        <w:rPr>
          <w:rFonts w:asciiTheme="minorHAnsi" w:eastAsiaTheme="minorEastAsia" w:hAnsiTheme="minorHAnsi" w:cstheme="minorBidi"/>
          <w:szCs w:val="23"/>
        </w:rPr>
      </w:pPr>
      <w:r w:rsidRPr="009C5D99">
        <w:rPr>
          <w:rFonts w:asciiTheme="minorHAnsi" w:eastAsiaTheme="minorEastAsia" w:hAnsiTheme="minorHAnsi" w:cstheme="minorBidi"/>
          <w:szCs w:val="23"/>
        </w:rPr>
        <w:t>To make South Dublin a climate resilient region, by reducing impacts of future climate change</w:t>
      </w:r>
      <w:r w:rsidR="00183AEF">
        <w:rPr>
          <w:rFonts w:asciiTheme="minorHAnsi" w:eastAsiaTheme="minorEastAsia" w:hAnsiTheme="minorHAnsi" w:cstheme="minorBidi"/>
          <w:szCs w:val="23"/>
        </w:rPr>
        <w:t xml:space="preserve"> </w:t>
      </w:r>
      <w:r w:rsidRPr="009C5D99">
        <w:rPr>
          <w:rFonts w:asciiTheme="minorHAnsi" w:eastAsiaTheme="minorEastAsia" w:hAnsiTheme="minorHAnsi" w:cstheme="minorBidi"/>
          <w:szCs w:val="23"/>
        </w:rPr>
        <w:t xml:space="preserve">related events; and </w:t>
      </w:r>
    </w:p>
    <w:p w14:paraId="065B9D57" w14:textId="77777777" w:rsidR="001E6284" w:rsidRDefault="001E6284" w:rsidP="3A094F9A">
      <w:pPr>
        <w:pStyle w:val="ListParagraph"/>
        <w:widowControl w:val="0"/>
        <w:numPr>
          <w:ilvl w:val="0"/>
          <w:numId w:val="19"/>
        </w:numPr>
        <w:autoSpaceDE w:val="0"/>
        <w:autoSpaceDN w:val="0"/>
        <w:spacing w:after="0" w:line="276" w:lineRule="auto"/>
        <w:ind w:left="360"/>
        <w:rPr>
          <w:rFonts w:asciiTheme="minorHAnsi" w:eastAsiaTheme="minorEastAsia" w:hAnsiTheme="minorHAnsi" w:cstheme="minorBidi"/>
          <w:szCs w:val="23"/>
        </w:rPr>
      </w:pPr>
      <w:r w:rsidRPr="009C5D99">
        <w:rPr>
          <w:rFonts w:asciiTheme="minorHAnsi" w:eastAsiaTheme="minorEastAsia" w:hAnsiTheme="minorHAnsi" w:cstheme="minorBidi"/>
          <w:szCs w:val="23"/>
        </w:rPr>
        <w:t>To actively engage and inform our communities on climate action.</w:t>
      </w:r>
    </w:p>
    <w:p w14:paraId="79E42703" w14:textId="1C34FCF5" w:rsidR="001E6284" w:rsidRPr="006E61F3" w:rsidRDefault="006E61F3" w:rsidP="006E61F3">
      <w:pPr>
        <w:pStyle w:val="BodyText"/>
        <w:spacing w:line="276" w:lineRule="auto"/>
        <w:ind w:left="0" w:firstLine="0"/>
      </w:pPr>
      <w:r w:rsidRPr="006E61F3">
        <w:rPr>
          <w:rFonts w:asciiTheme="minorHAnsi" w:eastAsiaTheme="minorEastAsia" w:hAnsiTheme="minorHAnsi" w:cstheme="minorBidi"/>
        </w:rPr>
        <w:t>In this regard, ke</w:t>
      </w:r>
      <w:r w:rsidRPr="006E61F3">
        <w:t>y h</w:t>
      </w:r>
      <w:r w:rsidR="001E6284" w:rsidRPr="006E61F3">
        <w:t>ighlights from 2024 include:</w:t>
      </w:r>
    </w:p>
    <w:p w14:paraId="2876BD8C" w14:textId="7A00CEDD" w:rsidR="001E6284" w:rsidRPr="0019354D" w:rsidRDefault="005C7146" w:rsidP="008569AB">
      <w:pPr>
        <w:pStyle w:val="ListParagraph"/>
        <w:widowControl w:val="0"/>
        <w:numPr>
          <w:ilvl w:val="0"/>
          <w:numId w:val="25"/>
        </w:numPr>
        <w:autoSpaceDE w:val="0"/>
        <w:autoSpaceDN w:val="0"/>
        <w:spacing w:after="0" w:line="276" w:lineRule="auto"/>
        <w:rPr>
          <w:rFonts w:asciiTheme="minorHAnsi" w:hAnsiTheme="minorHAnsi" w:cstheme="minorHAnsi"/>
          <w:szCs w:val="23"/>
        </w:rPr>
      </w:pPr>
      <w:r w:rsidRPr="0019354D">
        <w:rPr>
          <w:rFonts w:asciiTheme="minorHAnsi" w:hAnsiTheme="minorHAnsi" w:cstheme="minorHAnsi"/>
          <w:color w:val="auto"/>
          <w:szCs w:val="23"/>
        </w:rPr>
        <w:t>E</w:t>
      </w:r>
      <w:r w:rsidR="001E6284" w:rsidRPr="0019354D">
        <w:rPr>
          <w:rFonts w:asciiTheme="minorHAnsi" w:hAnsiTheme="minorHAnsi" w:cstheme="minorHAnsi"/>
          <w:color w:val="auto"/>
          <w:szCs w:val="23"/>
        </w:rPr>
        <w:t>stimated improvement</w:t>
      </w:r>
      <w:r w:rsidR="006E61F3" w:rsidRPr="0019354D">
        <w:rPr>
          <w:rFonts w:asciiTheme="minorHAnsi" w:hAnsiTheme="minorHAnsi" w:cstheme="minorHAnsi"/>
          <w:color w:val="auto"/>
          <w:szCs w:val="23"/>
        </w:rPr>
        <w:t xml:space="preserve"> </w:t>
      </w:r>
      <w:r w:rsidR="001E6284" w:rsidRPr="0019354D">
        <w:rPr>
          <w:rFonts w:asciiTheme="minorHAnsi" w:hAnsiTheme="minorHAnsi" w:cstheme="minorHAnsi"/>
          <w:szCs w:val="23"/>
        </w:rPr>
        <w:t xml:space="preserve">in </w:t>
      </w:r>
      <w:r w:rsidR="001C26C6" w:rsidRPr="0019354D">
        <w:rPr>
          <w:rFonts w:asciiTheme="minorHAnsi" w:hAnsiTheme="minorHAnsi" w:cstheme="minorHAnsi"/>
          <w:szCs w:val="23"/>
        </w:rPr>
        <w:t>e</w:t>
      </w:r>
      <w:r w:rsidR="001E6284" w:rsidRPr="0019354D">
        <w:rPr>
          <w:rFonts w:asciiTheme="minorHAnsi" w:hAnsiTheme="minorHAnsi" w:cstheme="minorHAnsi"/>
          <w:szCs w:val="23"/>
        </w:rPr>
        <w:t xml:space="preserve">nergy </w:t>
      </w:r>
      <w:r w:rsidR="001C26C6" w:rsidRPr="0019354D">
        <w:rPr>
          <w:rFonts w:asciiTheme="minorHAnsi" w:hAnsiTheme="minorHAnsi" w:cstheme="minorHAnsi"/>
          <w:szCs w:val="23"/>
        </w:rPr>
        <w:t>e</w:t>
      </w:r>
      <w:r w:rsidR="001E6284" w:rsidRPr="0019354D">
        <w:rPr>
          <w:rFonts w:asciiTheme="minorHAnsi" w:hAnsiTheme="minorHAnsi" w:cstheme="minorHAnsi"/>
          <w:szCs w:val="23"/>
        </w:rPr>
        <w:t xml:space="preserve">fficiency for 2024 is </w:t>
      </w:r>
      <w:r w:rsidR="00AB37CB" w:rsidRPr="0019354D">
        <w:rPr>
          <w:rFonts w:asciiTheme="minorHAnsi" w:hAnsiTheme="minorHAnsi" w:cstheme="minorHAnsi"/>
          <w:szCs w:val="23"/>
        </w:rPr>
        <w:t>45.5%</w:t>
      </w:r>
      <w:r w:rsidR="009B33BF" w:rsidRPr="0019354D">
        <w:rPr>
          <w:rFonts w:asciiTheme="minorHAnsi" w:hAnsiTheme="minorHAnsi" w:cstheme="minorHAnsi"/>
          <w:szCs w:val="23"/>
        </w:rPr>
        <w:t xml:space="preserve"> </w:t>
      </w:r>
      <w:r w:rsidR="001E6284" w:rsidRPr="0019354D">
        <w:rPr>
          <w:rFonts w:asciiTheme="minorHAnsi" w:hAnsiTheme="minorHAnsi" w:cstheme="minorHAnsi"/>
          <w:szCs w:val="23"/>
        </w:rPr>
        <w:t>since the baseline.</w:t>
      </w:r>
    </w:p>
    <w:p w14:paraId="6E527CB9" w14:textId="3DB911A1" w:rsidR="001E6284" w:rsidRPr="00175E58" w:rsidRDefault="005C7146" w:rsidP="008569AB">
      <w:pPr>
        <w:pStyle w:val="ListParagraph"/>
        <w:numPr>
          <w:ilvl w:val="0"/>
          <w:numId w:val="25"/>
        </w:numPr>
        <w:spacing w:after="0" w:line="276" w:lineRule="auto"/>
        <w:rPr>
          <w:rFonts w:asciiTheme="minorHAnsi" w:hAnsiTheme="minorHAnsi" w:cstheme="minorHAnsi"/>
          <w:szCs w:val="23"/>
        </w:rPr>
      </w:pPr>
      <w:r>
        <w:rPr>
          <w:rFonts w:asciiTheme="minorHAnsi" w:hAnsiTheme="minorHAnsi" w:cstheme="minorHAnsi"/>
          <w:szCs w:val="23"/>
        </w:rPr>
        <w:t>E</w:t>
      </w:r>
      <w:r w:rsidR="001E6284" w:rsidRPr="00175E58">
        <w:rPr>
          <w:rFonts w:asciiTheme="minorHAnsi" w:hAnsiTheme="minorHAnsi" w:cstheme="minorHAnsi"/>
          <w:szCs w:val="23"/>
        </w:rPr>
        <w:t xml:space="preserve">stimated </w:t>
      </w:r>
      <w:r w:rsidRPr="00175E58">
        <w:rPr>
          <w:rFonts w:asciiTheme="minorHAnsi" w:hAnsiTheme="minorHAnsi" w:cstheme="minorHAnsi"/>
          <w:szCs w:val="23"/>
        </w:rPr>
        <w:t xml:space="preserve">43% reduction </w:t>
      </w:r>
      <w:r>
        <w:rPr>
          <w:rFonts w:asciiTheme="minorHAnsi" w:hAnsiTheme="minorHAnsi" w:cstheme="minorHAnsi"/>
          <w:szCs w:val="23"/>
        </w:rPr>
        <w:t xml:space="preserve">in </w:t>
      </w:r>
      <w:r w:rsidR="001E6284" w:rsidRPr="00175E58">
        <w:rPr>
          <w:rFonts w:asciiTheme="minorHAnsi" w:hAnsiTheme="minorHAnsi" w:cstheme="minorHAnsi"/>
          <w:szCs w:val="23"/>
        </w:rPr>
        <w:t>total GHGE missions (Electricity + Direct)</w:t>
      </w:r>
      <w:r w:rsidR="00EC4EC4">
        <w:rPr>
          <w:rFonts w:asciiTheme="minorHAnsi" w:hAnsiTheme="minorHAnsi" w:cstheme="minorHAnsi"/>
          <w:szCs w:val="23"/>
        </w:rPr>
        <w:t xml:space="preserve"> </w:t>
      </w:r>
      <w:r>
        <w:rPr>
          <w:rFonts w:asciiTheme="minorHAnsi" w:hAnsiTheme="minorHAnsi" w:cstheme="minorHAnsi"/>
          <w:szCs w:val="23"/>
        </w:rPr>
        <w:t xml:space="preserve">since </w:t>
      </w:r>
      <w:r w:rsidR="001E6284" w:rsidRPr="00175E58">
        <w:rPr>
          <w:rFonts w:asciiTheme="minorHAnsi" w:hAnsiTheme="minorHAnsi" w:cstheme="minorHAnsi"/>
          <w:szCs w:val="23"/>
        </w:rPr>
        <w:t>the baseline.</w:t>
      </w:r>
    </w:p>
    <w:p w14:paraId="6D87AF61" w14:textId="7FE61CD5" w:rsidR="001E6284" w:rsidRPr="008569AB" w:rsidRDefault="001E6284" w:rsidP="008569AB">
      <w:pPr>
        <w:pStyle w:val="ListParagraph"/>
        <w:widowControl w:val="0"/>
        <w:numPr>
          <w:ilvl w:val="0"/>
          <w:numId w:val="25"/>
        </w:numPr>
        <w:tabs>
          <w:tab w:val="left" w:pos="526"/>
        </w:tabs>
        <w:autoSpaceDE w:val="0"/>
        <w:autoSpaceDN w:val="0"/>
        <w:spacing w:after="0" w:line="276" w:lineRule="auto"/>
        <w:rPr>
          <w:rFonts w:asciiTheme="minorHAnsi" w:hAnsiTheme="minorHAnsi" w:cstheme="minorHAnsi"/>
          <w:szCs w:val="23"/>
        </w:rPr>
      </w:pPr>
      <w:r w:rsidRPr="008569AB">
        <w:rPr>
          <w:rFonts w:asciiTheme="minorHAnsi" w:hAnsiTheme="minorHAnsi" w:cstheme="minorHAnsi"/>
          <w:szCs w:val="23"/>
        </w:rPr>
        <w:t>The Clondalkin</w:t>
      </w:r>
      <w:r w:rsidRPr="008569AB">
        <w:rPr>
          <w:rFonts w:asciiTheme="minorHAnsi" w:hAnsiTheme="minorHAnsi" w:cstheme="minorHAnsi"/>
          <w:spacing w:val="-5"/>
          <w:szCs w:val="23"/>
        </w:rPr>
        <w:t xml:space="preserve"> </w:t>
      </w:r>
      <w:r w:rsidRPr="008569AB">
        <w:rPr>
          <w:rFonts w:asciiTheme="minorHAnsi" w:hAnsiTheme="minorHAnsi" w:cstheme="minorHAnsi"/>
          <w:szCs w:val="23"/>
        </w:rPr>
        <w:t>Decarbonising</w:t>
      </w:r>
      <w:r w:rsidRPr="008569AB">
        <w:rPr>
          <w:rFonts w:asciiTheme="minorHAnsi" w:hAnsiTheme="minorHAnsi" w:cstheme="minorHAnsi"/>
          <w:spacing w:val="-4"/>
          <w:szCs w:val="23"/>
        </w:rPr>
        <w:t xml:space="preserve"> Zone Implementation Plan commenced with </w:t>
      </w:r>
      <w:r w:rsidRPr="008569AB">
        <w:rPr>
          <w:rFonts w:asciiTheme="minorHAnsi" w:hAnsiTheme="minorHAnsi" w:cstheme="minorHAnsi"/>
          <w:szCs w:val="23"/>
        </w:rPr>
        <w:t xml:space="preserve">extensive </w:t>
      </w:r>
      <w:r w:rsidR="00D74010">
        <w:rPr>
          <w:rFonts w:asciiTheme="minorHAnsi" w:hAnsiTheme="minorHAnsi" w:cstheme="minorHAnsi"/>
          <w:szCs w:val="23"/>
        </w:rPr>
        <w:t>s</w:t>
      </w:r>
      <w:r w:rsidRPr="008569AB">
        <w:rPr>
          <w:rFonts w:asciiTheme="minorHAnsi" w:hAnsiTheme="minorHAnsi" w:cstheme="minorHAnsi"/>
          <w:szCs w:val="23"/>
        </w:rPr>
        <w:t xml:space="preserve">takeholder </w:t>
      </w:r>
      <w:r w:rsidR="00D74010">
        <w:rPr>
          <w:rFonts w:asciiTheme="minorHAnsi" w:hAnsiTheme="minorHAnsi" w:cstheme="minorHAnsi"/>
          <w:szCs w:val="23"/>
        </w:rPr>
        <w:t>e</w:t>
      </w:r>
      <w:r w:rsidRPr="008569AB">
        <w:rPr>
          <w:rFonts w:asciiTheme="minorHAnsi" w:hAnsiTheme="minorHAnsi" w:cstheme="minorHAnsi"/>
          <w:szCs w:val="23"/>
        </w:rPr>
        <w:t>ngagement activities being held to develop a community vision for the DZ.</w:t>
      </w:r>
    </w:p>
    <w:p w14:paraId="75E491CD" w14:textId="4EC11A40" w:rsidR="00751D82" w:rsidRPr="008E6AC9" w:rsidRDefault="001E6284">
      <w:pPr>
        <w:pStyle w:val="ListParagraph"/>
        <w:widowControl w:val="0"/>
        <w:numPr>
          <w:ilvl w:val="0"/>
          <w:numId w:val="25"/>
        </w:numPr>
        <w:tabs>
          <w:tab w:val="left" w:pos="526"/>
        </w:tabs>
        <w:autoSpaceDE w:val="0"/>
        <w:autoSpaceDN w:val="0"/>
        <w:spacing w:after="0" w:line="276" w:lineRule="auto"/>
        <w:rPr>
          <w:rFonts w:asciiTheme="minorHAnsi" w:hAnsiTheme="minorHAnsi" w:cstheme="minorHAnsi"/>
          <w:szCs w:val="23"/>
        </w:rPr>
      </w:pPr>
      <w:r w:rsidRPr="008E6AC9">
        <w:rPr>
          <w:rFonts w:asciiTheme="minorHAnsi" w:hAnsiTheme="minorHAnsi" w:cstheme="minorHAnsi"/>
          <w:szCs w:val="23"/>
        </w:rPr>
        <w:t xml:space="preserve">The Community Climate Action Fund </w:t>
      </w:r>
      <w:r w:rsidR="006E61F3" w:rsidRPr="008E6AC9">
        <w:rPr>
          <w:rFonts w:asciiTheme="minorHAnsi" w:hAnsiTheme="minorHAnsi" w:cstheme="minorHAnsi"/>
          <w:szCs w:val="23"/>
        </w:rPr>
        <w:t>supported a</w:t>
      </w:r>
      <w:r w:rsidRPr="008E6AC9">
        <w:rPr>
          <w:rFonts w:asciiTheme="minorHAnsi" w:hAnsiTheme="minorHAnsi" w:cstheme="minorHAnsi"/>
          <w:szCs w:val="23"/>
        </w:rPr>
        <w:t xml:space="preserve"> portfolio of 28 projects </w:t>
      </w:r>
      <w:r w:rsidR="006E61F3" w:rsidRPr="008E6AC9">
        <w:rPr>
          <w:rFonts w:asciiTheme="minorHAnsi" w:hAnsiTheme="minorHAnsi" w:cstheme="minorHAnsi"/>
          <w:szCs w:val="23"/>
        </w:rPr>
        <w:t xml:space="preserve">with total </w:t>
      </w:r>
      <w:r w:rsidRPr="008E6AC9">
        <w:rPr>
          <w:rFonts w:asciiTheme="minorHAnsi" w:hAnsiTheme="minorHAnsi" w:cstheme="minorHAnsi"/>
          <w:szCs w:val="23"/>
        </w:rPr>
        <w:t>funding of over €1.1million for</w:t>
      </w:r>
      <w:r w:rsidR="006E61F3" w:rsidRPr="008E6AC9">
        <w:rPr>
          <w:rFonts w:asciiTheme="minorHAnsi" w:hAnsiTheme="minorHAnsi" w:cstheme="minorHAnsi"/>
          <w:szCs w:val="23"/>
        </w:rPr>
        <w:t xml:space="preserve"> local</w:t>
      </w:r>
      <w:r w:rsidRPr="008E6AC9">
        <w:rPr>
          <w:rFonts w:asciiTheme="minorHAnsi" w:hAnsiTheme="minorHAnsi" w:cstheme="minorHAnsi"/>
          <w:szCs w:val="23"/>
        </w:rPr>
        <w:t xml:space="preserve"> community climate action projects</w:t>
      </w:r>
      <w:r w:rsidR="00751D82" w:rsidRPr="008E6AC9">
        <w:rPr>
          <w:rFonts w:asciiTheme="minorHAnsi" w:hAnsiTheme="minorHAnsi" w:cstheme="minorHAnsi"/>
          <w:szCs w:val="23"/>
        </w:rPr>
        <w:t xml:space="preserve"> while </w:t>
      </w:r>
      <w:r w:rsidR="008E6AC9" w:rsidRPr="008E6AC9">
        <w:rPr>
          <w:rFonts w:asciiTheme="minorHAnsi" w:hAnsiTheme="minorHAnsi" w:cstheme="minorHAnsi"/>
          <w:szCs w:val="23"/>
        </w:rPr>
        <w:t xml:space="preserve">12 </w:t>
      </w:r>
      <w:r w:rsidR="009D4508" w:rsidRPr="008E6AC9">
        <w:rPr>
          <w:szCs w:val="23"/>
        </w:rPr>
        <w:t xml:space="preserve">Sustainable Energy Communities </w:t>
      </w:r>
      <w:r w:rsidR="008E6AC9" w:rsidRPr="008E6AC9">
        <w:rPr>
          <w:szCs w:val="23"/>
        </w:rPr>
        <w:t xml:space="preserve">have been supported to </w:t>
      </w:r>
      <w:r w:rsidR="00751D82" w:rsidRPr="008E6AC9">
        <w:rPr>
          <w:szCs w:val="23"/>
        </w:rPr>
        <w:t xml:space="preserve">work closely with the local SEC </w:t>
      </w:r>
      <w:r w:rsidR="00751D82" w:rsidRPr="008E6AC9">
        <w:rPr>
          <w:spacing w:val="-2"/>
          <w:szCs w:val="23"/>
        </w:rPr>
        <w:t>Mentor.</w:t>
      </w:r>
    </w:p>
    <w:p w14:paraId="43A95568" w14:textId="52505C63" w:rsidR="001E6284" w:rsidRPr="00790D20" w:rsidRDefault="006E61F3" w:rsidP="008569AB">
      <w:pPr>
        <w:pStyle w:val="ListParagraph"/>
        <w:widowControl w:val="0"/>
        <w:numPr>
          <w:ilvl w:val="0"/>
          <w:numId w:val="25"/>
        </w:numPr>
        <w:tabs>
          <w:tab w:val="left" w:pos="526"/>
        </w:tabs>
        <w:autoSpaceDE w:val="0"/>
        <w:autoSpaceDN w:val="0"/>
        <w:spacing w:after="0" w:line="276" w:lineRule="auto"/>
        <w:rPr>
          <w:rFonts w:asciiTheme="minorHAnsi" w:hAnsiTheme="minorHAnsi" w:cstheme="minorHAnsi"/>
          <w:szCs w:val="23"/>
        </w:rPr>
      </w:pPr>
      <w:r>
        <w:rPr>
          <w:rFonts w:asciiTheme="minorHAnsi" w:hAnsiTheme="minorHAnsi" w:cstheme="minorHAnsi"/>
          <w:spacing w:val="-2"/>
          <w:szCs w:val="23"/>
        </w:rPr>
        <w:t>P</w:t>
      </w:r>
      <w:r w:rsidR="001E6284" w:rsidRPr="008569AB">
        <w:rPr>
          <w:rFonts w:asciiTheme="minorHAnsi" w:hAnsiTheme="minorHAnsi" w:cstheme="minorHAnsi"/>
          <w:szCs w:val="23"/>
        </w:rPr>
        <w:t>lanning approval was obtained for the development of a 200kW Solar Photo Voltaic plant to provide renewable energy for onsite operations</w:t>
      </w:r>
      <w:r>
        <w:rPr>
          <w:rFonts w:asciiTheme="minorHAnsi" w:hAnsiTheme="minorHAnsi" w:cstheme="minorHAnsi"/>
          <w:szCs w:val="23"/>
        </w:rPr>
        <w:t xml:space="preserve"> a</w:t>
      </w:r>
      <w:r w:rsidRPr="008569AB">
        <w:rPr>
          <w:rFonts w:asciiTheme="minorHAnsi" w:hAnsiTheme="minorHAnsi" w:cstheme="minorHAnsi"/>
          <w:szCs w:val="23"/>
        </w:rPr>
        <w:t>t</w:t>
      </w:r>
      <w:r w:rsidRPr="008569AB">
        <w:rPr>
          <w:rFonts w:asciiTheme="minorHAnsi" w:hAnsiTheme="minorHAnsi" w:cstheme="minorHAnsi"/>
          <w:spacing w:val="-3"/>
          <w:szCs w:val="23"/>
        </w:rPr>
        <w:t xml:space="preserve"> </w:t>
      </w:r>
      <w:proofErr w:type="spellStart"/>
      <w:r w:rsidRPr="008569AB">
        <w:rPr>
          <w:rFonts w:asciiTheme="minorHAnsi" w:hAnsiTheme="minorHAnsi" w:cstheme="minorHAnsi"/>
          <w:szCs w:val="23"/>
        </w:rPr>
        <w:t>Arthurstown</w:t>
      </w:r>
      <w:proofErr w:type="spellEnd"/>
      <w:r w:rsidRPr="008569AB">
        <w:rPr>
          <w:rFonts w:asciiTheme="minorHAnsi" w:hAnsiTheme="minorHAnsi" w:cstheme="minorHAnsi"/>
          <w:spacing w:val="-3"/>
          <w:szCs w:val="23"/>
        </w:rPr>
        <w:t xml:space="preserve"> </w:t>
      </w:r>
      <w:r w:rsidRPr="008569AB">
        <w:rPr>
          <w:rFonts w:asciiTheme="minorHAnsi" w:hAnsiTheme="minorHAnsi" w:cstheme="minorHAnsi"/>
          <w:spacing w:val="-2"/>
          <w:szCs w:val="23"/>
        </w:rPr>
        <w:t>Landfill</w:t>
      </w:r>
      <w:r>
        <w:rPr>
          <w:rFonts w:asciiTheme="minorHAnsi" w:hAnsiTheme="minorHAnsi" w:cstheme="minorHAnsi"/>
          <w:spacing w:val="-2"/>
          <w:szCs w:val="23"/>
        </w:rPr>
        <w:t xml:space="preserve"> with a </w:t>
      </w:r>
      <w:r w:rsidR="001E6284" w:rsidRPr="008569AB">
        <w:rPr>
          <w:rFonts w:asciiTheme="minorHAnsi" w:hAnsiTheme="minorHAnsi" w:cstheme="minorHAnsi"/>
          <w:szCs w:val="23"/>
        </w:rPr>
        <w:t xml:space="preserve">feasibility study for the installation of a </w:t>
      </w:r>
      <w:r w:rsidR="001E6284" w:rsidRPr="00790D20">
        <w:rPr>
          <w:rFonts w:asciiTheme="minorHAnsi" w:hAnsiTheme="minorHAnsi" w:cstheme="minorHAnsi"/>
          <w:szCs w:val="23"/>
        </w:rPr>
        <w:t xml:space="preserve">larger 20 MW solar PV plant </w:t>
      </w:r>
      <w:r w:rsidRPr="00790D20">
        <w:rPr>
          <w:rFonts w:asciiTheme="minorHAnsi" w:hAnsiTheme="minorHAnsi" w:cstheme="minorHAnsi"/>
          <w:szCs w:val="23"/>
        </w:rPr>
        <w:t xml:space="preserve">also </w:t>
      </w:r>
      <w:r w:rsidR="001E6284" w:rsidRPr="00790D20">
        <w:rPr>
          <w:rFonts w:asciiTheme="minorHAnsi" w:hAnsiTheme="minorHAnsi" w:cstheme="minorHAnsi"/>
          <w:szCs w:val="23"/>
        </w:rPr>
        <w:t>underway.</w:t>
      </w:r>
    </w:p>
    <w:p w14:paraId="523E4CCC" w14:textId="67D93A9B" w:rsidR="001E6284" w:rsidRPr="00790D20" w:rsidRDefault="006E61F3" w:rsidP="008569AB">
      <w:pPr>
        <w:pStyle w:val="ListParagraph"/>
        <w:widowControl w:val="0"/>
        <w:numPr>
          <w:ilvl w:val="0"/>
          <w:numId w:val="25"/>
        </w:numPr>
        <w:tabs>
          <w:tab w:val="left" w:pos="525"/>
          <w:tab w:val="left" w:pos="527"/>
        </w:tabs>
        <w:autoSpaceDE w:val="0"/>
        <w:autoSpaceDN w:val="0"/>
        <w:spacing w:after="0" w:line="276" w:lineRule="auto"/>
        <w:rPr>
          <w:rFonts w:asciiTheme="minorHAnsi" w:hAnsiTheme="minorHAnsi" w:cstheme="minorHAnsi"/>
          <w:szCs w:val="23"/>
        </w:rPr>
      </w:pPr>
      <w:proofErr w:type="spellStart"/>
      <w:r w:rsidRPr="00790D20">
        <w:rPr>
          <w:rFonts w:asciiTheme="minorHAnsi" w:hAnsiTheme="minorHAnsi" w:cstheme="minorHAnsi"/>
          <w:szCs w:val="23"/>
        </w:rPr>
        <w:t>ePower</w:t>
      </w:r>
      <w:proofErr w:type="spellEnd"/>
      <w:r w:rsidRPr="00790D20">
        <w:rPr>
          <w:rFonts w:asciiTheme="minorHAnsi" w:hAnsiTheme="minorHAnsi" w:cstheme="minorHAnsi"/>
          <w:szCs w:val="23"/>
        </w:rPr>
        <w:t xml:space="preserve"> ha</w:t>
      </w:r>
      <w:r w:rsidR="009A22AB" w:rsidRPr="00790D20">
        <w:rPr>
          <w:rFonts w:asciiTheme="minorHAnsi" w:hAnsiTheme="minorHAnsi" w:cstheme="minorHAnsi"/>
          <w:szCs w:val="23"/>
        </w:rPr>
        <w:t>ve</w:t>
      </w:r>
      <w:r w:rsidRPr="00790D20">
        <w:rPr>
          <w:rFonts w:asciiTheme="minorHAnsi" w:hAnsiTheme="minorHAnsi" w:cstheme="minorHAnsi"/>
          <w:szCs w:val="23"/>
        </w:rPr>
        <w:t xml:space="preserve"> been contracted to provide </w:t>
      </w:r>
      <w:r w:rsidR="005C7146" w:rsidRPr="00790D20">
        <w:rPr>
          <w:rFonts w:asciiTheme="minorHAnsi" w:hAnsiTheme="minorHAnsi" w:cstheme="minorHAnsi"/>
          <w:szCs w:val="23"/>
        </w:rPr>
        <w:t xml:space="preserve">public </w:t>
      </w:r>
      <w:r w:rsidRPr="00790D20">
        <w:rPr>
          <w:rFonts w:asciiTheme="minorHAnsi" w:hAnsiTheme="minorHAnsi" w:cstheme="minorHAnsi"/>
          <w:szCs w:val="23"/>
        </w:rPr>
        <w:t xml:space="preserve">EV infrastructure </w:t>
      </w:r>
      <w:r w:rsidR="001E6284" w:rsidRPr="00790D20">
        <w:rPr>
          <w:rFonts w:asciiTheme="minorHAnsi" w:hAnsiTheme="minorHAnsi" w:cstheme="minorHAnsi"/>
          <w:szCs w:val="23"/>
        </w:rPr>
        <w:t xml:space="preserve">charging stations at </w:t>
      </w:r>
      <w:r w:rsidR="005C7146" w:rsidRPr="00790D20">
        <w:rPr>
          <w:rFonts w:asciiTheme="minorHAnsi" w:hAnsiTheme="minorHAnsi" w:cstheme="minorHAnsi"/>
          <w:szCs w:val="23"/>
        </w:rPr>
        <w:t xml:space="preserve">initial </w:t>
      </w:r>
      <w:r w:rsidR="001E6284" w:rsidRPr="00790D20">
        <w:rPr>
          <w:rFonts w:asciiTheme="minorHAnsi" w:hAnsiTheme="minorHAnsi" w:cstheme="minorHAnsi"/>
          <w:szCs w:val="23"/>
        </w:rPr>
        <w:t xml:space="preserve">14 locations </w:t>
      </w:r>
    </w:p>
    <w:p w14:paraId="50CFD678" w14:textId="6AE35078" w:rsidR="005C7146" w:rsidRPr="00790D20" w:rsidRDefault="009A22AB" w:rsidP="005C7146">
      <w:pPr>
        <w:pStyle w:val="ListParagraph"/>
        <w:widowControl w:val="0"/>
        <w:numPr>
          <w:ilvl w:val="0"/>
          <w:numId w:val="25"/>
        </w:numPr>
        <w:tabs>
          <w:tab w:val="left" w:pos="525"/>
          <w:tab w:val="left" w:pos="527"/>
        </w:tabs>
        <w:autoSpaceDE w:val="0"/>
        <w:autoSpaceDN w:val="0"/>
        <w:spacing w:after="0" w:line="276" w:lineRule="auto"/>
        <w:rPr>
          <w:rFonts w:asciiTheme="minorHAnsi" w:eastAsia="Aptos" w:hAnsiTheme="minorHAnsi" w:cstheme="minorHAnsi"/>
          <w:szCs w:val="23"/>
        </w:rPr>
      </w:pPr>
      <w:r w:rsidRPr="00790D20">
        <w:rPr>
          <w:rFonts w:asciiTheme="minorHAnsi" w:eastAsia="Aptos" w:hAnsiTheme="minorHAnsi" w:cstheme="minorHAnsi"/>
          <w:szCs w:val="23"/>
        </w:rPr>
        <w:t>A</w:t>
      </w:r>
      <w:r w:rsidR="001E6284" w:rsidRPr="00790D20">
        <w:rPr>
          <w:rFonts w:asciiTheme="minorHAnsi" w:eastAsia="Aptos" w:hAnsiTheme="minorHAnsi" w:cstheme="minorHAnsi"/>
          <w:szCs w:val="23"/>
        </w:rPr>
        <w:t xml:space="preserve"> new </w:t>
      </w:r>
      <w:r w:rsidR="00075EA6" w:rsidRPr="00790D20">
        <w:rPr>
          <w:rFonts w:asciiTheme="minorHAnsi" w:eastAsia="Aptos" w:hAnsiTheme="minorHAnsi" w:cstheme="minorHAnsi"/>
          <w:szCs w:val="23"/>
        </w:rPr>
        <w:t>f</w:t>
      </w:r>
      <w:r w:rsidR="001E6284" w:rsidRPr="00790D20">
        <w:rPr>
          <w:rFonts w:asciiTheme="minorHAnsi" w:eastAsia="Aptos" w:hAnsiTheme="minorHAnsi" w:cstheme="minorHAnsi"/>
          <w:szCs w:val="23"/>
        </w:rPr>
        <w:t xml:space="preserve">leet </w:t>
      </w:r>
      <w:r w:rsidR="00075EA6" w:rsidRPr="00790D20">
        <w:rPr>
          <w:rFonts w:asciiTheme="minorHAnsi" w:eastAsia="Aptos" w:hAnsiTheme="minorHAnsi" w:cstheme="minorHAnsi"/>
          <w:szCs w:val="23"/>
        </w:rPr>
        <w:t>m</w:t>
      </w:r>
      <w:r w:rsidR="001E6284" w:rsidRPr="00790D20">
        <w:rPr>
          <w:rFonts w:asciiTheme="minorHAnsi" w:eastAsia="Aptos" w:hAnsiTheme="minorHAnsi" w:cstheme="minorHAnsi"/>
          <w:szCs w:val="23"/>
        </w:rPr>
        <w:t xml:space="preserve">anagement </w:t>
      </w:r>
      <w:r w:rsidR="00075EA6" w:rsidRPr="00790D20">
        <w:rPr>
          <w:rFonts w:asciiTheme="minorHAnsi" w:eastAsia="Aptos" w:hAnsiTheme="minorHAnsi" w:cstheme="minorHAnsi"/>
          <w:szCs w:val="23"/>
        </w:rPr>
        <w:t>s</w:t>
      </w:r>
      <w:r w:rsidR="001E6284" w:rsidRPr="00790D20">
        <w:rPr>
          <w:rFonts w:asciiTheme="minorHAnsi" w:eastAsia="Aptos" w:hAnsiTheme="minorHAnsi" w:cstheme="minorHAnsi"/>
          <w:szCs w:val="23"/>
        </w:rPr>
        <w:t>ystem has been i</w:t>
      </w:r>
      <w:r w:rsidRPr="00790D20">
        <w:rPr>
          <w:rFonts w:asciiTheme="minorHAnsi" w:eastAsia="Aptos" w:hAnsiTheme="minorHAnsi" w:cstheme="minorHAnsi"/>
          <w:szCs w:val="23"/>
        </w:rPr>
        <w:t>ntroduced</w:t>
      </w:r>
      <w:r w:rsidR="003738BC" w:rsidRPr="00790D20">
        <w:rPr>
          <w:rFonts w:asciiTheme="minorHAnsi" w:eastAsia="Aptos" w:hAnsiTheme="minorHAnsi" w:cstheme="minorHAnsi"/>
          <w:szCs w:val="23"/>
        </w:rPr>
        <w:t xml:space="preserve">, </w:t>
      </w:r>
      <w:r w:rsidR="001E6284" w:rsidRPr="00790D20">
        <w:rPr>
          <w:rFonts w:asciiTheme="minorHAnsi" w:eastAsia="Aptos" w:hAnsiTheme="minorHAnsi" w:cstheme="minorHAnsi"/>
          <w:szCs w:val="23"/>
        </w:rPr>
        <w:t>Hydrotreated Vegetable Oil (HVO), a renewable diesel fuel derived from plant-based oils, fats, or greases</w:t>
      </w:r>
      <w:r w:rsidR="00790D20" w:rsidRPr="00790D20">
        <w:rPr>
          <w:rFonts w:asciiTheme="minorHAnsi" w:eastAsia="Aptos" w:hAnsiTheme="minorHAnsi" w:cstheme="minorHAnsi"/>
          <w:szCs w:val="23"/>
        </w:rPr>
        <w:t xml:space="preserve">, </w:t>
      </w:r>
      <w:r w:rsidR="001E6284" w:rsidRPr="00790D20">
        <w:rPr>
          <w:rFonts w:asciiTheme="minorHAnsi" w:eastAsia="Aptos" w:hAnsiTheme="minorHAnsi" w:cstheme="minorHAnsi"/>
          <w:szCs w:val="23"/>
        </w:rPr>
        <w:t xml:space="preserve">replaced diesel in </w:t>
      </w:r>
      <w:r w:rsidR="00A16710" w:rsidRPr="00790D20">
        <w:rPr>
          <w:rFonts w:asciiTheme="minorHAnsi" w:eastAsia="Aptos" w:hAnsiTheme="minorHAnsi" w:cstheme="minorHAnsi"/>
          <w:szCs w:val="23"/>
        </w:rPr>
        <w:t xml:space="preserve">21 </w:t>
      </w:r>
      <w:r w:rsidR="001E6284" w:rsidRPr="00790D20">
        <w:rPr>
          <w:rFonts w:asciiTheme="minorHAnsi" w:eastAsia="Aptos" w:hAnsiTheme="minorHAnsi" w:cstheme="minorHAnsi"/>
          <w:szCs w:val="23"/>
        </w:rPr>
        <w:t>vehicles</w:t>
      </w:r>
      <w:r w:rsidR="003738BC" w:rsidRPr="00790D20">
        <w:rPr>
          <w:rFonts w:asciiTheme="minorHAnsi" w:eastAsia="Aptos" w:hAnsiTheme="minorHAnsi" w:cstheme="minorHAnsi"/>
          <w:szCs w:val="23"/>
        </w:rPr>
        <w:t xml:space="preserve"> </w:t>
      </w:r>
      <w:r w:rsidR="00790D20" w:rsidRPr="00790D20">
        <w:rPr>
          <w:rFonts w:asciiTheme="minorHAnsi" w:eastAsia="Aptos" w:hAnsiTheme="minorHAnsi" w:cstheme="minorHAnsi"/>
          <w:szCs w:val="23"/>
        </w:rPr>
        <w:t>and a</w:t>
      </w:r>
      <w:r w:rsidR="003738BC" w:rsidRPr="00790D20">
        <w:rPr>
          <w:rFonts w:asciiTheme="minorHAnsi" w:eastAsia="Aptos" w:hAnsiTheme="minorHAnsi" w:cstheme="minorHAnsi"/>
          <w:szCs w:val="23"/>
        </w:rPr>
        <w:t xml:space="preserve"> further three </w:t>
      </w:r>
      <w:r w:rsidR="005C7146" w:rsidRPr="00790D20">
        <w:rPr>
          <w:rFonts w:asciiTheme="minorHAnsi" w:eastAsia="Aptos" w:hAnsiTheme="minorHAnsi" w:cstheme="minorHAnsi"/>
          <w:szCs w:val="23"/>
        </w:rPr>
        <w:t xml:space="preserve">electric vehicles </w:t>
      </w:r>
      <w:r w:rsidR="003738BC" w:rsidRPr="00790D20">
        <w:rPr>
          <w:rFonts w:asciiTheme="minorHAnsi" w:eastAsia="Aptos" w:hAnsiTheme="minorHAnsi" w:cstheme="minorHAnsi"/>
          <w:szCs w:val="23"/>
        </w:rPr>
        <w:t>were added to our fleet</w:t>
      </w:r>
      <w:r w:rsidR="005C7146" w:rsidRPr="00790D20">
        <w:rPr>
          <w:rFonts w:asciiTheme="minorHAnsi" w:eastAsia="Aptos" w:hAnsiTheme="minorHAnsi" w:cstheme="minorHAnsi"/>
          <w:szCs w:val="23"/>
        </w:rPr>
        <w:t>.</w:t>
      </w:r>
    </w:p>
    <w:p w14:paraId="74B35B3B" w14:textId="0B4D2C24" w:rsidR="003738BC" w:rsidRPr="00123A4A" w:rsidRDefault="003738BC" w:rsidP="003738BC">
      <w:pPr>
        <w:pStyle w:val="ListParagraph"/>
        <w:widowControl w:val="0"/>
        <w:numPr>
          <w:ilvl w:val="0"/>
          <w:numId w:val="25"/>
        </w:numPr>
        <w:autoSpaceDE w:val="0"/>
        <w:autoSpaceDN w:val="0"/>
        <w:spacing w:after="0" w:line="276" w:lineRule="auto"/>
      </w:pPr>
      <w:r>
        <w:rPr>
          <w:szCs w:val="23"/>
        </w:rPr>
        <w:t>We a</w:t>
      </w:r>
      <w:r w:rsidR="001E6284" w:rsidRPr="008569AB">
        <w:rPr>
          <w:szCs w:val="23"/>
        </w:rPr>
        <w:t xml:space="preserve">chieved the NTA’s Silver Smarter Travel Mark, demonstrating a commitment to changing attitudes and behaviours </w:t>
      </w:r>
      <w:r w:rsidR="00D63045">
        <w:rPr>
          <w:szCs w:val="23"/>
        </w:rPr>
        <w:t xml:space="preserve">on </w:t>
      </w:r>
      <w:r w:rsidR="001E6284" w:rsidRPr="008569AB">
        <w:rPr>
          <w:szCs w:val="23"/>
        </w:rPr>
        <w:t>walking, cycling and public transport usage</w:t>
      </w:r>
      <w:r>
        <w:rPr>
          <w:szCs w:val="23"/>
        </w:rPr>
        <w:t xml:space="preserve"> and c</w:t>
      </w:r>
      <w:r w:rsidRPr="008569AB">
        <w:rPr>
          <w:szCs w:val="23"/>
        </w:rPr>
        <w:t>ontinued</w:t>
      </w:r>
      <w:r w:rsidRPr="008569AB">
        <w:rPr>
          <w:spacing w:val="-7"/>
          <w:szCs w:val="23"/>
        </w:rPr>
        <w:t xml:space="preserve"> </w:t>
      </w:r>
      <w:r>
        <w:rPr>
          <w:spacing w:val="-7"/>
          <w:szCs w:val="23"/>
        </w:rPr>
        <w:t xml:space="preserve">to facilitate </w:t>
      </w:r>
      <w:r w:rsidRPr="008569AB">
        <w:rPr>
          <w:szCs w:val="23"/>
        </w:rPr>
        <w:t>public</w:t>
      </w:r>
      <w:r w:rsidRPr="008569AB">
        <w:rPr>
          <w:spacing w:val="-2"/>
          <w:szCs w:val="23"/>
        </w:rPr>
        <w:t xml:space="preserve"> </w:t>
      </w:r>
      <w:r w:rsidRPr="008569AB">
        <w:rPr>
          <w:szCs w:val="23"/>
        </w:rPr>
        <w:t>transport</w:t>
      </w:r>
      <w:r w:rsidRPr="008569AB">
        <w:rPr>
          <w:spacing w:val="-4"/>
          <w:szCs w:val="23"/>
        </w:rPr>
        <w:t xml:space="preserve"> </w:t>
      </w:r>
      <w:r w:rsidRPr="008569AB">
        <w:rPr>
          <w:szCs w:val="23"/>
        </w:rPr>
        <w:t>routes,</w:t>
      </w:r>
      <w:r w:rsidRPr="008569AB">
        <w:rPr>
          <w:spacing w:val="-5"/>
          <w:szCs w:val="23"/>
        </w:rPr>
        <w:t xml:space="preserve"> </w:t>
      </w:r>
      <w:r w:rsidRPr="008569AB">
        <w:rPr>
          <w:szCs w:val="23"/>
        </w:rPr>
        <w:t>in</w:t>
      </w:r>
      <w:r w:rsidRPr="008569AB">
        <w:rPr>
          <w:spacing w:val="-6"/>
          <w:szCs w:val="23"/>
        </w:rPr>
        <w:t xml:space="preserve"> </w:t>
      </w:r>
      <w:r w:rsidRPr="008569AB">
        <w:rPr>
          <w:szCs w:val="23"/>
        </w:rPr>
        <w:t>partnership</w:t>
      </w:r>
      <w:r w:rsidRPr="008569AB">
        <w:rPr>
          <w:spacing w:val="-5"/>
          <w:szCs w:val="23"/>
        </w:rPr>
        <w:t xml:space="preserve"> </w:t>
      </w:r>
      <w:r w:rsidRPr="008569AB">
        <w:rPr>
          <w:szCs w:val="23"/>
        </w:rPr>
        <w:t>with</w:t>
      </w:r>
      <w:r w:rsidRPr="008569AB">
        <w:rPr>
          <w:spacing w:val="-5"/>
          <w:szCs w:val="23"/>
        </w:rPr>
        <w:t xml:space="preserve"> </w:t>
      </w:r>
      <w:r w:rsidRPr="008569AB">
        <w:rPr>
          <w:szCs w:val="23"/>
        </w:rPr>
        <w:t>the</w:t>
      </w:r>
      <w:r w:rsidRPr="008569AB">
        <w:rPr>
          <w:spacing w:val="-5"/>
          <w:szCs w:val="23"/>
        </w:rPr>
        <w:t xml:space="preserve"> </w:t>
      </w:r>
      <w:r w:rsidRPr="008569AB">
        <w:rPr>
          <w:szCs w:val="23"/>
        </w:rPr>
        <w:t>NTA</w:t>
      </w:r>
      <w:r w:rsidRPr="008569AB">
        <w:rPr>
          <w:spacing w:val="-6"/>
          <w:szCs w:val="23"/>
        </w:rPr>
        <w:t xml:space="preserve"> </w:t>
      </w:r>
      <w:r w:rsidRPr="008569AB">
        <w:rPr>
          <w:szCs w:val="23"/>
        </w:rPr>
        <w:t>and</w:t>
      </w:r>
      <w:r w:rsidRPr="008569AB">
        <w:rPr>
          <w:spacing w:val="1"/>
          <w:szCs w:val="23"/>
        </w:rPr>
        <w:t xml:space="preserve"> </w:t>
      </w:r>
      <w:r w:rsidRPr="008569AB">
        <w:rPr>
          <w:spacing w:val="-2"/>
          <w:szCs w:val="23"/>
        </w:rPr>
        <w:t>others.</w:t>
      </w:r>
    </w:p>
    <w:p w14:paraId="02F407FB" w14:textId="30FB885C" w:rsidR="001E6284" w:rsidRDefault="00D63045">
      <w:pPr>
        <w:pStyle w:val="ListParagraph"/>
        <w:widowControl w:val="0"/>
        <w:numPr>
          <w:ilvl w:val="0"/>
          <w:numId w:val="25"/>
        </w:numPr>
        <w:tabs>
          <w:tab w:val="left" w:pos="525"/>
          <w:tab w:val="left" w:pos="527"/>
        </w:tabs>
        <w:autoSpaceDE w:val="0"/>
        <w:autoSpaceDN w:val="0"/>
        <w:spacing w:after="0" w:line="276" w:lineRule="auto"/>
      </w:pPr>
      <w:r w:rsidRPr="00A766DE">
        <w:rPr>
          <w:rFonts w:asciiTheme="minorHAnsi" w:eastAsiaTheme="minorEastAsia" w:hAnsiTheme="minorHAnsi" w:cstheme="minorBidi"/>
          <w:szCs w:val="23"/>
        </w:rPr>
        <w:t>We</w:t>
      </w:r>
      <w:r w:rsidR="003738BC" w:rsidRPr="00A766DE">
        <w:rPr>
          <w:rFonts w:asciiTheme="minorHAnsi" w:eastAsiaTheme="minorEastAsia" w:hAnsiTheme="minorHAnsi" w:cstheme="minorBidi"/>
          <w:szCs w:val="23"/>
        </w:rPr>
        <w:t xml:space="preserve"> c</w:t>
      </w:r>
      <w:r w:rsidR="001E6284" w:rsidRPr="00A766DE">
        <w:rPr>
          <w:rFonts w:asciiTheme="minorHAnsi" w:eastAsiaTheme="minorEastAsia" w:hAnsiTheme="minorHAnsi" w:cstheme="minorBidi"/>
          <w:szCs w:val="23"/>
        </w:rPr>
        <w:t xml:space="preserve">ontinued </w:t>
      </w:r>
      <w:r w:rsidRPr="00A766DE">
        <w:rPr>
          <w:rFonts w:asciiTheme="minorHAnsi" w:eastAsiaTheme="minorEastAsia" w:hAnsiTheme="minorHAnsi" w:cstheme="minorBidi"/>
          <w:szCs w:val="23"/>
        </w:rPr>
        <w:t xml:space="preserve">our </w:t>
      </w:r>
      <w:r w:rsidR="001E6284" w:rsidRPr="00A766DE">
        <w:rPr>
          <w:rFonts w:asciiTheme="minorHAnsi" w:eastAsiaTheme="minorEastAsia" w:hAnsiTheme="minorHAnsi" w:cstheme="minorBidi"/>
          <w:szCs w:val="23"/>
        </w:rPr>
        <w:t xml:space="preserve">progress towards ISO 50001 Energy Management accreditation </w:t>
      </w:r>
      <w:r w:rsidR="00A23D8E">
        <w:rPr>
          <w:rFonts w:asciiTheme="minorHAnsi" w:eastAsiaTheme="minorEastAsia" w:hAnsiTheme="minorHAnsi" w:cstheme="minorBidi"/>
          <w:szCs w:val="23"/>
        </w:rPr>
        <w:t xml:space="preserve">by developing an </w:t>
      </w:r>
      <w:r w:rsidR="003738BC" w:rsidRPr="00A766DE">
        <w:rPr>
          <w:rFonts w:asciiTheme="minorHAnsi" w:eastAsiaTheme="minorEastAsia" w:hAnsiTheme="minorHAnsi" w:cstheme="minorBidi"/>
          <w:szCs w:val="23"/>
        </w:rPr>
        <w:t xml:space="preserve">energy management system </w:t>
      </w:r>
      <w:r w:rsidR="001E6284" w:rsidRPr="00A766DE">
        <w:rPr>
          <w:rFonts w:asciiTheme="minorHAnsi" w:eastAsiaTheme="minorEastAsia" w:hAnsiTheme="minorHAnsi" w:cstheme="minorBidi"/>
          <w:szCs w:val="23"/>
        </w:rPr>
        <w:t xml:space="preserve">to improve </w:t>
      </w:r>
      <w:r w:rsidR="003738BC" w:rsidRPr="00A766DE">
        <w:rPr>
          <w:rFonts w:asciiTheme="minorHAnsi" w:eastAsiaTheme="minorEastAsia" w:hAnsiTheme="minorHAnsi" w:cstheme="minorBidi"/>
          <w:szCs w:val="23"/>
        </w:rPr>
        <w:t>our</w:t>
      </w:r>
      <w:r w:rsidR="00DC4BA8" w:rsidRPr="00A766DE">
        <w:rPr>
          <w:rFonts w:asciiTheme="minorHAnsi" w:eastAsiaTheme="minorEastAsia" w:hAnsiTheme="minorHAnsi" w:cstheme="minorBidi"/>
          <w:szCs w:val="23"/>
        </w:rPr>
        <w:t xml:space="preserve"> </w:t>
      </w:r>
      <w:r w:rsidR="001E6284" w:rsidRPr="00A766DE">
        <w:rPr>
          <w:rFonts w:asciiTheme="minorHAnsi" w:eastAsiaTheme="minorEastAsia" w:hAnsiTheme="minorHAnsi" w:cstheme="minorBidi"/>
          <w:szCs w:val="23"/>
        </w:rPr>
        <w:t xml:space="preserve">energy use, </w:t>
      </w:r>
      <w:r w:rsidR="00A766DE" w:rsidRPr="00A766DE">
        <w:rPr>
          <w:rFonts w:asciiTheme="minorHAnsi" w:eastAsiaTheme="minorEastAsia" w:hAnsiTheme="minorHAnsi" w:cstheme="minorBidi"/>
          <w:szCs w:val="23"/>
        </w:rPr>
        <w:t>and pr</w:t>
      </w:r>
      <w:r w:rsidR="003738BC">
        <w:t xml:space="preserve">ocurement is </w:t>
      </w:r>
      <w:r w:rsidR="00A766DE">
        <w:t xml:space="preserve">advancing </w:t>
      </w:r>
      <w:r w:rsidR="003738BC">
        <w:t>for e</w:t>
      </w:r>
      <w:r w:rsidR="001E6284">
        <w:t xml:space="preserve">nergy performance contracts for large </w:t>
      </w:r>
      <w:r w:rsidR="00FC652D">
        <w:t>c</w:t>
      </w:r>
      <w:r w:rsidR="001E6284">
        <w:t>ouncil-owned buildings (County Hall</w:t>
      </w:r>
      <w:r w:rsidR="00A23D8E">
        <w:t xml:space="preserve">/County </w:t>
      </w:r>
      <w:r w:rsidR="001E6284">
        <w:t>Library, Civic Theatre, Clondalkin Civic Offices, Tallaght and Clondalkin Leisure Centres)</w:t>
      </w:r>
      <w:r w:rsidR="003738BC">
        <w:t>.</w:t>
      </w:r>
    </w:p>
    <w:p w14:paraId="264E6860" w14:textId="4F129BB6" w:rsidR="001E6284" w:rsidRPr="00123A4A" w:rsidRDefault="000B4726" w:rsidP="008569AB">
      <w:pPr>
        <w:pStyle w:val="ListParagraph"/>
        <w:widowControl w:val="0"/>
        <w:numPr>
          <w:ilvl w:val="0"/>
          <w:numId w:val="25"/>
        </w:numPr>
        <w:autoSpaceDE w:val="0"/>
        <w:autoSpaceDN w:val="0"/>
        <w:spacing w:after="0" w:line="276" w:lineRule="auto"/>
      </w:pPr>
      <w:r>
        <w:rPr>
          <w:szCs w:val="23"/>
        </w:rPr>
        <w:lastRenderedPageBreak/>
        <w:t>A</w:t>
      </w:r>
      <w:r w:rsidR="001E6284" w:rsidRPr="008569AB">
        <w:rPr>
          <w:szCs w:val="23"/>
        </w:rPr>
        <w:t xml:space="preserve"> Major Emergency</w:t>
      </w:r>
      <w:r w:rsidR="001E6284" w:rsidRPr="008569AB">
        <w:rPr>
          <w:spacing w:val="-13"/>
          <w:szCs w:val="23"/>
        </w:rPr>
        <w:t xml:space="preserve"> </w:t>
      </w:r>
      <w:r w:rsidR="001E6284" w:rsidRPr="008569AB">
        <w:rPr>
          <w:szCs w:val="23"/>
        </w:rPr>
        <w:t>Management</w:t>
      </w:r>
      <w:r w:rsidR="001E6284" w:rsidRPr="008569AB">
        <w:rPr>
          <w:spacing w:val="-13"/>
          <w:szCs w:val="23"/>
        </w:rPr>
        <w:t xml:space="preserve"> </w:t>
      </w:r>
      <w:r w:rsidR="001E6284" w:rsidRPr="008569AB">
        <w:rPr>
          <w:szCs w:val="23"/>
        </w:rPr>
        <w:t xml:space="preserve">Plan </w:t>
      </w:r>
      <w:r>
        <w:rPr>
          <w:szCs w:val="23"/>
        </w:rPr>
        <w:t xml:space="preserve">is in place and </w:t>
      </w:r>
      <w:r w:rsidR="001E6284" w:rsidRPr="008569AB">
        <w:rPr>
          <w:szCs w:val="23"/>
        </w:rPr>
        <w:t>is regularly reviewed to deal effectively with the possibility of new risks and threats.</w:t>
      </w:r>
    </w:p>
    <w:p w14:paraId="2906EFBC" w14:textId="77777777" w:rsidR="001E6284" w:rsidRDefault="001E6284" w:rsidP="008569AB">
      <w:pPr>
        <w:pStyle w:val="ListParagraph"/>
        <w:widowControl w:val="0"/>
        <w:numPr>
          <w:ilvl w:val="0"/>
          <w:numId w:val="25"/>
        </w:numPr>
        <w:tabs>
          <w:tab w:val="left" w:pos="525"/>
          <w:tab w:val="left" w:pos="527"/>
        </w:tabs>
        <w:autoSpaceDE w:val="0"/>
        <w:autoSpaceDN w:val="0"/>
        <w:spacing w:after="0" w:line="276" w:lineRule="auto"/>
      </w:pPr>
      <w:r>
        <w:t xml:space="preserve">The Whitechurch River and </w:t>
      </w:r>
      <w:proofErr w:type="spellStart"/>
      <w:r>
        <w:t>Poddle</w:t>
      </w:r>
      <w:proofErr w:type="spellEnd"/>
      <w:r>
        <w:t xml:space="preserve"> River Flood Alleviation Schemes are under construction and design is progressing for the Camac</w:t>
      </w:r>
      <w:r w:rsidRPr="008569AB">
        <w:rPr>
          <w:spacing w:val="-9"/>
        </w:rPr>
        <w:t xml:space="preserve"> </w:t>
      </w:r>
      <w:r>
        <w:t>Flood</w:t>
      </w:r>
      <w:r w:rsidRPr="008569AB">
        <w:rPr>
          <w:spacing w:val="-11"/>
        </w:rPr>
        <w:t xml:space="preserve"> </w:t>
      </w:r>
      <w:r>
        <w:t>Alleviation</w:t>
      </w:r>
      <w:r w:rsidRPr="008569AB">
        <w:rPr>
          <w:spacing w:val="-9"/>
        </w:rPr>
        <w:t xml:space="preserve"> </w:t>
      </w:r>
      <w:r>
        <w:t>Scheme.</w:t>
      </w:r>
      <w:r w:rsidRPr="008569AB">
        <w:rPr>
          <w:spacing w:val="-8"/>
        </w:rPr>
        <w:t xml:space="preserve"> </w:t>
      </w:r>
      <w:r>
        <w:t>Further</w:t>
      </w:r>
      <w:r w:rsidRPr="008569AB">
        <w:rPr>
          <w:spacing w:val="-7"/>
        </w:rPr>
        <w:t xml:space="preserve"> </w:t>
      </w:r>
      <w:r>
        <w:t>flood</w:t>
      </w:r>
      <w:r w:rsidRPr="008569AB">
        <w:rPr>
          <w:spacing w:val="-9"/>
        </w:rPr>
        <w:t xml:space="preserve"> </w:t>
      </w:r>
      <w:r>
        <w:t>and</w:t>
      </w:r>
      <w:r w:rsidRPr="008569AB">
        <w:rPr>
          <w:spacing w:val="-11"/>
        </w:rPr>
        <w:t xml:space="preserve"> </w:t>
      </w:r>
      <w:r>
        <w:t>general</w:t>
      </w:r>
      <w:r w:rsidRPr="008569AB">
        <w:rPr>
          <w:spacing w:val="-10"/>
        </w:rPr>
        <w:t xml:space="preserve"> </w:t>
      </w:r>
      <w:r>
        <w:t>maintenance</w:t>
      </w:r>
      <w:r w:rsidRPr="008569AB">
        <w:rPr>
          <w:spacing w:val="-7"/>
        </w:rPr>
        <w:t xml:space="preserve"> </w:t>
      </w:r>
      <w:r>
        <w:t>projects</w:t>
      </w:r>
      <w:r w:rsidRPr="008569AB">
        <w:rPr>
          <w:spacing w:val="-9"/>
        </w:rPr>
        <w:t xml:space="preserve"> </w:t>
      </w:r>
      <w:r>
        <w:t>were</w:t>
      </w:r>
      <w:r w:rsidRPr="008569AB">
        <w:rPr>
          <w:spacing w:val="-5"/>
        </w:rPr>
        <w:t xml:space="preserve"> </w:t>
      </w:r>
      <w:r>
        <w:t xml:space="preserve">also undertaken at Newcastle, Rathcoole and </w:t>
      </w:r>
      <w:proofErr w:type="spellStart"/>
      <w:r>
        <w:t>Saggart</w:t>
      </w:r>
      <w:proofErr w:type="spellEnd"/>
      <w:r>
        <w:t>.</w:t>
      </w:r>
    </w:p>
    <w:p w14:paraId="0A27D65E" w14:textId="2A57DD42" w:rsidR="001E6284" w:rsidRPr="008569AB" w:rsidRDefault="001E6284" w:rsidP="7362E5FC">
      <w:pPr>
        <w:pStyle w:val="ListParagraph"/>
        <w:widowControl w:val="0"/>
        <w:numPr>
          <w:ilvl w:val="0"/>
          <w:numId w:val="25"/>
        </w:numPr>
        <w:tabs>
          <w:tab w:val="left" w:pos="525"/>
          <w:tab w:val="left" w:pos="527"/>
        </w:tabs>
        <w:autoSpaceDE w:val="0"/>
        <w:autoSpaceDN w:val="0"/>
        <w:spacing w:after="0" w:line="276" w:lineRule="auto"/>
        <w:rPr>
          <w:rFonts w:asciiTheme="minorHAnsi" w:hAnsiTheme="minorHAnsi" w:cstheme="minorBidi"/>
          <w:color w:val="000000" w:themeColor="text1"/>
        </w:rPr>
      </w:pPr>
      <w:r w:rsidRPr="7362E5FC">
        <w:rPr>
          <w:rFonts w:asciiTheme="minorHAnsi" w:hAnsiTheme="minorHAnsi" w:cstheme="minorBidi"/>
          <w:color w:val="000000" w:themeColor="text1"/>
        </w:rPr>
        <w:t>Five Integrated</w:t>
      </w:r>
      <w:r w:rsidRPr="7362E5FC">
        <w:rPr>
          <w:rFonts w:asciiTheme="minorHAnsi" w:hAnsiTheme="minorHAnsi" w:cstheme="minorBidi"/>
          <w:color w:val="000000" w:themeColor="text1"/>
          <w:spacing w:val="-1"/>
        </w:rPr>
        <w:t xml:space="preserve"> </w:t>
      </w:r>
      <w:r w:rsidRPr="7362E5FC">
        <w:rPr>
          <w:rFonts w:asciiTheme="minorHAnsi" w:hAnsiTheme="minorHAnsi" w:cstheme="minorBidi"/>
          <w:color w:val="000000" w:themeColor="text1"/>
        </w:rPr>
        <w:t>Constructed Wetlands (ICWs) were constructed which completes this section</w:t>
      </w:r>
      <w:r w:rsidRPr="7362E5FC">
        <w:rPr>
          <w:rFonts w:asciiTheme="minorHAnsi" w:hAnsiTheme="minorHAnsi" w:cstheme="minorBidi"/>
          <w:color w:val="000000" w:themeColor="text1"/>
          <w:spacing w:val="-1"/>
        </w:rPr>
        <w:t xml:space="preserve"> </w:t>
      </w:r>
      <w:r w:rsidRPr="7362E5FC">
        <w:rPr>
          <w:rFonts w:asciiTheme="minorHAnsi" w:hAnsiTheme="minorHAnsi" w:cstheme="minorBidi"/>
          <w:color w:val="000000" w:themeColor="text1"/>
        </w:rPr>
        <w:t xml:space="preserve">of the Dublin Urban Rivers LIFE (DURL) Project. </w:t>
      </w:r>
      <w:r w:rsidRPr="7362E5FC">
        <w:rPr>
          <w:rFonts w:asciiTheme="minorHAnsi" w:eastAsia="Aptos Narrow" w:hAnsiTheme="minorHAnsi" w:cstheme="minorBidi"/>
          <w:color w:val="000000" w:themeColor="text1"/>
        </w:rPr>
        <w:t>The ICWs are performing well and are thriving with nature</w:t>
      </w:r>
      <w:r w:rsidR="3C8CBA12" w:rsidRPr="7362E5FC">
        <w:rPr>
          <w:rFonts w:asciiTheme="minorHAnsi" w:eastAsia="Aptos Narrow" w:hAnsiTheme="minorHAnsi" w:cstheme="minorBidi"/>
          <w:color w:val="000000" w:themeColor="text1"/>
        </w:rPr>
        <w:t>. P</w:t>
      </w:r>
      <w:r w:rsidRPr="7362E5FC">
        <w:rPr>
          <w:rFonts w:asciiTheme="minorHAnsi" w:eastAsia="Aptos Narrow" w:hAnsiTheme="minorHAnsi" w:cstheme="minorBidi"/>
          <w:color w:val="000000" w:themeColor="text1"/>
        </w:rPr>
        <w:t xml:space="preserve">ollution has been reduced for </w:t>
      </w:r>
      <w:r w:rsidR="00895810" w:rsidRPr="7362E5FC">
        <w:rPr>
          <w:rFonts w:asciiTheme="minorHAnsi" w:eastAsia="Aptos Narrow" w:hAnsiTheme="minorHAnsi" w:cstheme="minorBidi"/>
          <w:color w:val="000000" w:themeColor="text1"/>
        </w:rPr>
        <w:t>e. coli</w:t>
      </w:r>
      <w:r w:rsidRPr="7362E5FC">
        <w:rPr>
          <w:rFonts w:asciiTheme="minorHAnsi" w:eastAsia="Aptos Narrow" w:hAnsiTheme="minorHAnsi" w:cstheme="minorBidi"/>
          <w:color w:val="000000" w:themeColor="text1"/>
        </w:rPr>
        <w:t xml:space="preserve"> </w:t>
      </w:r>
      <w:proofErr w:type="gramStart"/>
      <w:r w:rsidRPr="7362E5FC">
        <w:rPr>
          <w:rFonts w:asciiTheme="minorHAnsi" w:eastAsia="Aptos Narrow" w:hAnsiTheme="minorHAnsi" w:cstheme="minorBidi"/>
          <w:color w:val="000000" w:themeColor="text1"/>
        </w:rPr>
        <w:t>and also</w:t>
      </w:r>
      <w:proofErr w:type="gramEnd"/>
      <w:r w:rsidRPr="7362E5FC">
        <w:rPr>
          <w:rFonts w:asciiTheme="minorHAnsi" w:eastAsia="Aptos Narrow" w:hAnsiTheme="minorHAnsi" w:cstheme="minorBidi"/>
          <w:color w:val="000000" w:themeColor="text1"/>
        </w:rPr>
        <w:t xml:space="preserve"> for nutrients such as ammonia and phosphorus.</w:t>
      </w:r>
    </w:p>
    <w:p w14:paraId="35578A2C" w14:textId="635D517B" w:rsidR="001E6284" w:rsidRPr="008569AB" w:rsidRDefault="000B4726" w:rsidP="008569AB">
      <w:pPr>
        <w:pStyle w:val="ListParagraph"/>
        <w:widowControl w:val="0"/>
        <w:numPr>
          <w:ilvl w:val="0"/>
          <w:numId w:val="25"/>
        </w:numPr>
        <w:tabs>
          <w:tab w:val="left" w:pos="525"/>
          <w:tab w:val="left" w:pos="527"/>
        </w:tabs>
        <w:autoSpaceDE w:val="0"/>
        <w:autoSpaceDN w:val="0"/>
        <w:spacing w:after="0" w:line="276" w:lineRule="auto"/>
        <w:rPr>
          <w:szCs w:val="23"/>
        </w:rPr>
      </w:pPr>
      <w:r>
        <w:rPr>
          <w:szCs w:val="23"/>
        </w:rPr>
        <w:t xml:space="preserve">We have continued to support </w:t>
      </w:r>
      <w:r w:rsidR="001E6284" w:rsidRPr="008569AB">
        <w:rPr>
          <w:spacing w:val="-5"/>
          <w:szCs w:val="23"/>
        </w:rPr>
        <w:t>t</w:t>
      </w:r>
      <w:r w:rsidR="001E6284" w:rsidRPr="008569AB">
        <w:rPr>
          <w:szCs w:val="23"/>
        </w:rPr>
        <w:t>he</w:t>
      </w:r>
      <w:r w:rsidR="001E6284" w:rsidRPr="008569AB">
        <w:rPr>
          <w:spacing w:val="-7"/>
          <w:szCs w:val="23"/>
        </w:rPr>
        <w:t xml:space="preserve"> </w:t>
      </w:r>
      <w:r w:rsidR="001E6284" w:rsidRPr="008569AB">
        <w:rPr>
          <w:szCs w:val="23"/>
        </w:rPr>
        <w:t>Green</w:t>
      </w:r>
      <w:r w:rsidR="001E6284" w:rsidRPr="008569AB">
        <w:rPr>
          <w:spacing w:val="-6"/>
          <w:szCs w:val="23"/>
        </w:rPr>
        <w:t xml:space="preserve"> </w:t>
      </w:r>
      <w:r w:rsidR="001E6284" w:rsidRPr="008569AB">
        <w:rPr>
          <w:szCs w:val="23"/>
        </w:rPr>
        <w:t>Schools</w:t>
      </w:r>
      <w:r w:rsidR="001E6284" w:rsidRPr="008569AB">
        <w:rPr>
          <w:spacing w:val="-6"/>
          <w:szCs w:val="23"/>
        </w:rPr>
        <w:t xml:space="preserve"> </w:t>
      </w:r>
      <w:r w:rsidR="001E6284" w:rsidRPr="008569AB">
        <w:rPr>
          <w:szCs w:val="23"/>
        </w:rPr>
        <w:t>Programme</w:t>
      </w:r>
      <w:r w:rsidR="001E6284" w:rsidRPr="008569AB">
        <w:rPr>
          <w:spacing w:val="-3"/>
          <w:szCs w:val="23"/>
        </w:rPr>
        <w:t xml:space="preserve"> </w:t>
      </w:r>
      <w:r w:rsidR="001E6284" w:rsidRPr="008569AB">
        <w:rPr>
          <w:szCs w:val="23"/>
        </w:rPr>
        <w:t>with</w:t>
      </w:r>
      <w:r w:rsidR="001E6284" w:rsidRPr="008569AB">
        <w:rPr>
          <w:spacing w:val="-8"/>
          <w:szCs w:val="23"/>
        </w:rPr>
        <w:t xml:space="preserve"> </w:t>
      </w:r>
      <w:r w:rsidR="001E6284" w:rsidRPr="008569AB">
        <w:rPr>
          <w:szCs w:val="23"/>
        </w:rPr>
        <w:t>22</w:t>
      </w:r>
      <w:r w:rsidR="001E6284" w:rsidRPr="008569AB">
        <w:rPr>
          <w:spacing w:val="-6"/>
          <w:szCs w:val="23"/>
        </w:rPr>
        <w:t xml:space="preserve"> </w:t>
      </w:r>
      <w:r w:rsidR="001E6284" w:rsidRPr="008569AB">
        <w:rPr>
          <w:szCs w:val="23"/>
        </w:rPr>
        <w:t>schools</w:t>
      </w:r>
      <w:r w:rsidR="001E6284" w:rsidRPr="008569AB">
        <w:rPr>
          <w:spacing w:val="-4"/>
          <w:szCs w:val="23"/>
        </w:rPr>
        <w:t xml:space="preserve"> </w:t>
      </w:r>
      <w:r w:rsidR="001E6284" w:rsidRPr="008569AB">
        <w:rPr>
          <w:szCs w:val="23"/>
        </w:rPr>
        <w:t>awarded</w:t>
      </w:r>
      <w:r w:rsidR="001E6284" w:rsidRPr="008569AB">
        <w:rPr>
          <w:spacing w:val="-7"/>
          <w:szCs w:val="23"/>
        </w:rPr>
        <w:t xml:space="preserve"> </w:t>
      </w:r>
      <w:r w:rsidR="001E6284" w:rsidRPr="008569AB">
        <w:rPr>
          <w:szCs w:val="23"/>
        </w:rPr>
        <w:t>additional</w:t>
      </w:r>
      <w:r w:rsidR="001E6284" w:rsidRPr="008569AB">
        <w:rPr>
          <w:spacing w:val="-5"/>
          <w:szCs w:val="23"/>
        </w:rPr>
        <w:t xml:space="preserve"> </w:t>
      </w:r>
      <w:r w:rsidR="001E6284" w:rsidRPr="008569AB">
        <w:rPr>
          <w:szCs w:val="23"/>
        </w:rPr>
        <w:t>green</w:t>
      </w:r>
      <w:r w:rsidR="001E6284" w:rsidRPr="008569AB">
        <w:rPr>
          <w:spacing w:val="-6"/>
          <w:szCs w:val="23"/>
        </w:rPr>
        <w:t xml:space="preserve"> </w:t>
      </w:r>
      <w:r w:rsidR="001E6284" w:rsidRPr="008569AB">
        <w:rPr>
          <w:szCs w:val="23"/>
        </w:rPr>
        <w:t>flags.</w:t>
      </w:r>
    </w:p>
    <w:p w14:paraId="4C6939C8" w14:textId="42230F8D" w:rsidR="001E6284" w:rsidRPr="008E6AC9" w:rsidRDefault="000B4726" w:rsidP="008E6AC9">
      <w:pPr>
        <w:pStyle w:val="ListParagraph"/>
        <w:widowControl w:val="0"/>
        <w:numPr>
          <w:ilvl w:val="0"/>
          <w:numId w:val="25"/>
        </w:numPr>
        <w:tabs>
          <w:tab w:val="left" w:pos="525"/>
          <w:tab w:val="left" w:pos="527"/>
        </w:tabs>
        <w:autoSpaceDE w:val="0"/>
        <w:autoSpaceDN w:val="0"/>
        <w:spacing w:after="0" w:line="276" w:lineRule="auto"/>
        <w:rPr>
          <w:szCs w:val="23"/>
        </w:rPr>
      </w:pPr>
      <w:r>
        <w:rPr>
          <w:szCs w:val="23"/>
        </w:rPr>
        <w:t xml:space="preserve">30 </w:t>
      </w:r>
      <w:r w:rsidR="001E6284" w:rsidRPr="008569AB">
        <w:rPr>
          <w:szCs w:val="23"/>
        </w:rPr>
        <w:t>public</w:t>
      </w:r>
      <w:r w:rsidR="001E6284" w:rsidRPr="008569AB">
        <w:rPr>
          <w:spacing w:val="-13"/>
          <w:szCs w:val="23"/>
        </w:rPr>
        <w:t xml:space="preserve"> </w:t>
      </w:r>
      <w:r w:rsidR="001E6284" w:rsidRPr="008569AB">
        <w:rPr>
          <w:szCs w:val="23"/>
        </w:rPr>
        <w:t>drinking</w:t>
      </w:r>
      <w:r w:rsidR="001E6284" w:rsidRPr="008569AB">
        <w:rPr>
          <w:spacing w:val="-13"/>
          <w:szCs w:val="23"/>
        </w:rPr>
        <w:t xml:space="preserve"> </w:t>
      </w:r>
      <w:r w:rsidR="001E6284" w:rsidRPr="008569AB">
        <w:rPr>
          <w:szCs w:val="23"/>
        </w:rPr>
        <w:t>water</w:t>
      </w:r>
      <w:r w:rsidR="001E6284" w:rsidRPr="008569AB">
        <w:rPr>
          <w:spacing w:val="-13"/>
          <w:szCs w:val="23"/>
        </w:rPr>
        <w:t xml:space="preserve"> </w:t>
      </w:r>
      <w:r w:rsidR="001E6284" w:rsidRPr="008569AB">
        <w:rPr>
          <w:szCs w:val="23"/>
        </w:rPr>
        <w:t>fountains</w:t>
      </w:r>
      <w:r>
        <w:rPr>
          <w:szCs w:val="23"/>
        </w:rPr>
        <w:t xml:space="preserve"> are now </w:t>
      </w:r>
      <w:r w:rsidR="001E6284" w:rsidRPr="008569AB">
        <w:rPr>
          <w:szCs w:val="23"/>
        </w:rPr>
        <w:t>installed</w:t>
      </w:r>
      <w:r w:rsidR="001E6284" w:rsidRPr="008569AB">
        <w:rPr>
          <w:spacing w:val="-13"/>
          <w:szCs w:val="23"/>
        </w:rPr>
        <w:t xml:space="preserve"> </w:t>
      </w:r>
      <w:r>
        <w:rPr>
          <w:spacing w:val="-13"/>
          <w:szCs w:val="23"/>
        </w:rPr>
        <w:t xml:space="preserve">with </w:t>
      </w:r>
      <w:r w:rsidR="00A10831">
        <w:rPr>
          <w:spacing w:val="-13"/>
          <w:szCs w:val="23"/>
        </w:rPr>
        <w:t>eight</w:t>
      </w:r>
      <w:r w:rsidR="001E6284" w:rsidRPr="008569AB">
        <w:rPr>
          <w:szCs w:val="23"/>
        </w:rPr>
        <w:t xml:space="preserve"> more at</w:t>
      </w:r>
      <w:r w:rsidR="001E6284" w:rsidRPr="008569AB">
        <w:rPr>
          <w:spacing w:val="-13"/>
          <w:szCs w:val="23"/>
        </w:rPr>
        <w:t xml:space="preserve"> </w:t>
      </w:r>
      <w:r w:rsidR="001E6284" w:rsidRPr="008569AB">
        <w:rPr>
          <w:szCs w:val="23"/>
        </w:rPr>
        <w:t xml:space="preserve">planning </w:t>
      </w:r>
      <w:r w:rsidR="001E6284" w:rsidRPr="008569AB">
        <w:rPr>
          <w:spacing w:val="-2"/>
          <w:szCs w:val="23"/>
        </w:rPr>
        <w:t>stage</w:t>
      </w:r>
      <w:r>
        <w:rPr>
          <w:spacing w:val="-2"/>
          <w:szCs w:val="23"/>
        </w:rPr>
        <w:t xml:space="preserve"> and, to date, </w:t>
      </w:r>
      <w:r w:rsidR="001E6284" w:rsidRPr="008569AB">
        <w:rPr>
          <w:szCs w:val="23"/>
        </w:rPr>
        <w:t>216,060 litres of water have been dispensed.</w:t>
      </w:r>
    </w:p>
    <w:p w14:paraId="7BDA88B1" w14:textId="55D87E0C" w:rsidR="001E6284" w:rsidRPr="008569AB" w:rsidRDefault="001E6284" w:rsidP="008569AB">
      <w:pPr>
        <w:pStyle w:val="ListParagraph"/>
        <w:widowControl w:val="0"/>
        <w:numPr>
          <w:ilvl w:val="0"/>
          <w:numId w:val="25"/>
        </w:numPr>
        <w:tabs>
          <w:tab w:val="left" w:pos="525"/>
          <w:tab w:val="left" w:pos="527"/>
        </w:tabs>
        <w:autoSpaceDE w:val="0"/>
        <w:autoSpaceDN w:val="0"/>
        <w:spacing w:after="0" w:line="276" w:lineRule="auto"/>
        <w:rPr>
          <w:szCs w:val="23"/>
        </w:rPr>
      </w:pPr>
      <w:r w:rsidRPr="008569AB">
        <w:rPr>
          <w:szCs w:val="23"/>
        </w:rPr>
        <w:t xml:space="preserve">Tallaght District Heating Scheme </w:t>
      </w:r>
      <w:r w:rsidR="00DA7A10">
        <w:rPr>
          <w:szCs w:val="23"/>
        </w:rPr>
        <w:t xml:space="preserve">(TDHS) </w:t>
      </w:r>
      <w:r w:rsidRPr="008569AB">
        <w:rPr>
          <w:szCs w:val="23"/>
        </w:rPr>
        <w:t xml:space="preserve">delivered low carbon heat to </w:t>
      </w:r>
      <w:r w:rsidR="00F06603">
        <w:rPr>
          <w:szCs w:val="23"/>
        </w:rPr>
        <w:t xml:space="preserve">current </w:t>
      </w:r>
      <w:r w:rsidRPr="008569AB">
        <w:rPr>
          <w:szCs w:val="23"/>
        </w:rPr>
        <w:t xml:space="preserve">customers </w:t>
      </w:r>
      <w:r w:rsidR="00D11A80">
        <w:rPr>
          <w:szCs w:val="23"/>
        </w:rPr>
        <w:t xml:space="preserve">and </w:t>
      </w:r>
      <w:r w:rsidR="008E6AC9">
        <w:rPr>
          <w:szCs w:val="23"/>
        </w:rPr>
        <w:t xml:space="preserve">new </w:t>
      </w:r>
      <w:r w:rsidR="00D11A80">
        <w:rPr>
          <w:szCs w:val="23"/>
        </w:rPr>
        <w:t>connections</w:t>
      </w:r>
      <w:r w:rsidR="008E6AC9">
        <w:rPr>
          <w:szCs w:val="23"/>
        </w:rPr>
        <w:t xml:space="preserve"> </w:t>
      </w:r>
      <w:r w:rsidR="00D11A80">
        <w:rPr>
          <w:szCs w:val="23"/>
        </w:rPr>
        <w:t xml:space="preserve">were </w:t>
      </w:r>
      <w:r w:rsidR="008E6AC9">
        <w:rPr>
          <w:szCs w:val="23"/>
        </w:rPr>
        <w:t xml:space="preserve">established for </w:t>
      </w:r>
      <w:r w:rsidRPr="008569AB">
        <w:rPr>
          <w:szCs w:val="23"/>
        </w:rPr>
        <w:t xml:space="preserve">Work IQ </w:t>
      </w:r>
      <w:r w:rsidR="00D11A80">
        <w:rPr>
          <w:szCs w:val="23"/>
        </w:rPr>
        <w:t xml:space="preserve">and </w:t>
      </w:r>
      <w:r w:rsidRPr="008569AB">
        <w:rPr>
          <w:szCs w:val="23"/>
        </w:rPr>
        <w:t>133 cost rental apartments at Innovation Square</w:t>
      </w:r>
      <w:r w:rsidR="00D11A80">
        <w:rPr>
          <w:szCs w:val="23"/>
        </w:rPr>
        <w:t xml:space="preserve">.  </w:t>
      </w:r>
      <w:r w:rsidR="00F06603" w:rsidRPr="008569AB">
        <w:rPr>
          <w:szCs w:val="23"/>
        </w:rPr>
        <w:t>T</w:t>
      </w:r>
      <w:r w:rsidR="00F06603">
        <w:rPr>
          <w:szCs w:val="23"/>
        </w:rPr>
        <w:t xml:space="preserve">he scheme will </w:t>
      </w:r>
      <w:r w:rsidR="00F06603" w:rsidRPr="008569AB">
        <w:rPr>
          <w:szCs w:val="23"/>
        </w:rPr>
        <w:t>reduce CO2 emissions by 1,500 tons once</w:t>
      </w:r>
      <w:r w:rsidR="001B7E0B">
        <w:rPr>
          <w:szCs w:val="23"/>
        </w:rPr>
        <w:t xml:space="preserve"> the </w:t>
      </w:r>
      <w:r w:rsidR="00F06603" w:rsidRPr="008569AB">
        <w:rPr>
          <w:szCs w:val="23"/>
        </w:rPr>
        <w:t>first phase is at full operation</w:t>
      </w:r>
      <w:r w:rsidR="001B7E0B">
        <w:rPr>
          <w:szCs w:val="23"/>
        </w:rPr>
        <w:t xml:space="preserve">.  </w:t>
      </w:r>
      <w:r w:rsidR="00D11A80">
        <w:rPr>
          <w:szCs w:val="23"/>
        </w:rPr>
        <w:t xml:space="preserve">An additional connection to </w:t>
      </w:r>
      <w:r w:rsidRPr="008569AB">
        <w:rPr>
          <w:szCs w:val="23"/>
        </w:rPr>
        <w:t>TUD Tallaght Catering College will be completed in Q1 2025</w:t>
      </w:r>
      <w:r w:rsidR="00D11A80">
        <w:rPr>
          <w:szCs w:val="23"/>
        </w:rPr>
        <w:t xml:space="preserve"> and works were ongoing to </w:t>
      </w:r>
      <w:r w:rsidRPr="008569AB">
        <w:rPr>
          <w:szCs w:val="23"/>
        </w:rPr>
        <w:t xml:space="preserve">expand the network to Cookstown </w:t>
      </w:r>
      <w:r w:rsidR="00D11A80">
        <w:rPr>
          <w:szCs w:val="23"/>
        </w:rPr>
        <w:t>with p</w:t>
      </w:r>
      <w:r w:rsidRPr="008569AB">
        <w:rPr>
          <w:szCs w:val="23"/>
        </w:rPr>
        <w:t xml:space="preserve">ipework laid in the Airton Road extension to futureproof connections in this important growth area.  TDHS </w:t>
      </w:r>
      <w:r w:rsidR="00E75D0C">
        <w:rPr>
          <w:szCs w:val="23"/>
        </w:rPr>
        <w:t>h</w:t>
      </w:r>
      <w:r w:rsidRPr="008569AB">
        <w:rPr>
          <w:szCs w:val="23"/>
        </w:rPr>
        <w:t xml:space="preserve">as been selected for EU Rodeo funding </w:t>
      </w:r>
      <w:r w:rsidR="001B7E0B">
        <w:rPr>
          <w:szCs w:val="23"/>
        </w:rPr>
        <w:t xml:space="preserve">during 2024 </w:t>
      </w:r>
      <w:r w:rsidRPr="008569AB">
        <w:rPr>
          <w:szCs w:val="23"/>
        </w:rPr>
        <w:t>to assist the next phase of expansion.</w:t>
      </w:r>
    </w:p>
    <w:p w14:paraId="09BAE2BE" w14:textId="77777777" w:rsidR="001E6284" w:rsidRDefault="001E6284" w:rsidP="009B243F">
      <w:pPr>
        <w:tabs>
          <w:tab w:val="left" w:pos="525"/>
          <w:tab w:val="left" w:pos="527"/>
        </w:tabs>
        <w:spacing w:after="0" w:line="276" w:lineRule="auto"/>
        <w:ind w:left="0"/>
        <w:rPr>
          <w:szCs w:val="23"/>
        </w:rPr>
      </w:pPr>
    </w:p>
    <w:p w14:paraId="507B0997" w14:textId="38787747" w:rsidR="009B243F" w:rsidRDefault="009B243F" w:rsidP="009B243F">
      <w:pPr>
        <w:pStyle w:val="Heading1"/>
        <w:spacing w:line="276" w:lineRule="auto"/>
        <w:ind w:left="0"/>
        <w:rPr>
          <w:spacing w:val="-2"/>
        </w:rPr>
      </w:pPr>
      <w:r>
        <w:t>Improve</w:t>
      </w:r>
      <w:r>
        <w:rPr>
          <w:spacing w:val="-7"/>
        </w:rPr>
        <w:t xml:space="preserve"> </w:t>
      </w:r>
      <w:r>
        <w:t>the</w:t>
      </w:r>
      <w:r>
        <w:rPr>
          <w:spacing w:val="-4"/>
        </w:rPr>
        <w:t xml:space="preserve"> </w:t>
      </w:r>
      <w:r>
        <w:t>aesthetic</w:t>
      </w:r>
      <w:r>
        <w:rPr>
          <w:spacing w:val="-4"/>
        </w:rPr>
        <w:t xml:space="preserve"> </w:t>
      </w:r>
      <w:r>
        <w:t>appearance</w:t>
      </w:r>
      <w:r>
        <w:rPr>
          <w:spacing w:val="-5"/>
        </w:rPr>
        <w:t xml:space="preserve"> </w:t>
      </w:r>
      <w:r>
        <w:t>of</w:t>
      </w:r>
      <w:r>
        <w:rPr>
          <w:spacing w:val="-4"/>
        </w:rPr>
        <w:t xml:space="preserve"> </w:t>
      </w:r>
      <w:r>
        <w:t>our</w:t>
      </w:r>
      <w:r>
        <w:rPr>
          <w:spacing w:val="-1"/>
        </w:rPr>
        <w:t xml:space="preserve"> </w:t>
      </w:r>
      <w:proofErr w:type="gramStart"/>
      <w:r>
        <w:t>county</w:t>
      </w:r>
      <w:proofErr w:type="gramEnd"/>
      <w:r>
        <w:rPr>
          <w:spacing w:val="-1"/>
        </w:rPr>
        <w:t xml:space="preserve"> </w:t>
      </w:r>
      <w:r>
        <w:t>for</w:t>
      </w:r>
      <w:r>
        <w:rPr>
          <w:spacing w:val="-3"/>
        </w:rPr>
        <w:t xml:space="preserve"> </w:t>
      </w:r>
      <w:r w:rsidR="00161FC8">
        <w:t>e</w:t>
      </w:r>
      <w:r>
        <w:t>conomic</w:t>
      </w:r>
      <w:r>
        <w:rPr>
          <w:spacing w:val="-5"/>
        </w:rPr>
        <w:t xml:space="preserve"> </w:t>
      </w:r>
      <w:r>
        <w:t>and</w:t>
      </w:r>
      <w:r>
        <w:rPr>
          <w:spacing w:val="-2"/>
        </w:rPr>
        <w:t xml:space="preserve"> </w:t>
      </w:r>
      <w:r w:rsidR="00161FC8">
        <w:rPr>
          <w:spacing w:val="-2"/>
        </w:rPr>
        <w:t>s</w:t>
      </w:r>
      <w:r>
        <w:t>ocial</w:t>
      </w:r>
      <w:r>
        <w:rPr>
          <w:spacing w:val="-4"/>
        </w:rPr>
        <w:t xml:space="preserve"> </w:t>
      </w:r>
      <w:r w:rsidR="00161FC8">
        <w:rPr>
          <w:spacing w:val="-2"/>
        </w:rPr>
        <w:t>d</w:t>
      </w:r>
      <w:r>
        <w:rPr>
          <w:spacing w:val="-2"/>
        </w:rPr>
        <w:t>evelopment</w:t>
      </w:r>
    </w:p>
    <w:p w14:paraId="1B2BD4FA" w14:textId="0AD64952" w:rsidR="009B243F" w:rsidRPr="003D505F" w:rsidRDefault="003F7970" w:rsidP="003D505F">
      <w:pPr>
        <w:pStyle w:val="ListParagraph"/>
        <w:widowControl w:val="0"/>
        <w:numPr>
          <w:ilvl w:val="0"/>
          <w:numId w:val="26"/>
        </w:numPr>
        <w:tabs>
          <w:tab w:val="left" w:pos="526"/>
        </w:tabs>
        <w:autoSpaceDE w:val="0"/>
        <w:autoSpaceDN w:val="0"/>
        <w:spacing w:after="0" w:line="276" w:lineRule="auto"/>
        <w:ind w:left="360"/>
        <w:rPr>
          <w:szCs w:val="23"/>
        </w:rPr>
      </w:pPr>
      <w:r>
        <w:rPr>
          <w:szCs w:val="23"/>
          <w:lang w:val="en-US"/>
        </w:rPr>
        <w:t>We c</w:t>
      </w:r>
      <w:proofErr w:type="spellStart"/>
      <w:r w:rsidRPr="003D505F">
        <w:rPr>
          <w:szCs w:val="23"/>
        </w:rPr>
        <w:t>ontinued</w:t>
      </w:r>
      <w:proofErr w:type="spellEnd"/>
      <w:r w:rsidR="009B243F" w:rsidRPr="003D505F">
        <w:rPr>
          <w:szCs w:val="23"/>
        </w:rPr>
        <w:t xml:space="preserve"> </w:t>
      </w:r>
      <w:r>
        <w:rPr>
          <w:szCs w:val="23"/>
        </w:rPr>
        <w:t xml:space="preserve">implementation of the </w:t>
      </w:r>
      <w:r w:rsidR="009B243F" w:rsidRPr="003D505F">
        <w:rPr>
          <w:rFonts w:eastAsia="Times New Roman"/>
          <w:szCs w:val="23"/>
        </w:rPr>
        <w:t xml:space="preserve">actions </w:t>
      </w:r>
      <w:r>
        <w:rPr>
          <w:rFonts w:eastAsia="Times New Roman"/>
          <w:szCs w:val="23"/>
        </w:rPr>
        <w:t xml:space="preserve">in our </w:t>
      </w:r>
      <w:r w:rsidR="009B243F" w:rsidRPr="003D505F">
        <w:rPr>
          <w:rFonts w:eastAsia="Times New Roman"/>
          <w:szCs w:val="23"/>
        </w:rPr>
        <w:t xml:space="preserve">Litter Management Plan 2023 </w:t>
      </w:r>
      <w:r>
        <w:rPr>
          <w:rFonts w:eastAsia="Times New Roman"/>
          <w:szCs w:val="23"/>
        </w:rPr>
        <w:t>–</w:t>
      </w:r>
      <w:r w:rsidR="009B243F" w:rsidRPr="003D505F">
        <w:rPr>
          <w:rFonts w:eastAsia="Times New Roman"/>
          <w:szCs w:val="23"/>
        </w:rPr>
        <w:t xml:space="preserve"> 2025</w:t>
      </w:r>
      <w:r>
        <w:rPr>
          <w:rFonts w:eastAsia="Times New Roman"/>
          <w:szCs w:val="23"/>
        </w:rPr>
        <w:t>.</w:t>
      </w:r>
    </w:p>
    <w:p w14:paraId="7B963C9B" w14:textId="68103B41" w:rsidR="009B243F" w:rsidRPr="003D505F" w:rsidRDefault="009B243F" w:rsidP="003D505F">
      <w:pPr>
        <w:pStyle w:val="ListParagraph"/>
        <w:widowControl w:val="0"/>
        <w:numPr>
          <w:ilvl w:val="0"/>
          <w:numId w:val="26"/>
        </w:numPr>
        <w:tabs>
          <w:tab w:val="left" w:pos="525"/>
          <w:tab w:val="left" w:pos="527"/>
        </w:tabs>
        <w:autoSpaceDE w:val="0"/>
        <w:autoSpaceDN w:val="0"/>
        <w:spacing w:after="0" w:line="276" w:lineRule="auto"/>
        <w:ind w:left="360"/>
        <w:rPr>
          <w:szCs w:val="23"/>
        </w:rPr>
      </w:pPr>
      <w:r w:rsidRPr="003D505F">
        <w:rPr>
          <w:szCs w:val="23"/>
        </w:rPr>
        <w:t>Under</w:t>
      </w:r>
      <w:r w:rsidRPr="003D505F">
        <w:rPr>
          <w:spacing w:val="-3"/>
          <w:szCs w:val="23"/>
        </w:rPr>
        <w:t xml:space="preserve"> </w:t>
      </w:r>
      <w:r w:rsidRPr="003D505F">
        <w:rPr>
          <w:szCs w:val="23"/>
        </w:rPr>
        <w:t>our</w:t>
      </w:r>
      <w:r w:rsidRPr="003D505F">
        <w:rPr>
          <w:spacing w:val="-3"/>
          <w:szCs w:val="23"/>
        </w:rPr>
        <w:t xml:space="preserve"> </w:t>
      </w:r>
      <w:r w:rsidRPr="003D505F">
        <w:rPr>
          <w:szCs w:val="23"/>
        </w:rPr>
        <w:t>Street</w:t>
      </w:r>
      <w:r w:rsidRPr="003D505F">
        <w:rPr>
          <w:spacing w:val="-5"/>
          <w:szCs w:val="23"/>
        </w:rPr>
        <w:t xml:space="preserve"> </w:t>
      </w:r>
      <w:r w:rsidRPr="003D505F">
        <w:rPr>
          <w:szCs w:val="23"/>
        </w:rPr>
        <w:t>Cleaning</w:t>
      </w:r>
      <w:r w:rsidRPr="003D505F">
        <w:rPr>
          <w:spacing w:val="-8"/>
          <w:szCs w:val="23"/>
        </w:rPr>
        <w:t xml:space="preserve"> </w:t>
      </w:r>
      <w:r w:rsidRPr="003D505F">
        <w:rPr>
          <w:szCs w:val="23"/>
        </w:rPr>
        <w:t>Programme</w:t>
      </w:r>
      <w:r w:rsidR="00253951">
        <w:rPr>
          <w:szCs w:val="23"/>
        </w:rPr>
        <w:t>,</w:t>
      </w:r>
      <w:r w:rsidRPr="003D505F">
        <w:rPr>
          <w:spacing w:val="-4"/>
          <w:szCs w:val="23"/>
        </w:rPr>
        <w:t xml:space="preserve"> </w:t>
      </w:r>
      <w:r w:rsidRPr="003D505F">
        <w:rPr>
          <w:szCs w:val="23"/>
        </w:rPr>
        <w:t>11,162</w:t>
      </w:r>
      <w:r w:rsidR="003F7970">
        <w:rPr>
          <w:spacing w:val="-3"/>
          <w:szCs w:val="23"/>
        </w:rPr>
        <w:t xml:space="preserve"> kilometres of </w:t>
      </w:r>
      <w:r w:rsidRPr="003D505F">
        <w:rPr>
          <w:szCs w:val="23"/>
        </w:rPr>
        <w:t>roads</w:t>
      </w:r>
      <w:r w:rsidRPr="003D505F">
        <w:rPr>
          <w:spacing w:val="-6"/>
          <w:szCs w:val="23"/>
        </w:rPr>
        <w:t xml:space="preserve"> </w:t>
      </w:r>
      <w:r w:rsidRPr="003D505F">
        <w:rPr>
          <w:szCs w:val="23"/>
        </w:rPr>
        <w:t>were</w:t>
      </w:r>
      <w:r w:rsidRPr="003D505F">
        <w:rPr>
          <w:spacing w:val="-6"/>
          <w:szCs w:val="23"/>
        </w:rPr>
        <w:t xml:space="preserve"> </w:t>
      </w:r>
      <w:proofErr w:type="gramStart"/>
      <w:r w:rsidRPr="003D505F">
        <w:rPr>
          <w:szCs w:val="23"/>
        </w:rPr>
        <w:t>cleaned</w:t>
      </w:r>
      <w:proofErr w:type="gramEnd"/>
      <w:r w:rsidRPr="003D505F">
        <w:rPr>
          <w:spacing w:val="-5"/>
          <w:szCs w:val="23"/>
        </w:rPr>
        <w:t xml:space="preserve"> </w:t>
      </w:r>
      <w:r w:rsidRPr="003D505F">
        <w:rPr>
          <w:szCs w:val="23"/>
        </w:rPr>
        <w:t>and</w:t>
      </w:r>
      <w:r w:rsidRPr="003D505F">
        <w:rPr>
          <w:spacing w:val="-8"/>
          <w:szCs w:val="23"/>
        </w:rPr>
        <w:t xml:space="preserve"> </w:t>
      </w:r>
      <w:r w:rsidRPr="003D505F">
        <w:rPr>
          <w:szCs w:val="23"/>
        </w:rPr>
        <w:t>11,034</w:t>
      </w:r>
      <w:r w:rsidRPr="003D505F">
        <w:rPr>
          <w:spacing w:val="-3"/>
          <w:szCs w:val="23"/>
        </w:rPr>
        <w:t xml:space="preserve"> </w:t>
      </w:r>
      <w:r w:rsidRPr="003D505F">
        <w:rPr>
          <w:szCs w:val="23"/>
        </w:rPr>
        <w:t>tonnes of waste were collected.  The scope of the road sweeping programme was extended to include cleaning of back lanes and sweeping of segregated cycle tracks.</w:t>
      </w:r>
    </w:p>
    <w:p w14:paraId="4D9FF294" w14:textId="234C5756" w:rsidR="009B243F" w:rsidRPr="003D505F" w:rsidRDefault="008A261F" w:rsidP="003D505F">
      <w:pPr>
        <w:pStyle w:val="ListParagraph"/>
        <w:widowControl w:val="0"/>
        <w:numPr>
          <w:ilvl w:val="0"/>
          <w:numId w:val="26"/>
        </w:numPr>
        <w:tabs>
          <w:tab w:val="left" w:pos="525"/>
          <w:tab w:val="left" w:pos="527"/>
        </w:tabs>
        <w:autoSpaceDE w:val="0"/>
        <w:autoSpaceDN w:val="0"/>
        <w:spacing w:after="0" w:line="276" w:lineRule="auto"/>
        <w:ind w:left="360"/>
        <w:rPr>
          <w:szCs w:val="23"/>
        </w:rPr>
      </w:pPr>
      <w:r w:rsidRPr="003D505F">
        <w:rPr>
          <w:spacing w:val="-13"/>
          <w:szCs w:val="23"/>
        </w:rPr>
        <w:t>62</w:t>
      </w:r>
      <w:r w:rsidRPr="003D505F">
        <w:rPr>
          <w:szCs w:val="23"/>
        </w:rPr>
        <w:t xml:space="preserve"> </w:t>
      </w:r>
      <w:r>
        <w:rPr>
          <w:szCs w:val="23"/>
        </w:rPr>
        <w:t xml:space="preserve">projects were completed under </w:t>
      </w:r>
      <w:r w:rsidR="00163924">
        <w:rPr>
          <w:szCs w:val="23"/>
        </w:rPr>
        <w:t>our p</w:t>
      </w:r>
      <w:r w:rsidR="009B243F" w:rsidRPr="003D505F">
        <w:rPr>
          <w:szCs w:val="23"/>
        </w:rPr>
        <w:t>ublic</w:t>
      </w:r>
      <w:r w:rsidR="009B243F" w:rsidRPr="003D505F">
        <w:rPr>
          <w:spacing w:val="-13"/>
          <w:szCs w:val="23"/>
        </w:rPr>
        <w:t xml:space="preserve"> </w:t>
      </w:r>
      <w:r w:rsidR="00163924">
        <w:rPr>
          <w:spacing w:val="-13"/>
          <w:szCs w:val="23"/>
        </w:rPr>
        <w:t>r</w:t>
      </w:r>
      <w:r w:rsidR="009B243F" w:rsidRPr="003D505F">
        <w:rPr>
          <w:szCs w:val="23"/>
        </w:rPr>
        <w:t>ealm</w:t>
      </w:r>
      <w:r w:rsidR="009B243F" w:rsidRPr="003D505F">
        <w:rPr>
          <w:spacing w:val="-13"/>
          <w:szCs w:val="23"/>
        </w:rPr>
        <w:t xml:space="preserve"> </w:t>
      </w:r>
      <w:r w:rsidR="00163924">
        <w:rPr>
          <w:spacing w:val="-13"/>
          <w:szCs w:val="23"/>
        </w:rPr>
        <w:t>i</w:t>
      </w:r>
      <w:r w:rsidR="009B243F" w:rsidRPr="003D505F">
        <w:rPr>
          <w:szCs w:val="23"/>
        </w:rPr>
        <w:t>mprovement</w:t>
      </w:r>
      <w:r w:rsidR="009B243F" w:rsidRPr="003D505F">
        <w:rPr>
          <w:spacing w:val="-13"/>
          <w:szCs w:val="23"/>
        </w:rPr>
        <w:t xml:space="preserve"> </w:t>
      </w:r>
      <w:r w:rsidR="00163924">
        <w:rPr>
          <w:spacing w:val="-13"/>
          <w:szCs w:val="23"/>
        </w:rPr>
        <w:t>w</w:t>
      </w:r>
      <w:r w:rsidR="009B243F" w:rsidRPr="003D505F">
        <w:rPr>
          <w:szCs w:val="23"/>
        </w:rPr>
        <w:t>orks</w:t>
      </w:r>
      <w:r w:rsidR="009B243F" w:rsidRPr="003D505F">
        <w:rPr>
          <w:spacing w:val="-13"/>
          <w:szCs w:val="23"/>
        </w:rPr>
        <w:t xml:space="preserve"> </w:t>
      </w:r>
      <w:r w:rsidR="00163924">
        <w:rPr>
          <w:spacing w:val="-13"/>
          <w:szCs w:val="23"/>
        </w:rPr>
        <w:t>p</w:t>
      </w:r>
      <w:r w:rsidR="009B243F" w:rsidRPr="003D505F">
        <w:rPr>
          <w:szCs w:val="23"/>
        </w:rPr>
        <w:t>rogramm</w:t>
      </w:r>
      <w:r>
        <w:rPr>
          <w:szCs w:val="23"/>
        </w:rPr>
        <w:t>e.</w:t>
      </w:r>
    </w:p>
    <w:p w14:paraId="42DE39AF" w14:textId="6323DC86" w:rsidR="009B243F" w:rsidRPr="003D505F" w:rsidRDefault="009B243F" w:rsidP="427A7234">
      <w:pPr>
        <w:pStyle w:val="ListParagraph"/>
        <w:widowControl w:val="0"/>
        <w:numPr>
          <w:ilvl w:val="0"/>
          <w:numId w:val="26"/>
        </w:numPr>
        <w:autoSpaceDE w:val="0"/>
        <w:autoSpaceDN w:val="0"/>
        <w:spacing w:after="0" w:line="276" w:lineRule="auto"/>
        <w:ind w:left="360"/>
      </w:pPr>
      <w:r>
        <w:t>Consultants have been appointed to progress designs for the road realignment of the next phase of the N81 and the junctions therein (N81 Tallaght Central Strategy</w:t>
      </w:r>
      <w:r w:rsidR="24D8159D">
        <w:t>)</w:t>
      </w:r>
      <w:r w:rsidR="006B58AA">
        <w:t xml:space="preserve"> with </w:t>
      </w:r>
      <w:r>
        <w:t xml:space="preserve">landscape improvements </w:t>
      </w:r>
      <w:r w:rsidR="006B58AA">
        <w:t xml:space="preserve">to </w:t>
      </w:r>
      <w:r>
        <w:t>be incorporated into delivery of the road realignment.</w:t>
      </w:r>
    </w:p>
    <w:p w14:paraId="6257C81D" w14:textId="294D6E2B" w:rsidR="009B243F" w:rsidRPr="003D505F" w:rsidRDefault="009B243F" w:rsidP="003D505F">
      <w:pPr>
        <w:pStyle w:val="ListParagraph"/>
        <w:widowControl w:val="0"/>
        <w:numPr>
          <w:ilvl w:val="0"/>
          <w:numId w:val="26"/>
        </w:numPr>
        <w:tabs>
          <w:tab w:val="left" w:pos="525"/>
          <w:tab w:val="left" w:pos="527"/>
        </w:tabs>
        <w:autoSpaceDE w:val="0"/>
        <w:autoSpaceDN w:val="0"/>
        <w:spacing w:after="0" w:line="276" w:lineRule="auto"/>
        <w:ind w:left="360"/>
        <w:rPr>
          <w:szCs w:val="23"/>
        </w:rPr>
      </w:pPr>
      <w:r w:rsidRPr="003D505F">
        <w:rPr>
          <w:szCs w:val="23"/>
        </w:rPr>
        <w:t xml:space="preserve">The current </w:t>
      </w:r>
      <w:r w:rsidR="006B58AA">
        <w:rPr>
          <w:szCs w:val="23"/>
        </w:rPr>
        <w:t>three-</w:t>
      </w:r>
      <w:r w:rsidRPr="003D505F">
        <w:rPr>
          <w:szCs w:val="23"/>
        </w:rPr>
        <w:t xml:space="preserve">year Tree Maintenance Programme has </w:t>
      </w:r>
      <w:r w:rsidR="006B58AA">
        <w:rPr>
          <w:szCs w:val="23"/>
        </w:rPr>
        <w:t xml:space="preserve">seen </w:t>
      </w:r>
      <w:r w:rsidRPr="003D505F">
        <w:rPr>
          <w:szCs w:val="23"/>
        </w:rPr>
        <w:t>9,475 trees surve</w:t>
      </w:r>
      <w:r w:rsidR="00BB7A47">
        <w:rPr>
          <w:szCs w:val="23"/>
        </w:rPr>
        <w:t>yed</w:t>
      </w:r>
      <w:r w:rsidRPr="003D505F">
        <w:rPr>
          <w:szCs w:val="23"/>
        </w:rPr>
        <w:t xml:space="preserve">, 10,927 trees pruned, 1,144 trees and 625 stumps </w:t>
      </w:r>
      <w:r w:rsidR="00055E3F" w:rsidRPr="003D505F">
        <w:rPr>
          <w:szCs w:val="23"/>
        </w:rPr>
        <w:t>removed,</w:t>
      </w:r>
      <w:r w:rsidRPr="003D505F">
        <w:rPr>
          <w:szCs w:val="23"/>
        </w:rPr>
        <w:t xml:space="preserve"> and </w:t>
      </w:r>
      <w:r w:rsidR="00FC51B5">
        <w:rPr>
          <w:szCs w:val="23"/>
        </w:rPr>
        <w:t>3,651</w:t>
      </w:r>
      <w:r w:rsidRPr="003D505F">
        <w:rPr>
          <w:szCs w:val="23"/>
        </w:rPr>
        <w:t xml:space="preserve"> trees planted.</w:t>
      </w:r>
    </w:p>
    <w:p w14:paraId="5CA4DCB2" w14:textId="48DB5639" w:rsidR="009B243F" w:rsidRPr="00B558C4" w:rsidRDefault="00B442EC" w:rsidP="00B558C4">
      <w:pPr>
        <w:pStyle w:val="ListParagraph"/>
        <w:widowControl w:val="0"/>
        <w:numPr>
          <w:ilvl w:val="0"/>
          <w:numId w:val="26"/>
        </w:numPr>
        <w:tabs>
          <w:tab w:val="left" w:pos="525"/>
          <w:tab w:val="left" w:pos="527"/>
        </w:tabs>
        <w:autoSpaceDE w:val="0"/>
        <w:autoSpaceDN w:val="0"/>
        <w:spacing w:after="0" w:line="276" w:lineRule="auto"/>
        <w:ind w:left="360"/>
        <w:rPr>
          <w:szCs w:val="23"/>
        </w:rPr>
      </w:pPr>
      <w:r w:rsidRPr="003D505F">
        <w:rPr>
          <w:szCs w:val="23"/>
        </w:rPr>
        <w:t>Nine</w:t>
      </w:r>
      <w:r w:rsidRPr="003D505F">
        <w:rPr>
          <w:spacing w:val="-5"/>
          <w:szCs w:val="23"/>
        </w:rPr>
        <w:t xml:space="preserve"> </w:t>
      </w:r>
      <w:r w:rsidRPr="003D505F">
        <w:rPr>
          <w:szCs w:val="23"/>
        </w:rPr>
        <w:t>Tidy</w:t>
      </w:r>
      <w:r w:rsidRPr="003D505F">
        <w:rPr>
          <w:spacing w:val="-6"/>
          <w:szCs w:val="23"/>
        </w:rPr>
        <w:t xml:space="preserve"> </w:t>
      </w:r>
      <w:r w:rsidRPr="003D505F">
        <w:rPr>
          <w:szCs w:val="23"/>
        </w:rPr>
        <w:t>Towns</w:t>
      </w:r>
      <w:r w:rsidRPr="003D505F">
        <w:rPr>
          <w:spacing w:val="-3"/>
          <w:szCs w:val="23"/>
        </w:rPr>
        <w:t xml:space="preserve"> </w:t>
      </w:r>
      <w:r w:rsidRPr="003D505F">
        <w:rPr>
          <w:szCs w:val="23"/>
        </w:rPr>
        <w:t>groups</w:t>
      </w:r>
      <w:r w:rsidRPr="003D505F">
        <w:rPr>
          <w:spacing w:val="-3"/>
          <w:szCs w:val="23"/>
        </w:rPr>
        <w:t xml:space="preserve"> </w:t>
      </w:r>
      <w:r>
        <w:rPr>
          <w:szCs w:val="23"/>
        </w:rPr>
        <w:t>were supported t</w:t>
      </w:r>
      <w:r w:rsidRPr="003D505F">
        <w:rPr>
          <w:szCs w:val="23"/>
        </w:rPr>
        <w:t xml:space="preserve">hrough </w:t>
      </w:r>
      <w:r>
        <w:rPr>
          <w:szCs w:val="23"/>
        </w:rPr>
        <w:t>three</w:t>
      </w:r>
      <w:r w:rsidRPr="003D505F">
        <w:rPr>
          <w:szCs w:val="23"/>
        </w:rPr>
        <w:t xml:space="preserve"> rounds of grant funding </w:t>
      </w:r>
      <w:r>
        <w:rPr>
          <w:szCs w:val="23"/>
        </w:rPr>
        <w:t xml:space="preserve">and </w:t>
      </w:r>
      <w:r w:rsidR="00BB7A47">
        <w:rPr>
          <w:szCs w:val="23"/>
        </w:rPr>
        <w:t xml:space="preserve">the </w:t>
      </w:r>
      <w:r w:rsidR="009B243F" w:rsidRPr="003D505F">
        <w:rPr>
          <w:szCs w:val="23"/>
        </w:rPr>
        <w:t xml:space="preserve">PURE (Protecting Uplands and Rural Environments) project </w:t>
      </w:r>
      <w:r w:rsidR="006B58AA">
        <w:rPr>
          <w:szCs w:val="23"/>
        </w:rPr>
        <w:t>w</w:t>
      </w:r>
      <w:r>
        <w:rPr>
          <w:szCs w:val="23"/>
        </w:rPr>
        <w:t>as also supported</w:t>
      </w:r>
      <w:r w:rsidR="009B243F" w:rsidRPr="003D505F">
        <w:rPr>
          <w:szCs w:val="23"/>
        </w:rPr>
        <w:t>.</w:t>
      </w:r>
      <w:r w:rsidR="00B558C4">
        <w:rPr>
          <w:szCs w:val="23"/>
        </w:rPr>
        <w:t xml:space="preserve">  </w:t>
      </w:r>
      <w:r w:rsidR="00B558C4" w:rsidRPr="003D505F">
        <w:rPr>
          <w:szCs w:val="23"/>
        </w:rPr>
        <w:t>Tidy Towns groups, residents’ associations and other volunteers organised regular local clean-ups with an estimated 5,700 clean-ups occurring, while Halloween saw 400 bags of bulbs and 175 Civic Amenity passes issued.</w:t>
      </w:r>
    </w:p>
    <w:p w14:paraId="70A3B4DB" w14:textId="4D934298" w:rsidR="009B243F" w:rsidRPr="00B558C4" w:rsidRDefault="009B243F">
      <w:pPr>
        <w:pStyle w:val="ListParagraph"/>
        <w:widowControl w:val="0"/>
        <w:numPr>
          <w:ilvl w:val="0"/>
          <w:numId w:val="26"/>
        </w:numPr>
        <w:tabs>
          <w:tab w:val="left" w:pos="525"/>
          <w:tab w:val="left" w:pos="527"/>
        </w:tabs>
        <w:autoSpaceDE w:val="0"/>
        <w:autoSpaceDN w:val="0"/>
        <w:spacing w:after="0" w:line="276" w:lineRule="auto"/>
        <w:ind w:left="360"/>
        <w:rPr>
          <w:szCs w:val="23"/>
        </w:rPr>
      </w:pPr>
      <w:r w:rsidRPr="00B558C4">
        <w:rPr>
          <w:szCs w:val="23"/>
        </w:rPr>
        <w:t xml:space="preserve">The Environmental Education Programme included 480 climate/environmental awareness </w:t>
      </w:r>
      <w:r w:rsidR="00055E3F" w:rsidRPr="00B558C4">
        <w:rPr>
          <w:szCs w:val="23"/>
        </w:rPr>
        <w:t>sessions and delivered</w:t>
      </w:r>
      <w:r w:rsidRPr="00B558C4">
        <w:rPr>
          <w:szCs w:val="23"/>
        </w:rPr>
        <w:t xml:space="preserve"> a range of schools’ programmes such as Eco Week Composting for Schools, Relove Fashion and competitions.</w:t>
      </w:r>
      <w:r w:rsidR="00B558C4" w:rsidRPr="00B558C4">
        <w:rPr>
          <w:szCs w:val="23"/>
        </w:rPr>
        <w:t xml:space="preserve">  </w:t>
      </w:r>
      <w:r w:rsidRPr="00B558C4">
        <w:rPr>
          <w:szCs w:val="23"/>
        </w:rPr>
        <w:t>The Social Credits Scheme helped deliver 47 new clean-ups, 19 new minor landscaping projects and 21 new paint enhancement projects.</w:t>
      </w:r>
    </w:p>
    <w:p w14:paraId="60414B96" w14:textId="523F1752" w:rsidR="009B243F" w:rsidRPr="003D505F" w:rsidRDefault="009B243F" w:rsidP="003D505F">
      <w:pPr>
        <w:pStyle w:val="ListParagraph"/>
        <w:widowControl w:val="0"/>
        <w:numPr>
          <w:ilvl w:val="0"/>
          <w:numId w:val="26"/>
        </w:numPr>
        <w:tabs>
          <w:tab w:val="left" w:pos="525"/>
          <w:tab w:val="left" w:pos="527"/>
        </w:tabs>
        <w:autoSpaceDE w:val="0"/>
        <w:autoSpaceDN w:val="0"/>
        <w:spacing w:after="0" w:line="276" w:lineRule="auto"/>
        <w:ind w:left="360"/>
        <w:rPr>
          <w:szCs w:val="23"/>
        </w:rPr>
      </w:pPr>
      <w:r w:rsidRPr="003D505F">
        <w:rPr>
          <w:szCs w:val="23"/>
        </w:rPr>
        <w:t xml:space="preserve">The Burial Grounds Programme provided for 600 new plots added to </w:t>
      </w:r>
      <w:proofErr w:type="spellStart"/>
      <w:r w:rsidRPr="003D505F">
        <w:rPr>
          <w:szCs w:val="23"/>
        </w:rPr>
        <w:t>Bohernabreena</w:t>
      </w:r>
      <w:proofErr w:type="spellEnd"/>
      <w:r w:rsidRPr="003D505F">
        <w:rPr>
          <w:szCs w:val="23"/>
        </w:rPr>
        <w:t xml:space="preserve"> and a contract has been entered into for development of a Columbarium Wall in Esker Cemetery.</w:t>
      </w:r>
    </w:p>
    <w:p w14:paraId="73040A4C" w14:textId="77777777" w:rsidR="009B243F" w:rsidRDefault="009B243F" w:rsidP="009B243F">
      <w:pPr>
        <w:spacing w:after="0" w:line="276" w:lineRule="auto"/>
        <w:ind w:left="0"/>
      </w:pPr>
    </w:p>
    <w:p w14:paraId="7D0BF819" w14:textId="7BB8BE6D" w:rsidR="009B243F" w:rsidRDefault="009B243F" w:rsidP="009B243F">
      <w:pPr>
        <w:pStyle w:val="Heading1"/>
        <w:spacing w:line="276" w:lineRule="auto"/>
        <w:ind w:left="0"/>
      </w:pPr>
      <w:r>
        <w:t>Support</w:t>
      </w:r>
      <w:r>
        <w:rPr>
          <w:spacing w:val="-10"/>
        </w:rPr>
        <w:t xml:space="preserve"> </w:t>
      </w:r>
      <w:r>
        <w:t>a</w:t>
      </w:r>
      <w:r>
        <w:rPr>
          <w:spacing w:val="-10"/>
        </w:rPr>
        <w:t xml:space="preserve"> </w:t>
      </w:r>
      <w:r w:rsidR="00AD2764">
        <w:t>g</w:t>
      </w:r>
      <w:r>
        <w:t>reen</w:t>
      </w:r>
      <w:r>
        <w:rPr>
          <w:spacing w:val="-10"/>
        </w:rPr>
        <w:t xml:space="preserve"> </w:t>
      </w:r>
      <w:r w:rsidR="00AD2764">
        <w:rPr>
          <w:spacing w:val="-10"/>
        </w:rPr>
        <w:t>i</w:t>
      </w:r>
      <w:r>
        <w:t>nfrastructure</w:t>
      </w:r>
      <w:r>
        <w:rPr>
          <w:spacing w:val="-10"/>
        </w:rPr>
        <w:t xml:space="preserve"> </w:t>
      </w:r>
      <w:r w:rsidR="00AD2764">
        <w:t>n</w:t>
      </w:r>
      <w:r>
        <w:t>etwork</w:t>
      </w:r>
      <w:r>
        <w:rPr>
          <w:spacing w:val="-9"/>
        </w:rPr>
        <w:t xml:space="preserve"> </w:t>
      </w:r>
      <w:r>
        <w:t>across</w:t>
      </w:r>
      <w:r>
        <w:rPr>
          <w:spacing w:val="-10"/>
        </w:rPr>
        <w:t xml:space="preserve"> </w:t>
      </w:r>
      <w:r>
        <w:t>the</w:t>
      </w:r>
      <w:r>
        <w:rPr>
          <w:spacing w:val="-11"/>
        </w:rPr>
        <w:t xml:space="preserve"> </w:t>
      </w:r>
      <w:r>
        <w:t>county</w:t>
      </w:r>
      <w:r>
        <w:rPr>
          <w:spacing w:val="-8"/>
        </w:rPr>
        <w:t xml:space="preserve"> </w:t>
      </w:r>
      <w:r>
        <w:t>to</w:t>
      </w:r>
      <w:r>
        <w:rPr>
          <w:spacing w:val="-10"/>
        </w:rPr>
        <w:t xml:space="preserve"> </w:t>
      </w:r>
      <w:r>
        <w:t>provide</w:t>
      </w:r>
      <w:r>
        <w:rPr>
          <w:spacing w:val="-10"/>
        </w:rPr>
        <w:t xml:space="preserve"> </w:t>
      </w:r>
      <w:r>
        <w:t>shared</w:t>
      </w:r>
      <w:r>
        <w:rPr>
          <w:spacing w:val="-10"/>
        </w:rPr>
        <w:t xml:space="preserve"> </w:t>
      </w:r>
      <w:r>
        <w:t>space</w:t>
      </w:r>
      <w:r>
        <w:rPr>
          <w:spacing w:val="-10"/>
        </w:rPr>
        <w:t xml:space="preserve"> </w:t>
      </w:r>
      <w:r>
        <w:t>for</w:t>
      </w:r>
      <w:r>
        <w:rPr>
          <w:spacing w:val="-9"/>
        </w:rPr>
        <w:t xml:space="preserve"> </w:t>
      </w:r>
      <w:proofErr w:type="gramStart"/>
      <w:r>
        <w:t>amenity</w:t>
      </w:r>
      <w:proofErr w:type="gramEnd"/>
      <w:r>
        <w:t>, recreation, biodiversity protection, flood management and adaptation to climate change</w:t>
      </w:r>
    </w:p>
    <w:p w14:paraId="4F39C5E6" w14:textId="6F90A8E9" w:rsidR="009B243F" w:rsidRDefault="00BB12A3" w:rsidP="009B243F">
      <w:pPr>
        <w:pStyle w:val="BodyText"/>
        <w:spacing w:line="276" w:lineRule="auto"/>
        <w:ind w:left="0" w:firstLine="0"/>
        <w:rPr>
          <w:color w:val="000000" w:themeColor="text1"/>
        </w:rPr>
      </w:pPr>
      <w:r>
        <w:rPr>
          <w:color w:val="000000" w:themeColor="text1"/>
        </w:rPr>
        <w:t xml:space="preserve">Our </w:t>
      </w:r>
      <w:r w:rsidR="009B243F" w:rsidRPr="008E0E39">
        <w:rPr>
          <w:color w:val="000000" w:themeColor="text1"/>
        </w:rPr>
        <w:t xml:space="preserve">Green Infrastructure Strategy continues to be implemented </w:t>
      </w:r>
      <w:r w:rsidR="00695A4B">
        <w:rPr>
          <w:color w:val="000000" w:themeColor="text1"/>
        </w:rPr>
        <w:t xml:space="preserve">through </w:t>
      </w:r>
      <w:r w:rsidR="009B243F" w:rsidRPr="008E0E39">
        <w:rPr>
          <w:color w:val="000000" w:themeColor="text1"/>
        </w:rPr>
        <w:t>the County Development Plan and the Biodiversity Plan. Related actions include the delivery of Sustainable Urban Drainage Solutions (</w:t>
      </w:r>
      <w:proofErr w:type="spellStart"/>
      <w:r w:rsidR="009B243F" w:rsidRPr="008E0E39">
        <w:rPr>
          <w:color w:val="000000" w:themeColor="text1"/>
        </w:rPr>
        <w:t>SuDs</w:t>
      </w:r>
      <w:proofErr w:type="spellEnd"/>
      <w:r w:rsidR="009B243F" w:rsidRPr="008E0E39">
        <w:rPr>
          <w:color w:val="000000" w:themeColor="text1"/>
        </w:rPr>
        <w:t xml:space="preserve">), the </w:t>
      </w:r>
      <w:r w:rsidR="00924E4C">
        <w:rPr>
          <w:color w:val="000000" w:themeColor="text1"/>
        </w:rPr>
        <w:t>T</w:t>
      </w:r>
      <w:r w:rsidR="009B243F" w:rsidRPr="008E0E39">
        <w:rPr>
          <w:color w:val="000000" w:themeColor="text1"/>
        </w:rPr>
        <w:t xml:space="preserve">ree </w:t>
      </w:r>
      <w:r w:rsidR="00924E4C">
        <w:rPr>
          <w:color w:val="000000" w:themeColor="text1"/>
        </w:rPr>
        <w:t>Maintenance</w:t>
      </w:r>
      <w:r w:rsidR="00FA0956">
        <w:rPr>
          <w:color w:val="000000" w:themeColor="text1"/>
        </w:rPr>
        <w:t>,</w:t>
      </w:r>
      <w:r w:rsidR="009B243F" w:rsidRPr="008E0E39">
        <w:rPr>
          <w:color w:val="000000" w:themeColor="text1"/>
        </w:rPr>
        <w:t xml:space="preserve"> </w:t>
      </w:r>
      <w:r w:rsidR="00924E4C">
        <w:rPr>
          <w:color w:val="000000" w:themeColor="text1"/>
        </w:rPr>
        <w:t>M</w:t>
      </w:r>
      <w:r w:rsidR="009B243F" w:rsidRPr="008E0E39">
        <w:rPr>
          <w:color w:val="000000" w:themeColor="text1"/>
        </w:rPr>
        <w:t xml:space="preserve">eadowlands </w:t>
      </w:r>
      <w:r w:rsidR="00FA0956">
        <w:rPr>
          <w:color w:val="000000" w:themeColor="text1"/>
        </w:rPr>
        <w:t>and</w:t>
      </w:r>
      <w:r w:rsidR="009B243F" w:rsidRPr="008E0E39">
        <w:rPr>
          <w:color w:val="000000" w:themeColor="text1"/>
        </w:rPr>
        <w:t xml:space="preserve"> </w:t>
      </w:r>
      <w:r w:rsidR="00924E4C">
        <w:rPr>
          <w:color w:val="000000" w:themeColor="text1"/>
        </w:rPr>
        <w:t>M</w:t>
      </w:r>
      <w:r w:rsidR="009B243F" w:rsidRPr="008E0E39">
        <w:rPr>
          <w:color w:val="000000" w:themeColor="text1"/>
        </w:rPr>
        <w:t xml:space="preserve">ini </w:t>
      </w:r>
      <w:r w:rsidR="00924E4C">
        <w:rPr>
          <w:color w:val="000000" w:themeColor="text1"/>
        </w:rPr>
        <w:t>W</w:t>
      </w:r>
      <w:r w:rsidR="009B243F" w:rsidRPr="008E0E39">
        <w:rPr>
          <w:color w:val="000000" w:themeColor="text1"/>
        </w:rPr>
        <w:t xml:space="preserve">oodlands </w:t>
      </w:r>
      <w:proofErr w:type="spellStart"/>
      <w:r w:rsidR="00924E4C">
        <w:rPr>
          <w:color w:val="000000" w:themeColor="text1"/>
        </w:rPr>
        <w:t>P</w:t>
      </w:r>
      <w:r w:rsidR="009B243F" w:rsidRPr="008E0E39">
        <w:rPr>
          <w:color w:val="000000" w:themeColor="text1"/>
        </w:rPr>
        <w:t>rogramme</w:t>
      </w:r>
      <w:r w:rsidR="00FA0956">
        <w:rPr>
          <w:color w:val="000000" w:themeColor="text1"/>
        </w:rPr>
        <w:t>s</w:t>
      </w:r>
      <w:proofErr w:type="spellEnd"/>
      <w:r w:rsidR="009B243F" w:rsidRPr="008E0E39">
        <w:rPr>
          <w:color w:val="000000" w:themeColor="text1"/>
        </w:rPr>
        <w:t xml:space="preserve"> and implementation of ICWs.</w:t>
      </w:r>
    </w:p>
    <w:p w14:paraId="7669FB44" w14:textId="6D3BCC90" w:rsidR="009B243F" w:rsidRPr="008E0E39" w:rsidRDefault="009661F6" w:rsidP="009B243F">
      <w:pPr>
        <w:pStyle w:val="BodyText"/>
        <w:spacing w:line="276" w:lineRule="auto"/>
        <w:ind w:left="0" w:firstLine="0"/>
        <w:rPr>
          <w:color w:val="000000" w:themeColor="text1"/>
        </w:rPr>
      </w:pPr>
      <w:r>
        <w:rPr>
          <w:color w:val="000000" w:themeColor="text1"/>
        </w:rPr>
        <w:lastRenderedPageBreak/>
        <w:t>D</w:t>
      </w:r>
      <w:r w:rsidR="009B243F" w:rsidRPr="008E0E39">
        <w:rPr>
          <w:color w:val="000000" w:themeColor="text1"/>
        </w:rPr>
        <w:t xml:space="preserve">elivery of the public realm capital </w:t>
      </w:r>
      <w:proofErr w:type="spellStart"/>
      <w:r w:rsidR="009B243F" w:rsidRPr="008E0E39">
        <w:rPr>
          <w:color w:val="000000" w:themeColor="text1"/>
        </w:rPr>
        <w:t>programme</w:t>
      </w:r>
      <w:proofErr w:type="spellEnd"/>
      <w:r w:rsidR="009B243F" w:rsidRPr="008E0E39">
        <w:rPr>
          <w:color w:val="000000" w:themeColor="text1"/>
        </w:rPr>
        <w:t xml:space="preserve"> </w:t>
      </w:r>
      <w:r>
        <w:rPr>
          <w:color w:val="000000" w:themeColor="text1"/>
        </w:rPr>
        <w:t xml:space="preserve">progressed </w:t>
      </w:r>
      <w:r w:rsidR="00AA0366">
        <w:rPr>
          <w:color w:val="000000" w:themeColor="text1"/>
        </w:rPr>
        <w:t xml:space="preserve">with </w:t>
      </w:r>
      <w:proofErr w:type="gramStart"/>
      <w:r w:rsidR="009B243F" w:rsidRPr="008E0E39">
        <w:rPr>
          <w:color w:val="000000" w:themeColor="text1"/>
        </w:rPr>
        <w:t>development</w:t>
      </w:r>
      <w:proofErr w:type="gramEnd"/>
      <w:r w:rsidR="009B243F" w:rsidRPr="008E0E39">
        <w:rPr>
          <w:color w:val="000000" w:themeColor="text1"/>
        </w:rPr>
        <w:t xml:space="preserve"> of additional parks, recreational and sporting facilities including:</w:t>
      </w:r>
    </w:p>
    <w:p w14:paraId="33B349F0" w14:textId="3E1AC789" w:rsidR="00E85F4B" w:rsidRPr="001318F0" w:rsidRDefault="00156C5E">
      <w:pPr>
        <w:pStyle w:val="BodyText"/>
        <w:numPr>
          <w:ilvl w:val="0"/>
          <w:numId w:val="27"/>
        </w:numPr>
        <w:tabs>
          <w:tab w:val="left" w:pos="525"/>
          <w:tab w:val="left" w:pos="527"/>
        </w:tabs>
        <w:spacing w:line="276" w:lineRule="auto"/>
        <w:rPr>
          <w:color w:val="000000" w:themeColor="text1"/>
        </w:rPr>
      </w:pPr>
      <w:r w:rsidRPr="001318F0">
        <w:rPr>
          <w:color w:val="000000" w:themeColor="text1"/>
        </w:rPr>
        <w:t xml:space="preserve">Completion of </w:t>
      </w:r>
      <w:r w:rsidR="00E85F4B" w:rsidRPr="001318F0">
        <w:rPr>
          <w:color w:val="000000" w:themeColor="text1"/>
        </w:rPr>
        <w:t xml:space="preserve">the </w:t>
      </w:r>
      <w:r w:rsidRPr="001318F0">
        <w:rPr>
          <w:color w:val="000000" w:themeColor="text1"/>
        </w:rPr>
        <w:t xml:space="preserve">extensive upgrade of </w:t>
      </w:r>
      <w:r w:rsidR="009B243F" w:rsidRPr="001318F0">
        <w:rPr>
          <w:color w:val="000000" w:themeColor="text1"/>
        </w:rPr>
        <w:t xml:space="preserve">Killinarden Park, </w:t>
      </w:r>
      <w:r w:rsidRPr="001318F0">
        <w:rPr>
          <w:color w:val="000000" w:themeColor="text1"/>
        </w:rPr>
        <w:t xml:space="preserve">including park re-design and </w:t>
      </w:r>
      <w:r w:rsidR="009B243F" w:rsidRPr="001318F0">
        <w:rPr>
          <w:color w:val="000000" w:themeColor="text1"/>
        </w:rPr>
        <w:t>new recreational facilities to complement the existing and newly upgraded sports pitches</w:t>
      </w:r>
      <w:r w:rsidR="00E85F4B" w:rsidRPr="001318F0">
        <w:rPr>
          <w:color w:val="000000" w:themeColor="text1"/>
        </w:rPr>
        <w:t xml:space="preserve">, and major improvement works to </w:t>
      </w:r>
      <w:proofErr w:type="spellStart"/>
      <w:r w:rsidR="00E85F4B" w:rsidRPr="001318F0">
        <w:rPr>
          <w:color w:val="000000" w:themeColor="text1"/>
        </w:rPr>
        <w:t>Jobstown</w:t>
      </w:r>
      <w:proofErr w:type="spellEnd"/>
      <w:r w:rsidR="00E85F4B" w:rsidRPr="001318F0">
        <w:rPr>
          <w:color w:val="000000" w:themeColor="text1"/>
        </w:rPr>
        <w:t xml:space="preserve"> Park </w:t>
      </w:r>
      <w:r w:rsidR="00480964" w:rsidRPr="001318F0">
        <w:rPr>
          <w:color w:val="000000" w:themeColor="text1"/>
        </w:rPr>
        <w:t xml:space="preserve">including </w:t>
      </w:r>
      <w:r w:rsidR="00E85F4B" w:rsidRPr="001318F0">
        <w:rPr>
          <w:color w:val="000000" w:themeColor="text1"/>
        </w:rPr>
        <w:t xml:space="preserve">new park entrances, a teen space, an outdoor workout area, a pump track, a natural playground, a dog park, a footpath exercise loop, a cycle link, and landscaping with biodiversity enhancements, including the planting of 300 mature trees. </w:t>
      </w:r>
    </w:p>
    <w:p w14:paraId="2D94D830" w14:textId="0A37C1C0" w:rsidR="00480964" w:rsidRPr="001318F0" w:rsidRDefault="00B21DD4">
      <w:pPr>
        <w:pStyle w:val="ListParagraph"/>
        <w:widowControl w:val="0"/>
        <w:numPr>
          <w:ilvl w:val="0"/>
          <w:numId w:val="27"/>
        </w:numPr>
        <w:tabs>
          <w:tab w:val="left" w:pos="525"/>
          <w:tab w:val="left" w:pos="527"/>
        </w:tabs>
        <w:autoSpaceDE w:val="0"/>
        <w:autoSpaceDN w:val="0"/>
        <w:spacing w:after="0" w:line="276" w:lineRule="auto"/>
        <w:rPr>
          <w:szCs w:val="23"/>
        </w:rPr>
      </w:pPr>
      <w:r w:rsidRPr="001318F0">
        <w:rPr>
          <w:color w:val="000000" w:themeColor="text1"/>
          <w:szCs w:val="23"/>
        </w:rPr>
        <w:t>U</w:t>
      </w:r>
      <w:r w:rsidR="00480964" w:rsidRPr="001318F0">
        <w:rPr>
          <w:color w:val="000000" w:themeColor="text1"/>
          <w:szCs w:val="23"/>
        </w:rPr>
        <w:t xml:space="preserve">pgrade of Whitestown Stream Park </w:t>
      </w:r>
      <w:r w:rsidRPr="001318F0">
        <w:rPr>
          <w:color w:val="000000" w:themeColor="text1"/>
          <w:szCs w:val="23"/>
        </w:rPr>
        <w:t xml:space="preserve">with </w:t>
      </w:r>
      <w:r w:rsidR="00480964" w:rsidRPr="001318F0">
        <w:rPr>
          <w:color w:val="000000" w:themeColor="text1"/>
          <w:szCs w:val="23"/>
        </w:rPr>
        <w:t>new entrances, a play-exercise trail, a footpath loop, a cycle link, bridges, planting, signage, seating, a kick-around area, and biodiversity spaces</w:t>
      </w:r>
      <w:r w:rsidRPr="001318F0">
        <w:rPr>
          <w:color w:val="000000" w:themeColor="text1"/>
          <w:szCs w:val="23"/>
        </w:rPr>
        <w:t xml:space="preserve">, </w:t>
      </w:r>
      <w:proofErr w:type="spellStart"/>
      <w:r w:rsidR="00480964" w:rsidRPr="001318F0">
        <w:rPr>
          <w:color w:val="000000" w:themeColor="text1"/>
          <w:szCs w:val="23"/>
        </w:rPr>
        <w:t>Greentrees</w:t>
      </w:r>
      <w:proofErr w:type="spellEnd"/>
      <w:r w:rsidR="00480964" w:rsidRPr="001318F0">
        <w:rPr>
          <w:color w:val="000000" w:themeColor="text1"/>
          <w:szCs w:val="23"/>
        </w:rPr>
        <w:t xml:space="preserve"> Park with a new footpath exercise loop, the planting of  mature trees, park benches, bulb planting, and enhanced pedestrian entrances, and Ely Arch green space which involved improvements to landscape boundaries, paving, steps providing access to the Arch and green space, a </w:t>
      </w:r>
      <w:proofErr w:type="spellStart"/>
      <w:r w:rsidR="00480964" w:rsidRPr="001318F0">
        <w:rPr>
          <w:color w:val="000000" w:themeColor="text1"/>
          <w:szCs w:val="23"/>
        </w:rPr>
        <w:t>Ballylusk</w:t>
      </w:r>
      <w:proofErr w:type="spellEnd"/>
      <w:r w:rsidR="00480964" w:rsidRPr="001318F0">
        <w:rPr>
          <w:color w:val="000000" w:themeColor="text1"/>
          <w:szCs w:val="23"/>
        </w:rPr>
        <w:t xml:space="preserve"> courtyard, tree planting, and </w:t>
      </w:r>
      <w:r w:rsidR="00480964" w:rsidRPr="001318F0">
        <w:rPr>
          <w:szCs w:val="23"/>
        </w:rPr>
        <w:t>passive recreation opportunities.</w:t>
      </w:r>
    </w:p>
    <w:p w14:paraId="0912A896" w14:textId="7CADB186" w:rsidR="00EB6F3B" w:rsidRDefault="7C04FC0A" w:rsidP="00EB6F3B">
      <w:pPr>
        <w:pStyle w:val="BodyText"/>
        <w:numPr>
          <w:ilvl w:val="0"/>
          <w:numId w:val="27"/>
        </w:numPr>
        <w:spacing w:line="276" w:lineRule="auto"/>
        <w:rPr>
          <w:color w:val="000000" w:themeColor="text1"/>
        </w:rPr>
      </w:pPr>
      <w:r w:rsidRPr="11DF5C04">
        <w:rPr>
          <w:color w:val="000000" w:themeColor="text1"/>
        </w:rPr>
        <w:t xml:space="preserve">Ongoing </w:t>
      </w:r>
      <w:proofErr w:type="spellStart"/>
      <w:r w:rsidRPr="11DF5C04">
        <w:rPr>
          <w:color w:val="000000" w:themeColor="text1"/>
        </w:rPr>
        <w:t>Corkagh</w:t>
      </w:r>
      <w:proofErr w:type="spellEnd"/>
      <w:r w:rsidRPr="11DF5C04">
        <w:rPr>
          <w:color w:val="000000" w:themeColor="text1"/>
        </w:rPr>
        <w:t xml:space="preserve"> Park upgrade works, including the hub area, fairy woodland trail, car parks upgrades and expansion and new way finding and signage</w:t>
      </w:r>
      <w:r w:rsidR="6751558B" w:rsidRPr="11DF5C04">
        <w:rPr>
          <w:color w:val="000000" w:themeColor="text1"/>
        </w:rPr>
        <w:t>.</w:t>
      </w:r>
    </w:p>
    <w:p w14:paraId="21E758B9" w14:textId="095289DA" w:rsidR="00E85F4B" w:rsidRPr="00B21DD4" w:rsidRDefault="009B243F">
      <w:pPr>
        <w:pStyle w:val="BodyText"/>
        <w:numPr>
          <w:ilvl w:val="0"/>
          <w:numId w:val="27"/>
        </w:numPr>
        <w:tabs>
          <w:tab w:val="left" w:pos="525"/>
          <w:tab w:val="left" w:pos="527"/>
        </w:tabs>
        <w:spacing w:line="276" w:lineRule="auto"/>
        <w:rPr>
          <w:color w:val="000000" w:themeColor="text1"/>
        </w:rPr>
      </w:pPr>
      <w:r w:rsidRPr="00B21DD4">
        <w:rPr>
          <w:color w:val="000000" w:themeColor="text1"/>
        </w:rPr>
        <w:t>Construction works continu</w:t>
      </w:r>
      <w:r w:rsidR="001318F0">
        <w:rPr>
          <w:color w:val="000000" w:themeColor="text1"/>
        </w:rPr>
        <w:t xml:space="preserve">ing for </w:t>
      </w:r>
      <w:r w:rsidRPr="00B21DD4">
        <w:rPr>
          <w:color w:val="000000" w:themeColor="text1"/>
        </w:rPr>
        <w:t>Tymon Park’s new Intergenerational Centre</w:t>
      </w:r>
      <w:r w:rsidR="00480964" w:rsidRPr="00B21DD4">
        <w:rPr>
          <w:color w:val="000000" w:themeColor="text1"/>
        </w:rPr>
        <w:t xml:space="preserve"> while </w:t>
      </w:r>
      <w:r w:rsidR="00B07006" w:rsidRPr="00B21DD4">
        <w:rPr>
          <w:color w:val="000000" w:themeColor="text1"/>
        </w:rPr>
        <w:t xml:space="preserve">the upgrades to </w:t>
      </w:r>
      <w:proofErr w:type="spellStart"/>
      <w:r w:rsidR="00E85F4B" w:rsidRPr="00B21DD4">
        <w:t>Quarryvale</w:t>
      </w:r>
      <w:proofErr w:type="spellEnd"/>
      <w:r w:rsidR="00E85F4B" w:rsidRPr="00B21DD4">
        <w:t xml:space="preserve"> Park </w:t>
      </w:r>
      <w:r w:rsidR="00B07006" w:rsidRPr="00B21DD4">
        <w:t xml:space="preserve">and </w:t>
      </w:r>
      <w:r w:rsidR="00E85F4B" w:rsidRPr="00B21DD4">
        <w:rPr>
          <w:color w:val="000000" w:themeColor="text1"/>
        </w:rPr>
        <w:t xml:space="preserve">St. Cuthbert’s Park also </w:t>
      </w:r>
      <w:r w:rsidR="00B07006" w:rsidRPr="00B21DD4">
        <w:rPr>
          <w:color w:val="000000" w:themeColor="text1"/>
        </w:rPr>
        <w:t xml:space="preserve">significantly progressed and </w:t>
      </w:r>
      <w:r w:rsidR="00B21DD4" w:rsidRPr="00B21DD4">
        <w:rPr>
          <w:color w:val="000000" w:themeColor="text1"/>
        </w:rPr>
        <w:t>works commenced on the p</w:t>
      </w:r>
      <w:r w:rsidR="00E85F4B" w:rsidRPr="00B21DD4">
        <w:rPr>
          <w:color w:val="000000" w:themeColor="text1"/>
        </w:rPr>
        <w:t xml:space="preserve">rovision of new facilities at </w:t>
      </w:r>
      <w:proofErr w:type="spellStart"/>
      <w:r w:rsidR="00E85F4B" w:rsidRPr="00B21DD4">
        <w:rPr>
          <w:color w:val="000000" w:themeColor="text1"/>
        </w:rPr>
        <w:t>Kiltipper</w:t>
      </w:r>
      <w:proofErr w:type="spellEnd"/>
      <w:r w:rsidR="00E85F4B" w:rsidRPr="00B21DD4">
        <w:rPr>
          <w:color w:val="000000" w:themeColor="text1"/>
        </w:rPr>
        <w:t xml:space="preserve"> Park in October</w:t>
      </w:r>
      <w:r w:rsidR="00B21DD4" w:rsidRPr="00B21DD4">
        <w:rPr>
          <w:color w:val="000000" w:themeColor="text1"/>
        </w:rPr>
        <w:t>.</w:t>
      </w:r>
    </w:p>
    <w:p w14:paraId="3EA7C2D2" w14:textId="7E86F1A7" w:rsidR="00B21DD4" w:rsidRPr="001318F0" w:rsidRDefault="009B243F" w:rsidP="00B21DD4">
      <w:pPr>
        <w:pStyle w:val="BodyText"/>
        <w:numPr>
          <w:ilvl w:val="0"/>
          <w:numId w:val="27"/>
        </w:numPr>
        <w:spacing w:line="276" w:lineRule="auto"/>
        <w:rPr>
          <w:color w:val="000000" w:themeColor="text1"/>
        </w:rPr>
      </w:pPr>
      <w:r w:rsidRPr="001318F0">
        <w:rPr>
          <w:color w:val="000000" w:themeColor="text1"/>
        </w:rPr>
        <w:t xml:space="preserve">The Pavillion </w:t>
      </w:r>
      <w:r w:rsidR="00C457A4" w:rsidRPr="001318F0">
        <w:rPr>
          <w:color w:val="000000" w:themeColor="text1"/>
        </w:rPr>
        <w:t>P</w:t>
      </w:r>
      <w:r w:rsidRPr="001318F0">
        <w:rPr>
          <w:color w:val="000000" w:themeColor="text1"/>
        </w:rPr>
        <w:t xml:space="preserve">rogramme progressed through planning </w:t>
      </w:r>
      <w:r w:rsidR="00E85F4B" w:rsidRPr="001318F0">
        <w:rPr>
          <w:color w:val="000000" w:themeColor="text1"/>
        </w:rPr>
        <w:t xml:space="preserve">to tender </w:t>
      </w:r>
      <w:r w:rsidRPr="001318F0">
        <w:rPr>
          <w:color w:val="000000" w:themeColor="text1"/>
        </w:rPr>
        <w:t>stage</w:t>
      </w:r>
      <w:r w:rsidR="00E85F4B" w:rsidRPr="001318F0">
        <w:t xml:space="preserve"> and pitch improvement works continued with pitch upgrades in </w:t>
      </w:r>
      <w:proofErr w:type="spellStart"/>
      <w:r w:rsidR="00E85F4B" w:rsidRPr="001318F0">
        <w:t>Glenaulin</w:t>
      </w:r>
      <w:proofErr w:type="spellEnd"/>
      <w:r w:rsidR="00E85F4B" w:rsidRPr="001318F0">
        <w:t xml:space="preserve"> and </w:t>
      </w:r>
      <w:proofErr w:type="spellStart"/>
      <w:r w:rsidR="00E85F4B" w:rsidRPr="001318F0">
        <w:t>Griffeen</w:t>
      </w:r>
      <w:proofErr w:type="spellEnd"/>
      <w:r w:rsidR="00E85F4B" w:rsidRPr="001318F0">
        <w:t xml:space="preserve"> Parks underway</w:t>
      </w:r>
      <w:r w:rsidR="00B21DD4" w:rsidRPr="001318F0">
        <w:t xml:space="preserve"> while w</w:t>
      </w:r>
      <w:r w:rsidR="00B21DD4" w:rsidRPr="001318F0">
        <w:rPr>
          <w:color w:val="000000" w:themeColor="text1"/>
        </w:rPr>
        <w:t xml:space="preserve">ork also commenced on an artificial grass pitch at </w:t>
      </w:r>
      <w:proofErr w:type="spellStart"/>
      <w:r w:rsidR="00B21DD4" w:rsidRPr="001318F0">
        <w:rPr>
          <w:color w:val="000000" w:themeColor="text1"/>
        </w:rPr>
        <w:t>Knockmitten</w:t>
      </w:r>
      <w:proofErr w:type="spellEnd"/>
      <w:r w:rsidR="00B21DD4" w:rsidRPr="001318F0">
        <w:rPr>
          <w:color w:val="000000" w:themeColor="text1"/>
        </w:rPr>
        <w:t>, supported by the Community Recognition Fund.</w:t>
      </w:r>
    </w:p>
    <w:p w14:paraId="219685C1" w14:textId="3C702915" w:rsidR="00156C5E" w:rsidRPr="001318F0" w:rsidRDefault="00156C5E" w:rsidP="00156C5E">
      <w:pPr>
        <w:pStyle w:val="BodyText"/>
        <w:numPr>
          <w:ilvl w:val="0"/>
          <w:numId w:val="27"/>
        </w:numPr>
        <w:spacing w:line="276" w:lineRule="auto"/>
        <w:rPr>
          <w:color w:val="000000" w:themeColor="text1"/>
        </w:rPr>
      </w:pPr>
      <w:r w:rsidRPr="001318F0">
        <w:rPr>
          <w:color w:val="000000" w:themeColor="text1"/>
        </w:rPr>
        <w:t xml:space="preserve">Camac Valley Caravan and Camping Park progressed to </w:t>
      </w:r>
      <w:r w:rsidR="001318F0" w:rsidRPr="001318F0">
        <w:rPr>
          <w:color w:val="000000" w:themeColor="text1"/>
        </w:rPr>
        <w:t>public consultation under the Part 8 plannin</w:t>
      </w:r>
      <w:r w:rsidR="00221BA8">
        <w:rPr>
          <w:color w:val="000000" w:themeColor="text1"/>
        </w:rPr>
        <w:t>g</w:t>
      </w:r>
      <w:r w:rsidR="001318F0" w:rsidRPr="001318F0">
        <w:rPr>
          <w:color w:val="000000" w:themeColor="text1"/>
        </w:rPr>
        <w:t xml:space="preserve"> process</w:t>
      </w:r>
      <w:r w:rsidRPr="001318F0">
        <w:rPr>
          <w:color w:val="000000" w:themeColor="text1"/>
        </w:rPr>
        <w:t>.</w:t>
      </w:r>
    </w:p>
    <w:p w14:paraId="52CCFF0F" w14:textId="6DCC86C1" w:rsidR="009B243F" w:rsidRPr="001318F0" w:rsidRDefault="009B243F">
      <w:pPr>
        <w:pStyle w:val="ListParagraph"/>
        <w:widowControl w:val="0"/>
        <w:numPr>
          <w:ilvl w:val="0"/>
          <w:numId w:val="27"/>
        </w:numPr>
        <w:tabs>
          <w:tab w:val="left" w:pos="526"/>
        </w:tabs>
        <w:autoSpaceDE w:val="0"/>
        <w:autoSpaceDN w:val="0"/>
        <w:spacing w:after="0" w:line="276" w:lineRule="auto"/>
        <w:rPr>
          <w:szCs w:val="23"/>
        </w:rPr>
      </w:pPr>
      <w:proofErr w:type="spellStart"/>
      <w:r w:rsidRPr="001318F0">
        <w:rPr>
          <w:szCs w:val="23"/>
        </w:rPr>
        <w:t>Kiltalown</w:t>
      </w:r>
      <w:proofErr w:type="spellEnd"/>
      <w:r w:rsidRPr="001318F0">
        <w:rPr>
          <w:szCs w:val="23"/>
        </w:rPr>
        <w:t xml:space="preserve"> Park playground was completed</w:t>
      </w:r>
      <w:r w:rsidR="006A2CE4" w:rsidRPr="001318F0">
        <w:rPr>
          <w:szCs w:val="23"/>
        </w:rPr>
        <w:t xml:space="preserve">, a </w:t>
      </w:r>
      <w:r w:rsidRPr="001318F0">
        <w:rPr>
          <w:szCs w:val="23"/>
        </w:rPr>
        <w:t>boules pétanque court was installed in Tymon Park</w:t>
      </w:r>
      <w:r w:rsidR="001F679F" w:rsidRPr="001318F0">
        <w:rPr>
          <w:szCs w:val="23"/>
        </w:rPr>
        <w:t xml:space="preserve"> and a </w:t>
      </w:r>
      <w:r w:rsidRPr="001318F0">
        <w:rPr>
          <w:szCs w:val="23"/>
        </w:rPr>
        <w:t>sensory sculpture walk was delivered in Rathfarnham Castle Park.</w:t>
      </w:r>
    </w:p>
    <w:p w14:paraId="1A6967E6" w14:textId="6F8FAFEA" w:rsidR="009B243F" w:rsidRPr="001F679F" w:rsidRDefault="00CB4A2E">
      <w:pPr>
        <w:pStyle w:val="ListParagraph"/>
        <w:widowControl w:val="0"/>
        <w:numPr>
          <w:ilvl w:val="0"/>
          <w:numId w:val="27"/>
        </w:numPr>
        <w:tabs>
          <w:tab w:val="left" w:pos="525"/>
          <w:tab w:val="left" w:pos="527"/>
        </w:tabs>
        <w:autoSpaceDE w:val="0"/>
        <w:autoSpaceDN w:val="0"/>
        <w:spacing w:after="0" w:line="276" w:lineRule="auto"/>
        <w:rPr>
          <w:szCs w:val="23"/>
        </w:rPr>
      </w:pPr>
      <w:r w:rsidRPr="001318F0">
        <w:rPr>
          <w:szCs w:val="23"/>
        </w:rPr>
        <w:t>Actions under the Biodiversity</w:t>
      </w:r>
      <w:r w:rsidRPr="001318F0">
        <w:rPr>
          <w:spacing w:val="-11"/>
          <w:szCs w:val="23"/>
        </w:rPr>
        <w:t xml:space="preserve"> </w:t>
      </w:r>
      <w:r w:rsidRPr="001318F0">
        <w:rPr>
          <w:szCs w:val="23"/>
        </w:rPr>
        <w:t>Action Plan continued in rural and urban</w:t>
      </w:r>
      <w:r w:rsidRPr="001F679F">
        <w:rPr>
          <w:szCs w:val="23"/>
        </w:rPr>
        <w:t xml:space="preserve"> areas through </w:t>
      </w:r>
      <w:r w:rsidR="007B70E2" w:rsidRPr="001F679F">
        <w:rPr>
          <w:szCs w:val="23"/>
        </w:rPr>
        <w:t xml:space="preserve">our </w:t>
      </w:r>
      <w:r w:rsidRPr="001F679F">
        <w:rPr>
          <w:szCs w:val="23"/>
        </w:rPr>
        <w:t>Pollinator Plan, Green Infrastructure Strategy, Mini Woodlands and Tree Management Programme</w:t>
      </w:r>
      <w:r w:rsidR="00E2244B" w:rsidRPr="001F679F">
        <w:rPr>
          <w:szCs w:val="23"/>
        </w:rPr>
        <w:t>s</w:t>
      </w:r>
      <w:r w:rsidRPr="001F679F">
        <w:rPr>
          <w:szCs w:val="23"/>
        </w:rPr>
        <w:t>.</w:t>
      </w:r>
      <w:r w:rsidR="00E2244B" w:rsidRPr="001F679F">
        <w:rPr>
          <w:szCs w:val="23"/>
        </w:rPr>
        <w:t xml:space="preserve">  The area of long and short</w:t>
      </w:r>
      <w:r w:rsidR="00E2244B" w:rsidRPr="001F679F">
        <w:rPr>
          <w:spacing w:val="-3"/>
          <w:szCs w:val="23"/>
        </w:rPr>
        <w:t xml:space="preserve"> </w:t>
      </w:r>
      <w:r w:rsidR="00E2244B" w:rsidRPr="001F679F">
        <w:rPr>
          <w:szCs w:val="23"/>
        </w:rPr>
        <w:t>flowering</w:t>
      </w:r>
      <w:r w:rsidR="00E2244B" w:rsidRPr="001F679F">
        <w:rPr>
          <w:spacing w:val="-3"/>
          <w:szCs w:val="23"/>
        </w:rPr>
        <w:t xml:space="preserve"> </w:t>
      </w:r>
      <w:r w:rsidR="00E2244B" w:rsidRPr="001F679F">
        <w:rPr>
          <w:szCs w:val="23"/>
        </w:rPr>
        <w:t>meadows</w:t>
      </w:r>
      <w:r w:rsidR="00E2244B" w:rsidRPr="001F679F">
        <w:rPr>
          <w:spacing w:val="-4"/>
          <w:szCs w:val="23"/>
        </w:rPr>
        <w:t xml:space="preserve"> was</w:t>
      </w:r>
      <w:r w:rsidR="00E2244B" w:rsidRPr="001F679F">
        <w:rPr>
          <w:spacing w:val="-1"/>
          <w:szCs w:val="23"/>
        </w:rPr>
        <w:t xml:space="preserve"> </w:t>
      </w:r>
      <w:r w:rsidR="00E2244B" w:rsidRPr="001F679F">
        <w:rPr>
          <w:szCs w:val="23"/>
        </w:rPr>
        <w:t>expanded</w:t>
      </w:r>
      <w:r w:rsidR="00E2244B" w:rsidRPr="001F679F">
        <w:rPr>
          <w:spacing w:val="-1"/>
          <w:szCs w:val="23"/>
        </w:rPr>
        <w:t xml:space="preserve"> </w:t>
      </w:r>
      <w:r w:rsidR="00E2244B" w:rsidRPr="001F679F">
        <w:rPr>
          <w:szCs w:val="23"/>
        </w:rPr>
        <w:t>to</w:t>
      </w:r>
      <w:r w:rsidR="00E2244B" w:rsidRPr="001F679F">
        <w:rPr>
          <w:spacing w:val="-2"/>
          <w:szCs w:val="23"/>
        </w:rPr>
        <w:t xml:space="preserve"> </w:t>
      </w:r>
      <w:r w:rsidR="00E2244B" w:rsidRPr="001F679F">
        <w:rPr>
          <w:szCs w:val="23"/>
        </w:rPr>
        <w:t>195</w:t>
      </w:r>
      <w:r w:rsidR="00E2244B" w:rsidRPr="001F679F">
        <w:rPr>
          <w:spacing w:val="-2"/>
          <w:szCs w:val="23"/>
        </w:rPr>
        <w:t xml:space="preserve"> </w:t>
      </w:r>
      <w:r w:rsidR="00E2244B" w:rsidRPr="001F679F">
        <w:rPr>
          <w:szCs w:val="23"/>
        </w:rPr>
        <w:t xml:space="preserve">hectares under the </w:t>
      </w:r>
      <w:r w:rsidR="009B243F" w:rsidRPr="001F679F">
        <w:rPr>
          <w:szCs w:val="23"/>
        </w:rPr>
        <w:t>Pollinator Action Plan</w:t>
      </w:r>
      <w:r w:rsidR="00E2244B" w:rsidRPr="001F679F">
        <w:rPr>
          <w:szCs w:val="23"/>
        </w:rPr>
        <w:t>.  T</w:t>
      </w:r>
      <w:r w:rsidR="009B243F" w:rsidRPr="001F679F">
        <w:rPr>
          <w:szCs w:val="23"/>
        </w:rPr>
        <w:t xml:space="preserve">ree canopy coverage </w:t>
      </w:r>
      <w:r w:rsidR="00E2244B" w:rsidRPr="001F679F">
        <w:rPr>
          <w:szCs w:val="23"/>
        </w:rPr>
        <w:t xml:space="preserve">was increased </w:t>
      </w:r>
      <w:r w:rsidR="009B243F" w:rsidRPr="001F679F">
        <w:rPr>
          <w:szCs w:val="23"/>
        </w:rPr>
        <w:t xml:space="preserve">through </w:t>
      </w:r>
      <w:r w:rsidR="00855D74" w:rsidRPr="001F679F">
        <w:rPr>
          <w:szCs w:val="23"/>
        </w:rPr>
        <w:t xml:space="preserve">the </w:t>
      </w:r>
      <w:r w:rsidR="009B243F" w:rsidRPr="001F679F">
        <w:rPr>
          <w:szCs w:val="23"/>
        </w:rPr>
        <w:t xml:space="preserve">planting of 3,651 trees </w:t>
      </w:r>
      <w:r w:rsidR="00E2244B" w:rsidRPr="001F679F">
        <w:rPr>
          <w:szCs w:val="23"/>
        </w:rPr>
        <w:t xml:space="preserve">and </w:t>
      </w:r>
      <w:r w:rsidR="00F611A9" w:rsidRPr="001F679F">
        <w:rPr>
          <w:szCs w:val="23"/>
        </w:rPr>
        <w:t>five</w:t>
      </w:r>
      <w:r w:rsidR="009B243F" w:rsidRPr="001F679F">
        <w:rPr>
          <w:szCs w:val="23"/>
        </w:rPr>
        <w:t xml:space="preserve"> </w:t>
      </w:r>
      <w:r w:rsidR="00855D74" w:rsidRPr="001F679F">
        <w:rPr>
          <w:szCs w:val="23"/>
        </w:rPr>
        <w:t>m</w:t>
      </w:r>
      <w:r w:rsidR="009B243F" w:rsidRPr="001F679F">
        <w:rPr>
          <w:szCs w:val="23"/>
        </w:rPr>
        <w:t xml:space="preserve">ini </w:t>
      </w:r>
      <w:r w:rsidR="00855D74" w:rsidRPr="001F679F">
        <w:rPr>
          <w:szCs w:val="23"/>
        </w:rPr>
        <w:t>w</w:t>
      </w:r>
      <w:r w:rsidR="009B243F" w:rsidRPr="001F679F">
        <w:rPr>
          <w:szCs w:val="23"/>
        </w:rPr>
        <w:t>oodlands.</w:t>
      </w:r>
      <w:r w:rsidR="009B243F" w:rsidRPr="001F679F">
        <w:rPr>
          <w:spacing w:val="-4"/>
          <w:szCs w:val="23"/>
        </w:rPr>
        <w:t xml:space="preserve"> </w:t>
      </w:r>
      <w:r w:rsidR="00E2244B" w:rsidRPr="001F679F">
        <w:rPr>
          <w:spacing w:val="-4"/>
          <w:szCs w:val="23"/>
        </w:rPr>
        <w:t>(</w:t>
      </w:r>
      <w:r w:rsidR="009B243F" w:rsidRPr="001F679F">
        <w:rPr>
          <w:szCs w:val="23"/>
        </w:rPr>
        <w:t xml:space="preserve">Since 2020, </w:t>
      </w:r>
      <w:r w:rsidR="00E2244B" w:rsidRPr="001F679F">
        <w:rPr>
          <w:szCs w:val="23"/>
        </w:rPr>
        <w:t>the M</w:t>
      </w:r>
      <w:r w:rsidR="009B243F" w:rsidRPr="001F679F">
        <w:rPr>
          <w:szCs w:val="23"/>
        </w:rPr>
        <w:t>ini</w:t>
      </w:r>
      <w:r w:rsidR="00E2244B" w:rsidRPr="001F679F">
        <w:rPr>
          <w:szCs w:val="23"/>
        </w:rPr>
        <w:t>-</w:t>
      </w:r>
      <w:r w:rsidR="009B243F" w:rsidRPr="001F679F">
        <w:rPr>
          <w:szCs w:val="23"/>
        </w:rPr>
        <w:t xml:space="preserve">Woodlands Programme has </w:t>
      </w:r>
      <w:r w:rsidR="00E2244B" w:rsidRPr="001F679F">
        <w:rPr>
          <w:szCs w:val="23"/>
        </w:rPr>
        <w:t xml:space="preserve">seen </w:t>
      </w:r>
      <w:r w:rsidR="00BF2F3F" w:rsidRPr="001F679F">
        <w:rPr>
          <w:szCs w:val="23"/>
        </w:rPr>
        <w:t xml:space="preserve">around </w:t>
      </w:r>
      <w:r w:rsidR="009B243F" w:rsidRPr="001F679F">
        <w:rPr>
          <w:szCs w:val="23"/>
        </w:rPr>
        <w:t xml:space="preserve">26,975 trees </w:t>
      </w:r>
      <w:r w:rsidR="00306010" w:rsidRPr="001F679F">
        <w:rPr>
          <w:szCs w:val="23"/>
        </w:rPr>
        <w:t xml:space="preserve">planted </w:t>
      </w:r>
      <w:r w:rsidR="009B243F" w:rsidRPr="001F679F">
        <w:rPr>
          <w:szCs w:val="23"/>
        </w:rPr>
        <w:t>in our parks, improving biodiversity and creating wildlife corridors in urban green spaces.</w:t>
      </w:r>
      <w:r w:rsidR="00306010" w:rsidRPr="001F679F">
        <w:rPr>
          <w:szCs w:val="23"/>
        </w:rPr>
        <w:t>)</w:t>
      </w:r>
    </w:p>
    <w:p w14:paraId="58C39FEB" w14:textId="33D70753" w:rsidR="009B243F" w:rsidRPr="001F679F" w:rsidRDefault="009B243F" w:rsidP="003D505F">
      <w:pPr>
        <w:pStyle w:val="ListParagraph"/>
        <w:widowControl w:val="0"/>
        <w:numPr>
          <w:ilvl w:val="0"/>
          <w:numId w:val="27"/>
        </w:numPr>
        <w:tabs>
          <w:tab w:val="left" w:pos="525"/>
          <w:tab w:val="left" w:pos="527"/>
        </w:tabs>
        <w:autoSpaceDE w:val="0"/>
        <w:autoSpaceDN w:val="0"/>
        <w:spacing w:after="0" w:line="276" w:lineRule="auto"/>
        <w:rPr>
          <w:szCs w:val="23"/>
        </w:rPr>
      </w:pPr>
      <w:r w:rsidRPr="001F679F">
        <w:rPr>
          <w:szCs w:val="23"/>
        </w:rPr>
        <w:t>446</w:t>
      </w:r>
      <w:r w:rsidRPr="001F679F">
        <w:rPr>
          <w:spacing w:val="-6"/>
          <w:szCs w:val="23"/>
        </w:rPr>
        <w:t xml:space="preserve"> </w:t>
      </w:r>
      <w:r w:rsidR="00306010" w:rsidRPr="001F679F">
        <w:rPr>
          <w:szCs w:val="23"/>
        </w:rPr>
        <w:t>a</w:t>
      </w:r>
      <w:r w:rsidRPr="001F679F">
        <w:rPr>
          <w:szCs w:val="23"/>
        </w:rPr>
        <w:t>llotments</w:t>
      </w:r>
      <w:r w:rsidRPr="001F679F">
        <w:rPr>
          <w:spacing w:val="-6"/>
          <w:szCs w:val="23"/>
        </w:rPr>
        <w:t xml:space="preserve"> </w:t>
      </w:r>
      <w:r w:rsidRPr="001F679F">
        <w:rPr>
          <w:szCs w:val="23"/>
        </w:rPr>
        <w:t xml:space="preserve">were </w:t>
      </w:r>
      <w:r w:rsidR="001F679F" w:rsidRPr="001F679F">
        <w:rPr>
          <w:szCs w:val="23"/>
        </w:rPr>
        <w:t xml:space="preserve">managed with </w:t>
      </w:r>
      <w:r w:rsidRPr="001F679F">
        <w:rPr>
          <w:szCs w:val="23"/>
        </w:rPr>
        <w:t xml:space="preserve">30 new allotments </w:t>
      </w:r>
      <w:r w:rsidR="001F679F" w:rsidRPr="001F679F">
        <w:rPr>
          <w:szCs w:val="23"/>
        </w:rPr>
        <w:t xml:space="preserve">under development at </w:t>
      </w:r>
      <w:r w:rsidRPr="001F679F">
        <w:rPr>
          <w:szCs w:val="23"/>
        </w:rPr>
        <w:t>Graydon Park in Newcastle.</w:t>
      </w:r>
    </w:p>
    <w:p w14:paraId="7A6C7FF7" w14:textId="77777777" w:rsidR="00A91BF9" w:rsidRPr="003D505F" w:rsidRDefault="00A91BF9" w:rsidP="00A91BF9">
      <w:pPr>
        <w:pStyle w:val="ListParagraph"/>
        <w:widowControl w:val="0"/>
        <w:tabs>
          <w:tab w:val="left" w:pos="525"/>
          <w:tab w:val="left" w:pos="527"/>
        </w:tabs>
        <w:autoSpaceDE w:val="0"/>
        <w:autoSpaceDN w:val="0"/>
        <w:spacing w:after="0" w:line="276" w:lineRule="auto"/>
        <w:ind w:left="292" w:firstLine="0"/>
        <w:rPr>
          <w:szCs w:val="23"/>
        </w:rPr>
      </w:pPr>
    </w:p>
    <w:p w14:paraId="63DAF181" w14:textId="54EAC10E" w:rsidR="009B243F" w:rsidRDefault="009B243F" w:rsidP="009B243F">
      <w:pPr>
        <w:pStyle w:val="Heading1"/>
        <w:spacing w:line="276" w:lineRule="auto"/>
        <w:ind w:left="0"/>
      </w:pPr>
      <w:r>
        <w:t>Manage</w:t>
      </w:r>
      <w:r>
        <w:rPr>
          <w:spacing w:val="80"/>
        </w:rPr>
        <w:t xml:space="preserve"> </w:t>
      </w:r>
      <w:r w:rsidR="00AD2764">
        <w:t>r</w:t>
      </w:r>
      <w:r>
        <w:t>egulatory,</w:t>
      </w:r>
      <w:r>
        <w:rPr>
          <w:spacing w:val="80"/>
        </w:rPr>
        <w:t xml:space="preserve"> </w:t>
      </w:r>
      <w:r w:rsidR="00AD2764">
        <w:t>l</w:t>
      </w:r>
      <w:r>
        <w:t>icensing</w:t>
      </w:r>
      <w:r>
        <w:rPr>
          <w:spacing w:val="80"/>
        </w:rPr>
        <w:t xml:space="preserve"> </w:t>
      </w:r>
      <w:r>
        <w:t>and</w:t>
      </w:r>
      <w:r>
        <w:rPr>
          <w:spacing w:val="80"/>
        </w:rPr>
        <w:t xml:space="preserve"> </w:t>
      </w:r>
      <w:r w:rsidR="00AD2764">
        <w:t>e</w:t>
      </w:r>
      <w:r>
        <w:t>nforcement</w:t>
      </w:r>
      <w:r>
        <w:rPr>
          <w:spacing w:val="80"/>
        </w:rPr>
        <w:t xml:space="preserve"> </w:t>
      </w:r>
      <w:r>
        <w:t>requirements,</w:t>
      </w:r>
      <w:r>
        <w:rPr>
          <w:spacing w:val="80"/>
        </w:rPr>
        <w:t xml:space="preserve"> </w:t>
      </w:r>
      <w:r>
        <w:t>including</w:t>
      </w:r>
      <w:r>
        <w:rPr>
          <w:spacing w:val="80"/>
        </w:rPr>
        <w:t xml:space="preserve"> </w:t>
      </w:r>
      <w:r w:rsidR="00AD2764">
        <w:t>s</w:t>
      </w:r>
      <w:r>
        <w:t>ervice</w:t>
      </w:r>
      <w:r>
        <w:rPr>
          <w:spacing w:val="80"/>
        </w:rPr>
        <w:t xml:space="preserve"> </w:t>
      </w:r>
      <w:r w:rsidR="00AD2764">
        <w:t>l</w:t>
      </w:r>
      <w:r>
        <w:t xml:space="preserve">evel </w:t>
      </w:r>
      <w:r w:rsidR="00AD2764">
        <w:rPr>
          <w:spacing w:val="-2"/>
        </w:rPr>
        <w:t>a</w:t>
      </w:r>
      <w:r>
        <w:rPr>
          <w:spacing w:val="-2"/>
        </w:rPr>
        <w:t>greements</w:t>
      </w:r>
    </w:p>
    <w:p w14:paraId="616FDAB9" w14:textId="15FB9600" w:rsidR="009B243F" w:rsidRDefault="009B243F" w:rsidP="009B243F">
      <w:pPr>
        <w:pStyle w:val="BodyText"/>
        <w:spacing w:line="276" w:lineRule="auto"/>
        <w:ind w:left="0" w:firstLine="0"/>
      </w:pPr>
      <w:r>
        <w:t xml:space="preserve">Progress was </w:t>
      </w:r>
      <w:r w:rsidR="0030058D">
        <w:t>made through p</w:t>
      </w:r>
      <w:r w:rsidR="00591623">
        <w:t xml:space="preserve">roactive </w:t>
      </w:r>
      <w:r>
        <w:t xml:space="preserve">litter and waste enforcement services </w:t>
      </w:r>
      <w:r w:rsidR="0030058D">
        <w:t xml:space="preserve">for higher cleanliness </w:t>
      </w:r>
      <w:r>
        <w:t>standards</w:t>
      </w:r>
      <w:r w:rsidR="0030058D">
        <w:t>:</w:t>
      </w:r>
    </w:p>
    <w:p w14:paraId="1B26C486" w14:textId="7B77500D" w:rsidR="009B243F" w:rsidRPr="00A91BF9" w:rsidRDefault="009B243F" w:rsidP="00A91BF9">
      <w:pPr>
        <w:pStyle w:val="ListParagraph"/>
        <w:widowControl w:val="0"/>
        <w:numPr>
          <w:ilvl w:val="0"/>
          <w:numId w:val="28"/>
        </w:numPr>
        <w:tabs>
          <w:tab w:val="left" w:pos="527"/>
        </w:tabs>
        <w:autoSpaceDE w:val="0"/>
        <w:autoSpaceDN w:val="0"/>
        <w:spacing w:after="0" w:line="276" w:lineRule="auto"/>
        <w:ind w:left="360"/>
        <w:rPr>
          <w:szCs w:val="23"/>
        </w:rPr>
      </w:pPr>
      <w:r w:rsidRPr="00A91BF9">
        <w:rPr>
          <w:szCs w:val="23"/>
        </w:rPr>
        <w:t>11,632</w:t>
      </w:r>
      <w:r w:rsidRPr="00A91BF9">
        <w:rPr>
          <w:spacing w:val="-8"/>
          <w:szCs w:val="23"/>
        </w:rPr>
        <w:t xml:space="preserve"> </w:t>
      </w:r>
      <w:r w:rsidRPr="00A91BF9">
        <w:rPr>
          <w:szCs w:val="23"/>
        </w:rPr>
        <w:t>inspections</w:t>
      </w:r>
      <w:r w:rsidRPr="00A91BF9">
        <w:rPr>
          <w:spacing w:val="-3"/>
          <w:szCs w:val="23"/>
        </w:rPr>
        <w:t xml:space="preserve"> </w:t>
      </w:r>
      <w:r w:rsidRPr="00A91BF9">
        <w:rPr>
          <w:szCs w:val="23"/>
        </w:rPr>
        <w:t>were</w:t>
      </w:r>
      <w:r w:rsidRPr="00A91BF9">
        <w:rPr>
          <w:spacing w:val="-5"/>
          <w:szCs w:val="23"/>
        </w:rPr>
        <w:t xml:space="preserve"> </w:t>
      </w:r>
      <w:r w:rsidRPr="00A91BF9">
        <w:rPr>
          <w:szCs w:val="23"/>
        </w:rPr>
        <w:t>carried</w:t>
      </w:r>
      <w:r w:rsidRPr="00A91BF9">
        <w:rPr>
          <w:spacing w:val="-5"/>
          <w:szCs w:val="23"/>
        </w:rPr>
        <w:t xml:space="preserve"> </w:t>
      </w:r>
      <w:r w:rsidRPr="00A91BF9">
        <w:rPr>
          <w:szCs w:val="23"/>
        </w:rPr>
        <w:t>out</w:t>
      </w:r>
      <w:r w:rsidRPr="00A91BF9">
        <w:rPr>
          <w:spacing w:val="-4"/>
          <w:szCs w:val="23"/>
        </w:rPr>
        <w:t xml:space="preserve"> </w:t>
      </w:r>
      <w:r w:rsidRPr="00A91BF9">
        <w:rPr>
          <w:szCs w:val="23"/>
        </w:rPr>
        <w:t>under</w:t>
      </w:r>
      <w:r w:rsidRPr="00A91BF9">
        <w:rPr>
          <w:spacing w:val="-2"/>
          <w:szCs w:val="23"/>
        </w:rPr>
        <w:t xml:space="preserve"> </w:t>
      </w:r>
      <w:r w:rsidR="00742C25">
        <w:rPr>
          <w:szCs w:val="23"/>
        </w:rPr>
        <w:t>our</w:t>
      </w:r>
      <w:r w:rsidRPr="00A91BF9">
        <w:rPr>
          <w:spacing w:val="-5"/>
          <w:szCs w:val="23"/>
        </w:rPr>
        <w:t xml:space="preserve"> </w:t>
      </w:r>
      <w:r w:rsidRPr="00A91BF9">
        <w:rPr>
          <w:rFonts w:eastAsia="Times New Roman"/>
        </w:rPr>
        <w:t>2024 Annual Recommended Minimum Criteria for Environmental Inspections (RMCEI) Plan</w:t>
      </w:r>
      <w:r w:rsidR="007B23C2">
        <w:rPr>
          <w:rFonts w:eastAsia="Times New Roman"/>
        </w:rPr>
        <w:t>.</w:t>
      </w:r>
    </w:p>
    <w:p w14:paraId="394E0FF0" w14:textId="156FA2F4" w:rsidR="009B243F" w:rsidRPr="00FC419E" w:rsidRDefault="009B243F">
      <w:pPr>
        <w:pStyle w:val="ListParagraph"/>
        <w:widowControl w:val="0"/>
        <w:numPr>
          <w:ilvl w:val="0"/>
          <w:numId w:val="28"/>
        </w:numPr>
        <w:tabs>
          <w:tab w:val="left" w:pos="527"/>
        </w:tabs>
        <w:autoSpaceDE w:val="0"/>
        <w:autoSpaceDN w:val="0"/>
        <w:spacing w:after="0" w:line="276" w:lineRule="auto"/>
        <w:ind w:left="360"/>
      </w:pPr>
      <w:r w:rsidRPr="000C5AAB">
        <w:rPr>
          <w:szCs w:val="23"/>
        </w:rPr>
        <w:t xml:space="preserve">1,225 </w:t>
      </w:r>
      <w:r w:rsidR="00742C25" w:rsidRPr="000C5AAB">
        <w:rPr>
          <w:szCs w:val="23"/>
        </w:rPr>
        <w:t>l</w:t>
      </w:r>
      <w:r w:rsidRPr="000C5AAB">
        <w:rPr>
          <w:szCs w:val="23"/>
        </w:rPr>
        <w:t>itter patrols and 2,286 non-routine waste inspections were carried out, with 347 litter fines issued and 17 court appearances</w:t>
      </w:r>
      <w:r w:rsidR="000C5AAB" w:rsidRPr="000C5AAB">
        <w:rPr>
          <w:szCs w:val="23"/>
        </w:rPr>
        <w:t xml:space="preserve">, and </w:t>
      </w:r>
      <w:r w:rsidR="000C5AAB" w:rsidRPr="000C5AAB">
        <w:rPr>
          <w:color w:val="000000" w:themeColor="text1"/>
          <w:spacing w:val="-5"/>
          <w:szCs w:val="23"/>
        </w:rPr>
        <w:t xml:space="preserve">98 </w:t>
      </w:r>
      <w:r w:rsidR="000C5AAB" w:rsidRPr="000C5AAB">
        <w:rPr>
          <w:color w:val="000000" w:themeColor="text1"/>
          <w:szCs w:val="23"/>
        </w:rPr>
        <w:t>inspections</w:t>
      </w:r>
      <w:r w:rsidR="000C5AAB" w:rsidRPr="000C5AAB">
        <w:rPr>
          <w:color w:val="000000" w:themeColor="text1"/>
          <w:spacing w:val="-4"/>
          <w:szCs w:val="23"/>
        </w:rPr>
        <w:t xml:space="preserve"> </w:t>
      </w:r>
      <w:r w:rsidR="000C5AAB" w:rsidRPr="000C5AAB">
        <w:rPr>
          <w:color w:val="000000" w:themeColor="text1"/>
          <w:szCs w:val="23"/>
        </w:rPr>
        <w:t>were</w:t>
      </w:r>
      <w:r w:rsidR="000C5AAB" w:rsidRPr="000C5AAB">
        <w:rPr>
          <w:color w:val="000000" w:themeColor="text1"/>
          <w:spacing w:val="-3"/>
          <w:szCs w:val="23"/>
        </w:rPr>
        <w:t xml:space="preserve"> </w:t>
      </w:r>
      <w:r w:rsidR="000C5AAB" w:rsidRPr="000C5AAB">
        <w:rPr>
          <w:color w:val="000000" w:themeColor="text1"/>
          <w:szCs w:val="23"/>
        </w:rPr>
        <w:t>carried</w:t>
      </w:r>
      <w:r w:rsidR="000C5AAB" w:rsidRPr="000C5AAB">
        <w:rPr>
          <w:color w:val="000000" w:themeColor="text1"/>
          <w:spacing w:val="-4"/>
          <w:szCs w:val="23"/>
        </w:rPr>
        <w:t xml:space="preserve"> </w:t>
      </w:r>
      <w:r w:rsidR="000C5AAB" w:rsidRPr="000C5AAB">
        <w:rPr>
          <w:color w:val="000000" w:themeColor="text1"/>
          <w:szCs w:val="23"/>
        </w:rPr>
        <w:t>out</w:t>
      </w:r>
      <w:r w:rsidR="000C5AAB" w:rsidRPr="000C5AAB">
        <w:rPr>
          <w:color w:val="000000" w:themeColor="text1"/>
          <w:spacing w:val="-3"/>
          <w:szCs w:val="23"/>
        </w:rPr>
        <w:t xml:space="preserve"> </w:t>
      </w:r>
      <w:r w:rsidR="000C5AAB" w:rsidRPr="000C5AAB">
        <w:rPr>
          <w:color w:val="000000" w:themeColor="text1"/>
          <w:szCs w:val="23"/>
        </w:rPr>
        <w:t>on</w:t>
      </w:r>
      <w:r w:rsidR="000C5AAB" w:rsidRPr="000C5AAB">
        <w:rPr>
          <w:color w:val="000000" w:themeColor="text1"/>
          <w:spacing w:val="-6"/>
          <w:szCs w:val="23"/>
        </w:rPr>
        <w:t xml:space="preserve"> </w:t>
      </w:r>
      <w:r w:rsidR="000C5AAB" w:rsidRPr="000C5AAB">
        <w:rPr>
          <w:color w:val="000000" w:themeColor="text1"/>
          <w:szCs w:val="23"/>
        </w:rPr>
        <w:t>waste</w:t>
      </w:r>
      <w:r w:rsidR="000C5AAB" w:rsidRPr="000C5AAB">
        <w:rPr>
          <w:color w:val="000000" w:themeColor="text1"/>
          <w:spacing w:val="-4"/>
          <w:szCs w:val="23"/>
        </w:rPr>
        <w:t xml:space="preserve"> </w:t>
      </w:r>
      <w:r w:rsidR="000C5AAB" w:rsidRPr="000C5AAB">
        <w:rPr>
          <w:color w:val="000000" w:themeColor="text1"/>
          <w:szCs w:val="23"/>
        </w:rPr>
        <w:t>permitted</w:t>
      </w:r>
      <w:r w:rsidR="000C5AAB" w:rsidRPr="000C5AAB">
        <w:rPr>
          <w:color w:val="000000" w:themeColor="text1"/>
          <w:spacing w:val="-4"/>
          <w:szCs w:val="23"/>
        </w:rPr>
        <w:t xml:space="preserve"> </w:t>
      </w:r>
      <w:r w:rsidR="000C5AAB" w:rsidRPr="000C5AAB">
        <w:rPr>
          <w:color w:val="000000" w:themeColor="text1"/>
          <w:spacing w:val="-2"/>
          <w:szCs w:val="23"/>
        </w:rPr>
        <w:t>sites.</w:t>
      </w:r>
    </w:p>
    <w:p w14:paraId="02C63A11" w14:textId="76CB163F" w:rsidR="009B243F" w:rsidRPr="00A91BF9" w:rsidRDefault="009B243F" w:rsidP="00A91BF9">
      <w:pPr>
        <w:pStyle w:val="ListParagraph"/>
        <w:widowControl w:val="0"/>
        <w:numPr>
          <w:ilvl w:val="0"/>
          <w:numId w:val="28"/>
        </w:numPr>
        <w:tabs>
          <w:tab w:val="left" w:pos="527"/>
        </w:tabs>
        <w:autoSpaceDE w:val="0"/>
        <w:autoSpaceDN w:val="0"/>
        <w:spacing w:after="0" w:line="276" w:lineRule="auto"/>
        <w:ind w:left="360"/>
        <w:rPr>
          <w:color w:val="000000" w:themeColor="text1"/>
        </w:rPr>
      </w:pPr>
      <w:r w:rsidRPr="00A91BF9">
        <w:rPr>
          <w:color w:val="000000" w:themeColor="text1"/>
        </w:rPr>
        <w:t>611</w:t>
      </w:r>
      <w:r w:rsidRPr="00A91BF9">
        <w:rPr>
          <w:color w:val="000000" w:themeColor="text1"/>
          <w:spacing w:val="29"/>
        </w:rPr>
        <w:t xml:space="preserve"> </w:t>
      </w:r>
      <w:r w:rsidRPr="00A91BF9">
        <w:rPr>
          <w:color w:val="000000" w:themeColor="text1"/>
        </w:rPr>
        <w:t>tonnes</w:t>
      </w:r>
      <w:r w:rsidRPr="00A91BF9">
        <w:rPr>
          <w:color w:val="000000" w:themeColor="text1"/>
          <w:spacing w:val="28"/>
        </w:rPr>
        <w:t xml:space="preserve"> </w:t>
      </w:r>
      <w:r w:rsidRPr="00A91BF9">
        <w:rPr>
          <w:color w:val="000000" w:themeColor="text1"/>
        </w:rPr>
        <w:t>of</w:t>
      </w:r>
      <w:r w:rsidRPr="00A91BF9">
        <w:rPr>
          <w:color w:val="000000" w:themeColor="text1"/>
          <w:spacing w:val="29"/>
        </w:rPr>
        <w:t xml:space="preserve"> </w:t>
      </w:r>
      <w:r w:rsidRPr="00A91BF9">
        <w:rPr>
          <w:color w:val="000000" w:themeColor="text1"/>
        </w:rPr>
        <w:t>waste</w:t>
      </w:r>
      <w:r w:rsidRPr="00A91BF9">
        <w:rPr>
          <w:color w:val="000000" w:themeColor="text1"/>
          <w:spacing w:val="27"/>
        </w:rPr>
        <w:t xml:space="preserve"> </w:t>
      </w:r>
      <w:r w:rsidRPr="00A91BF9">
        <w:rPr>
          <w:color w:val="000000" w:themeColor="text1"/>
        </w:rPr>
        <w:t>was</w:t>
      </w:r>
      <w:r w:rsidRPr="00A91BF9">
        <w:rPr>
          <w:color w:val="000000" w:themeColor="text1"/>
          <w:spacing w:val="28"/>
        </w:rPr>
        <w:t xml:space="preserve"> </w:t>
      </w:r>
      <w:r w:rsidRPr="00A91BF9">
        <w:rPr>
          <w:color w:val="000000" w:themeColor="text1"/>
        </w:rPr>
        <w:t>collected</w:t>
      </w:r>
      <w:r w:rsidRPr="00A91BF9">
        <w:rPr>
          <w:color w:val="000000" w:themeColor="text1"/>
          <w:spacing w:val="28"/>
        </w:rPr>
        <w:t xml:space="preserve"> </w:t>
      </w:r>
      <w:r w:rsidRPr="00A91BF9">
        <w:rPr>
          <w:color w:val="000000" w:themeColor="text1"/>
        </w:rPr>
        <w:t>from</w:t>
      </w:r>
      <w:r w:rsidRPr="00A91BF9">
        <w:rPr>
          <w:color w:val="000000" w:themeColor="text1"/>
          <w:spacing w:val="28"/>
        </w:rPr>
        <w:t xml:space="preserve"> </w:t>
      </w:r>
      <w:r w:rsidRPr="00A91BF9">
        <w:rPr>
          <w:color w:val="000000" w:themeColor="text1"/>
        </w:rPr>
        <w:t>street</w:t>
      </w:r>
      <w:r w:rsidRPr="00A91BF9">
        <w:rPr>
          <w:color w:val="000000" w:themeColor="text1"/>
          <w:spacing w:val="29"/>
        </w:rPr>
        <w:t xml:space="preserve"> </w:t>
      </w:r>
      <w:r w:rsidRPr="00A91BF9">
        <w:rPr>
          <w:color w:val="000000" w:themeColor="text1"/>
        </w:rPr>
        <w:t>bins</w:t>
      </w:r>
      <w:r w:rsidR="00AF2679">
        <w:rPr>
          <w:color w:val="000000" w:themeColor="text1"/>
        </w:rPr>
        <w:t xml:space="preserve"> along with </w:t>
      </w:r>
      <w:r w:rsidRPr="00A91BF9">
        <w:rPr>
          <w:color w:val="000000" w:themeColor="text1"/>
        </w:rPr>
        <w:t>4,724</w:t>
      </w:r>
      <w:r w:rsidRPr="00A91BF9">
        <w:rPr>
          <w:color w:val="000000" w:themeColor="text1"/>
          <w:spacing w:val="31"/>
        </w:rPr>
        <w:t xml:space="preserve"> </w:t>
      </w:r>
      <w:r w:rsidRPr="00A91BF9">
        <w:rPr>
          <w:color w:val="000000" w:themeColor="text1"/>
        </w:rPr>
        <w:t>tonnes</w:t>
      </w:r>
      <w:r w:rsidRPr="00A91BF9">
        <w:rPr>
          <w:color w:val="000000" w:themeColor="text1"/>
          <w:spacing w:val="31"/>
        </w:rPr>
        <w:t xml:space="preserve"> </w:t>
      </w:r>
      <w:r w:rsidRPr="00A91BF9">
        <w:rPr>
          <w:color w:val="000000" w:themeColor="text1"/>
        </w:rPr>
        <w:t>of</w:t>
      </w:r>
      <w:r w:rsidRPr="00A91BF9">
        <w:rPr>
          <w:color w:val="000000" w:themeColor="text1"/>
          <w:spacing w:val="26"/>
        </w:rPr>
        <w:t xml:space="preserve"> </w:t>
      </w:r>
      <w:r w:rsidRPr="00A91BF9">
        <w:rPr>
          <w:color w:val="000000" w:themeColor="text1"/>
        </w:rPr>
        <w:t>waste</w:t>
      </w:r>
      <w:r w:rsidRPr="00A91BF9">
        <w:rPr>
          <w:color w:val="000000" w:themeColor="text1"/>
          <w:spacing w:val="29"/>
        </w:rPr>
        <w:t xml:space="preserve"> </w:t>
      </w:r>
      <w:r w:rsidRPr="00A91BF9">
        <w:rPr>
          <w:color w:val="000000" w:themeColor="text1"/>
        </w:rPr>
        <w:t>from</w:t>
      </w:r>
      <w:r w:rsidRPr="00A91BF9">
        <w:rPr>
          <w:color w:val="000000" w:themeColor="text1"/>
          <w:spacing w:val="29"/>
        </w:rPr>
        <w:t xml:space="preserve"> </w:t>
      </w:r>
      <w:r w:rsidRPr="00A91BF9">
        <w:rPr>
          <w:color w:val="000000" w:themeColor="text1"/>
        </w:rPr>
        <w:t>illegal dumping</w:t>
      </w:r>
      <w:r w:rsidR="00AF2679">
        <w:rPr>
          <w:color w:val="000000" w:themeColor="text1"/>
        </w:rPr>
        <w:t>.</w:t>
      </w:r>
    </w:p>
    <w:p w14:paraId="7D5D1DE9" w14:textId="1C64EF30" w:rsidR="009B243F" w:rsidRPr="00A91BF9" w:rsidRDefault="009B243F" w:rsidP="00057851">
      <w:pPr>
        <w:pStyle w:val="ListParagraph"/>
        <w:widowControl w:val="0"/>
        <w:numPr>
          <w:ilvl w:val="0"/>
          <w:numId w:val="28"/>
        </w:numPr>
        <w:tabs>
          <w:tab w:val="left" w:pos="527"/>
        </w:tabs>
        <w:autoSpaceDE w:val="0"/>
        <w:autoSpaceDN w:val="0"/>
        <w:spacing w:after="0" w:line="276" w:lineRule="auto"/>
        <w:ind w:left="360"/>
        <w:rPr>
          <w:color w:val="000000" w:themeColor="text1"/>
          <w:szCs w:val="23"/>
        </w:rPr>
      </w:pPr>
      <w:r w:rsidRPr="00A91BF9">
        <w:rPr>
          <w:color w:val="000000" w:themeColor="text1"/>
          <w:szCs w:val="23"/>
        </w:rPr>
        <w:t>The new</w:t>
      </w:r>
      <w:r w:rsidRPr="00A91BF9">
        <w:rPr>
          <w:color w:val="000000" w:themeColor="text1"/>
          <w:spacing w:val="40"/>
          <w:szCs w:val="23"/>
        </w:rPr>
        <w:t xml:space="preserve"> </w:t>
      </w:r>
      <w:r w:rsidRPr="00A91BF9">
        <w:rPr>
          <w:color w:val="000000" w:themeColor="text1"/>
          <w:szCs w:val="23"/>
        </w:rPr>
        <w:t>Code</w:t>
      </w:r>
      <w:r w:rsidRPr="00A91BF9">
        <w:rPr>
          <w:color w:val="000000" w:themeColor="text1"/>
          <w:spacing w:val="40"/>
          <w:szCs w:val="23"/>
        </w:rPr>
        <w:t xml:space="preserve"> </w:t>
      </w:r>
      <w:r w:rsidRPr="00A91BF9">
        <w:rPr>
          <w:color w:val="000000" w:themeColor="text1"/>
          <w:szCs w:val="23"/>
        </w:rPr>
        <w:t>of</w:t>
      </w:r>
      <w:r w:rsidRPr="00A91BF9">
        <w:rPr>
          <w:color w:val="000000" w:themeColor="text1"/>
          <w:spacing w:val="40"/>
          <w:szCs w:val="23"/>
        </w:rPr>
        <w:t xml:space="preserve"> </w:t>
      </w:r>
      <w:r w:rsidRPr="00A91BF9">
        <w:rPr>
          <w:color w:val="000000" w:themeColor="text1"/>
          <w:szCs w:val="23"/>
        </w:rPr>
        <w:t>Practice</w:t>
      </w:r>
      <w:r w:rsidRPr="00A91BF9">
        <w:rPr>
          <w:color w:val="000000" w:themeColor="text1"/>
          <w:spacing w:val="40"/>
          <w:szCs w:val="23"/>
        </w:rPr>
        <w:t xml:space="preserve"> </w:t>
      </w:r>
      <w:r w:rsidRPr="00A91BF9">
        <w:rPr>
          <w:color w:val="000000" w:themeColor="text1"/>
          <w:szCs w:val="23"/>
        </w:rPr>
        <w:t>for</w:t>
      </w:r>
      <w:r w:rsidRPr="00A91BF9">
        <w:rPr>
          <w:color w:val="000000" w:themeColor="text1"/>
          <w:spacing w:val="40"/>
          <w:szCs w:val="23"/>
        </w:rPr>
        <w:t xml:space="preserve"> </w:t>
      </w:r>
      <w:r w:rsidRPr="00A91BF9">
        <w:rPr>
          <w:color w:val="000000" w:themeColor="text1"/>
          <w:szCs w:val="23"/>
        </w:rPr>
        <w:t>the</w:t>
      </w:r>
      <w:r w:rsidRPr="00A91BF9">
        <w:rPr>
          <w:color w:val="000000" w:themeColor="text1"/>
          <w:spacing w:val="40"/>
          <w:szCs w:val="23"/>
        </w:rPr>
        <w:t xml:space="preserve"> </w:t>
      </w:r>
      <w:r w:rsidRPr="00A91BF9">
        <w:rPr>
          <w:color w:val="000000" w:themeColor="text1"/>
          <w:szCs w:val="23"/>
        </w:rPr>
        <w:t>operation</w:t>
      </w:r>
      <w:r w:rsidRPr="00A91BF9">
        <w:rPr>
          <w:color w:val="000000" w:themeColor="text1"/>
          <w:spacing w:val="40"/>
          <w:szCs w:val="23"/>
        </w:rPr>
        <w:t xml:space="preserve"> </w:t>
      </w:r>
      <w:r w:rsidRPr="00A91BF9">
        <w:rPr>
          <w:color w:val="000000" w:themeColor="text1"/>
          <w:szCs w:val="23"/>
        </w:rPr>
        <w:t>of</w:t>
      </w:r>
      <w:r w:rsidRPr="00A91BF9">
        <w:rPr>
          <w:color w:val="000000" w:themeColor="text1"/>
          <w:spacing w:val="40"/>
          <w:szCs w:val="23"/>
        </w:rPr>
        <w:t xml:space="preserve"> </w:t>
      </w:r>
      <w:r w:rsidRPr="00A91BF9">
        <w:rPr>
          <w:color w:val="000000" w:themeColor="text1"/>
          <w:szCs w:val="23"/>
        </w:rPr>
        <w:t>CCTV/Use</w:t>
      </w:r>
      <w:r w:rsidRPr="00A91BF9">
        <w:rPr>
          <w:color w:val="000000" w:themeColor="text1"/>
          <w:spacing w:val="40"/>
          <w:szCs w:val="23"/>
        </w:rPr>
        <w:t xml:space="preserve"> </w:t>
      </w:r>
      <w:r w:rsidRPr="00A91BF9">
        <w:rPr>
          <w:color w:val="000000" w:themeColor="text1"/>
          <w:szCs w:val="23"/>
        </w:rPr>
        <w:t>of</w:t>
      </w:r>
      <w:r w:rsidRPr="00A91BF9">
        <w:rPr>
          <w:color w:val="000000" w:themeColor="text1"/>
          <w:spacing w:val="40"/>
          <w:szCs w:val="23"/>
        </w:rPr>
        <w:t xml:space="preserve"> </w:t>
      </w:r>
      <w:r w:rsidRPr="00A91BF9">
        <w:rPr>
          <w:color w:val="000000" w:themeColor="text1"/>
          <w:szCs w:val="23"/>
        </w:rPr>
        <w:t>Mobile</w:t>
      </w:r>
      <w:r w:rsidR="00057851">
        <w:rPr>
          <w:color w:val="000000" w:themeColor="text1"/>
          <w:szCs w:val="23"/>
        </w:rPr>
        <w:t xml:space="preserve"> </w:t>
      </w:r>
      <w:r w:rsidRPr="00A91BF9">
        <w:rPr>
          <w:color w:val="000000" w:themeColor="text1"/>
          <w:szCs w:val="23"/>
        </w:rPr>
        <w:t>Recording</w:t>
      </w:r>
      <w:r w:rsidR="00AF2679">
        <w:rPr>
          <w:color w:val="000000" w:themeColor="text1"/>
          <w:spacing w:val="40"/>
          <w:szCs w:val="23"/>
        </w:rPr>
        <w:t xml:space="preserve"> was </w:t>
      </w:r>
      <w:r w:rsidRPr="00A91BF9">
        <w:rPr>
          <w:color w:val="000000" w:themeColor="text1"/>
          <w:spacing w:val="-2"/>
          <w:szCs w:val="23"/>
        </w:rPr>
        <w:t>implemented with new protocols developed for deployment.</w:t>
      </w:r>
    </w:p>
    <w:p w14:paraId="67D2E1C5" w14:textId="5C6ECAC7" w:rsidR="009B243F" w:rsidRPr="00A91BF9" w:rsidRDefault="009B243F" w:rsidP="00A91BF9">
      <w:pPr>
        <w:pStyle w:val="ListParagraph"/>
        <w:widowControl w:val="0"/>
        <w:numPr>
          <w:ilvl w:val="0"/>
          <w:numId w:val="28"/>
        </w:numPr>
        <w:tabs>
          <w:tab w:val="left" w:pos="525"/>
          <w:tab w:val="left" w:pos="527"/>
        </w:tabs>
        <w:autoSpaceDE w:val="0"/>
        <w:autoSpaceDN w:val="0"/>
        <w:spacing w:after="0" w:line="276" w:lineRule="auto"/>
        <w:ind w:left="360"/>
        <w:rPr>
          <w:color w:val="000000" w:themeColor="text1"/>
          <w:szCs w:val="23"/>
        </w:rPr>
      </w:pPr>
      <w:r w:rsidRPr="00A91BF9">
        <w:rPr>
          <w:color w:val="000000" w:themeColor="text1"/>
          <w:szCs w:val="23"/>
        </w:rPr>
        <w:t xml:space="preserve">Anti-dumping </w:t>
      </w:r>
      <w:r w:rsidR="00920E26">
        <w:rPr>
          <w:color w:val="000000" w:themeColor="text1"/>
          <w:szCs w:val="23"/>
        </w:rPr>
        <w:t>i</w:t>
      </w:r>
      <w:r w:rsidRPr="00A91BF9">
        <w:rPr>
          <w:color w:val="000000" w:themeColor="text1"/>
          <w:szCs w:val="23"/>
        </w:rPr>
        <w:t xml:space="preserve">nitiatives included a mattress amnesty which diverted a record 1,341 mattresses from the waste stream to be recycled and collection of over 8.5 tons of hazardous household </w:t>
      </w:r>
      <w:r w:rsidRPr="00A91BF9">
        <w:rPr>
          <w:color w:val="000000" w:themeColor="text1"/>
          <w:spacing w:val="-2"/>
          <w:szCs w:val="23"/>
        </w:rPr>
        <w:t>liquids.</w:t>
      </w:r>
    </w:p>
    <w:p w14:paraId="202C2BFE" w14:textId="2D0521E8" w:rsidR="009B243F" w:rsidRPr="00A91BF9" w:rsidRDefault="009B243F" w:rsidP="00A91BF9">
      <w:pPr>
        <w:pStyle w:val="ListParagraph"/>
        <w:widowControl w:val="0"/>
        <w:numPr>
          <w:ilvl w:val="0"/>
          <w:numId w:val="28"/>
        </w:numPr>
        <w:tabs>
          <w:tab w:val="left" w:pos="525"/>
          <w:tab w:val="left" w:pos="527"/>
        </w:tabs>
        <w:autoSpaceDE w:val="0"/>
        <w:autoSpaceDN w:val="0"/>
        <w:spacing w:after="0" w:line="276" w:lineRule="auto"/>
        <w:ind w:left="360"/>
        <w:rPr>
          <w:color w:val="000000" w:themeColor="text1"/>
          <w:szCs w:val="23"/>
        </w:rPr>
      </w:pPr>
      <w:r w:rsidRPr="00A91BF9">
        <w:rPr>
          <w:color w:val="000000" w:themeColor="text1"/>
          <w:szCs w:val="23"/>
        </w:rPr>
        <w:t xml:space="preserve">National enforcement priorities included household and commercial waste, </w:t>
      </w:r>
      <w:r w:rsidR="008A67BC">
        <w:rPr>
          <w:color w:val="000000" w:themeColor="text1"/>
          <w:szCs w:val="23"/>
        </w:rPr>
        <w:t>p</w:t>
      </w:r>
      <w:r w:rsidRPr="00A91BF9">
        <w:rPr>
          <w:color w:val="000000" w:themeColor="text1"/>
          <w:szCs w:val="23"/>
        </w:rPr>
        <w:t xml:space="preserve">roducer </w:t>
      </w:r>
      <w:r w:rsidR="008A67BC">
        <w:rPr>
          <w:color w:val="000000" w:themeColor="text1"/>
          <w:szCs w:val="23"/>
        </w:rPr>
        <w:t>r</w:t>
      </w:r>
      <w:r w:rsidRPr="00A91BF9">
        <w:rPr>
          <w:color w:val="000000" w:themeColor="text1"/>
          <w:szCs w:val="23"/>
        </w:rPr>
        <w:t>esponsibility</w:t>
      </w:r>
      <w:r w:rsidRPr="00A91BF9">
        <w:rPr>
          <w:color w:val="000000" w:themeColor="text1"/>
          <w:spacing w:val="-10"/>
          <w:szCs w:val="23"/>
        </w:rPr>
        <w:t xml:space="preserve"> </w:t>
      </w:r>
      <w:r w:rsidR="00625B53">
        <w:rPr>
          <w:color w:val="000000" w:themeColor="text1"/>
          <w:szCs w:val="23"/>
        </w:rPr>
        <w:t>i</w:t>
      </w:r>
      <w:r w:rsidRPr="00A91BF9">
        <w:rPr>
          <w:color w:val="000000" w:themeColor="text1"/>
          <w:szCs w:val="23"/>
        </w:rPr>
        <w:t>nitiatives,</w:t>
      </w:r>
      <w:r w:rsidRPr="00A91BF9">
        <w:rPr>
          <w:color w:val="000000" w:themeColor="text1"/>
          <w:spacing w:val="-9"/>
          <w:szCs w:val="23"/>
        </w:rPr>
        <w:t xml:space="preserve"> </w:t>
      </w:r>
      <w:r w:rsidR="008A67BC">
        <w:rPr>
          <w:color w:val="000000" w:themeColor="text1"/>
          <w:spacing w:val="-9"/>
          <w:szCs w:val="23"/>
        </w:rPr>
        <w:t>e</w:t>
      </w:r>
      <w:r w:rsidRPr="00A91BF9">
        <w:rPr>
          <w:color w:val="000000" w:themeColor="text1"/>
          <w:szCs w:val="23"/>
        </w:rPr>
        <w:t>nd</w:t>
      </w:r>
      <w:r w:rsidRPr="00A91BF9">
        <w:rPr>
          <w:color w:val="000000" w:themeColor="text1"/>
          <w:spacing w:val="-11"/>
          <w:szCs w:val="23"/>
        </w:rPr>
        <w:t xml:space="preserve"> </w:t>
      </w:r>
      <w:r w:rsidRPr="00A91BF9">
        <w:rPr>
          <w:color w:val="000000" w:themeColor="text1"/>
          <w:szCs w:val="23"/>
        </w:rPr>
        <w:t>of</w:t>
      </w:r>
      <w:r w:rsidRPr="00A91BF9">
        <w:rPr>
          <w:color w:val="000000" w:themeColor="text1"/>
          <w:spacing w:val="-10"/>
          <w:szCs w:val="23"/>
        </w:rPr>
        <w:t xml:space="preserve"> </w:t>
      </w:r>
      <w:r w:rsidRPr="00A91BF9">
        <w:rPr>
          <w:color w:val="000000" w:themeColor="text1"/>
          <w:szCs w:val="23"/>
        </w:rPr>
        <w:t>life</w:t>
      </w:r>
      <w:r w:rsidRPr="00A91BF9">
        <w:rPr>
          <w:color w:val="000000" w:themeColor="text1"/>
          <w:spacing w:val="-8"/>
          <w:szCs w:val="23"/>
        </w:rPr>
        <w:t xml:space="preserve"> </w:t>
      </w:r>
      <w:r w:rsidR="008A67BC">
        <w:rPr>
          <w:color w:val="000000" w:themeColor="text1"/>
          <w:spacing w:val="-8"/>
          <w:szCs w:val="23"/>
        </w:rPr>
        <w:t>v</w:t>
      </w:r>
      <w:r w:rsidRPr="00A91BF9">
        <w:rPr>
          <w:color w:val="000000" w:themeColor="text1"/>
          <w:szCs w:val="23"/>
        </w:rPr>
        <w:t>ehicles</w:t>
      </w:r>
      <w:r w:rsidRPr="00A91BF9">
        <w:rPr>
          <w:color w:val="000000" w:themeColor="text1"/>
          <w:spacing w:val="-8"/>
          <w:szCs w:val="23"/>
        </w:rPr>
        <w:t xml:space="preserve"> </w:t>
      </w:r>
      <w:r w:rsidRPr="00A91BF9">
        <w:rPr>
          <w:color w:val="000000" w:themeColor="text1"/>
          <w:szCs w:val="23"/>
        </w:rPr>
        <w:t>and</w:t>
      </w:r>
      <w:r w:rsidRPr="00A91BF9">
        <w:rPr>
          <w:color w:val="000000" w:themeColor="text1"/>
          <w:spacing w:val="-10"/>
          <w:szCs w:val="23"/>
        </w:rPr>
        <w:t xml:space="preserve"> </w:t>
      </w:r>
      <w:r w:rsidRPr="00A91BF9">
        <w:rPr>
          <w:color w:val="000000" w:themeColor="text1"/>
          <w:szCs w:val="23"/>
        </w:rPr>
        <w:t>metals,</w:t>
      </w:r>
      <w:r w:rsidRPr="00A91BF9">
        <w:rPr>
          <w:color w:val="000000" w:themeColor="text1"/>
          <w:spacing w:val="-9"/>
          <w:szCs w:val="23"/>
        </w:rPr>
        <w:t xml:space="preserve"> </w:t>
      </w:r>
      <w:r w:rsidR="00F85229">
        <w:rPr>
          <w:color w:val="000000" w:themeColor="text1"/>
          <w:spacing w:val="-9"/>
          <w:szCs w:val="23"/>
        </w:rPr>
        <w:t>c</w:t>
      </w:r>
      <w:r w:rsidRPr="00A91BF9">
        <w:rPr>
          <w:color w:val="000000" w:themeColor="text1"/>
          <w:szCs w:val="23"/>
        </w:rPr>
        <w:t>onstruction</w:t>
      </w:r>
      <w:r w:rsidRPr="00A91BF9">
        <w:rPr>
          <w:color w:val="000000" w:themeColor="text1"/>
          <w:spacing w:val="-9"/>
          <w:szCs w:val="23"/>
        </w:rPr>
        <w:t xml:space="preserve"> </w:t>
      </w:r>
      <w:r w:rsidRPr="00A91BF9">
        <w:rPr>
          <w:color w:val="000000" w:themeColor="text1"/>
          <w:szCs w:val="23"/>
        </w:rPr>
        <w:t>and</w:t>
      </w:r>
      <w:r w:rsidRPr="00A91BF9">
        <w:rPr>
          <w:color w:val="000000" w:themeColor="text1"/>
          <w:spacing w:val="-10"/>
          <w:szCs w:val="23"/>
        </w:rPr>
        <w:t xml:space="preserve"> </w:t>
      </w:r>
      <w:r w:rsidR="00F85229">
        <w:rPr>
          <w:color w:val="000000" w:themeColor="text1"/>
          <w:spacing w:val="-10"/>
          <w:szCs w:val="23"/>
        </w:rPr>
        <w:t>d</w:t>
      </w:r>
      <w:r w:rsidRPr="00A91BF9">
        <w:rPr>
          <w:color w:val="000000" w:themeColor="text1"/>
          <w:szCs w:val="23"/>
        </w:rPr>
        <w:t>emolition</w:t>
      </w:r>
      <w:r w:rsidRPr="00A91BF9">
        <w:rPr>
          <w:color w:val="000000" w:themeColor="text1"/>
          <w:spacing w:val="-10"/>
          <w:szCs w:val="23"/>
        </w:rPr>
        <w:t xml:space="preserve"> </w:t>
      </w:r>
      <w:r w:rsidR="00F85229">
        <w:rPr>
          <w:color w:val="000000" w:themeColor="text1"/>
          <w:spacing w:val="-10"/>
          <w:szCs w:val="23"/>
        </w:rPr>
        <w:t>w</w:t>
      </w:r>
      <w:r w:rsidRPr="00A91BF9">
        <w:rPr>
          <w:color w:val="000000" w:themeColor="text1"/>
          <w:szCs w:val="23"/>
        </w:rPr>
        <w:t xml:space="preserve">aste and </w:t>
      </w:r>
      <w:r w:rsidR="00F85229">
        <w:rPr>
          <w:color w:val="000000" w:themeColor="text1"/>
          <w:szCs w:val="23"/>
        </w:rPr>
        <w:t>t</w:t>
      </w:r>
      <w:r w:rsidRPr="00A91BF9">
        <w:rPr>
          <w:color w:val="000000" w:themeColor="text1"/>
          <w:szCs w:val="23"/>
        </w:rPr>
        <w:t xml:space="preserve">ackling </w:t>
      </w:r>
      <w:r w:rsidR="00F85229">
        <w:rPr>
          <w:color w:val="000000" w:themeColor="text1"/>
          <w:szCs w:val="23"/>
        </w:rPr>
        <w:t>i</w:t>
      </w:r>
      <w:r w:rsidRPr="00A91BF9">
        <w:rPr>
          <w:color w:val="000000" w:themeColor="text1"/>
          <w:szCs w:val="23"/>
        </w:rPr>
        <w:t xml:space="preserve">llegal </w:t>
      </w:r>
      <w:r w:rsidR="00F85229">
        <w:rPr>
          <w:color w:val="000000" w:themeColor="text1"/>
          <w:szCs w:val="23"/>
        </w:rPr>
        <w:t>w</w:t>
      </w:r>
      <w:r w:rsidRPr="00A91BF9">
        <w:rPr>
          <w:color w:val="000000" w:themeColor="text1"/>
          <w:szCs w:val="23"/>
        </w:rPr>
        <w:t xml:space="preserve">aste </w:t>
      </w:r>
      <w:r w:rsidR="00F85229">
        <w:rPr>
          <w:color w:val="000000" w:themeColor="text1"/>
          <w:szCs w:val="23"/>
        </w:rPr>
        <w:t>o</w:t>
      </w:r>
      <w:r w:rsidRPr="00A91BF9">
        <w:rPr>
          <w:color w:val="000000" w:themeColor="text1"/>
          <w:szCs w:val="23"/>
        </w:rPr>
        <w:t>perators.</w:t>
      </w:r>
    </w:p>
    <w:p w14:paraId="59A0788D" w14:textId="4B73CB4C" w:rsidR="009B243F" w:rsidRPr="00A91BF9" w:rsidRDefault="009B243F" w:rsidP="00A91BF9">
      <w:pPr>
        <w:pStyle w:val="ListParagraph"/>
        <w:widowControl w:val="0"/>
        <w:numPr>
          <w:ilvl w:val="0"/>
          <w:numId w:val="28"/>
        </w:numPr>
        <w:tabs>
          <w:tab w:val="left" w:pos="525"/>
          <w:tab w:val="left" w:pos="527"/>
        </w:tabs>
        <w:autoSpaceDE w:val="0"/>
        <w:autoSpaceDN w:val="0"/>
        <w:spacing w:after="0" w:line="276" w:lineRule="auto"/>
        <w:ind w:left="360"/>
        <w:rPr>
          <w:color w:val="000000" w:themeColor="text1"/>
          <w:szCs w:val="23"/>
        </w:rPr>
      </w:pPr>
      <w:r w:rsidRPr="00A91BF9">
        <w:rPr>
          <w:color w:val="000000" w:themeColor="text1"/>
          <w:szCs w:val="23"/>
        </w:rPr>
        <w:lastRenderedPageBreak/>
        <w:t>171 Derelict Site investigations were carried ou</w:t>
      </w:r>
      <w:r w:rsidR="005A5410">
        <w:rPr>
          <w:color w:val="000000" w:themeColor="text1"/>
          <w:szCs w:val="23"/>
        </w:rPr>
        <w:t>t and f</w:t>
      </w:r>
      <w:r w:rsidR="00F85229">
        <w:rPr>
          <w:color w:val="000000" w:themeColor="text1"/>
          <w:szCs w:val="23"/>
        </w:rPr>
        <w:t>our</w:t>
      </w:r>
      <w:r w:rsidRPr="00A91BF9">
        <w:rPr>
          <w:color w:val="000000" w:themeColor="text1"/>
          <w:szCs w:val="23"/>
        </w:rPr>
        <w:t xml:space="preserve"> houses at St. </w:t>
      </w:r>
      <w:proofErr w:type="spellStart"/>
      <w:r w:rsidRPr="00A91BF9">
        <w:rPr>
          <w:color w:val="000000" w:themeColor="text1"/>
          <w:szCs w:val="23"/>
        </w:rPr>
        <w:t>Maelruan’s</w:t>
      </w:r>
      <w:proofErr w:type="spellEnd"/>
      <w:r w:rsidRPr="00A91BF9">
        <w:rPr>
          <w:color w:val="000000" w:themeColor="text1"/>
          <w:szCs w:val="23"/>
        </w:rPr>
        <w:t xml:space="preserve"> were vested in </w:t>
      </w:r>
      <w:r w:rsidR="008A32F9">
        <w:rPr>
          <w:color w:val="000000" w:themeColor="text1"/>
          <w:szCs w:val="23"/>
        </w:rPr>
        <w:t>April</w:t>
      </w:r>
      <w:r w:rsidR="00353B4A">
        <w:rPr>
          <w:color w:val="000000" w:themeColor="text1"/>
          <w:szCs w:val="23"/>
        </w:rPr>
        <w:t>.</w:t>
      </w:r>
    </w:p>
    <w:p w14:paraId="64F433CE" w14:textId="7C928014" w:rsidR="009B243F" w:rsidRPr="0030058D" w:rsidRDefault="009B243F">
      <w:pPr>
        <w:pStyle w:val="ListParagraph"/>
        <w:widowControl w:val="0"/>
        <w:numPr>
          <w:ilvl w:val="0"/>
          <w:numId w:val="28"/>
        </w:numPr>
        <w:tabs>
          <w:tab w:val="left" w:pos="526"/>
        </w:tabs>
        <w:autoSpaceDE w:val="0"/>
        <w:autoSpaceDN w:val="0"/>
        <w:spacing w:after="0" w:line="276" w:lineRule="auto"/>
        <w:ind w:left="360"/>
        <w:rPr>
          <w:color w:val="000000" w:themeColor="text1"/>
          <w:szCs w:val="23"/>
        </w:rPr>
      </w:pPr>
      <w:r w:rsidRPr="0030058D">
        <w:rPr>
          <w:color w:val="000000" w:themeColor="text1"/>
          <w:szCs w:val="23"/>
        </w:rPr>
        <w:t xml:space="preserve">In managing and monitoring compliance with Control of Horses and Control of Dogs legislation, 36 horses were seized, and 441 dogs entered the shelter. </w:t>
      </w:r>
      <w:r w:rsidR="0030058D" w:rsidRPr="0030058D">
        <w:rPr>
          <w:color w:val="000000" w:themeColor="text1"/>
          <w:szCs w:val="23"/>
        </w:rPr>
        <w:t xml:space="preserve"> </w:t>
      </w:r>
      <w:r w:rsidR="00A34B5C" w:rsidRPr="00692E2B">
        <w:t>On 1 October 2024, it became illegal to import, breed, rehome or resell XL Bully dogs</w:t>
      </w:r>
      <w:r w:rsidR="00242B01" w:rsidRPr="00692E2B">
        <w:t xml:space="preserve">. </w:t>
      </w:r>
      <w:r w:rsidRPr="0030058D">
        <w:rPr>
          <w:color w:val="000000" w:themeColor="text1"/>
          <w:szCs w:val="23"/>
        </w:rPr>
        <w:t>24 applications have been received to date with 19 certificates of exemption issued</w:t>
      </w:r>
      <w:r w:rsidRPr="0030058D">
        <w:rPr>
          <w:i/>
          <w:iCs/>
          <w:color w:val="000000" w:themeColor="text1"/>
          <w:szCs w:val="23"/>
        </w:rPr>
        <w:t xml:space="preserve">. </w:t>
      </w:r>
    </w:p>
    <w:p w14:paraId="0774545C" w14:textId="77777777" w:rsidR="009B243F" w:rsidRPr="00692E2B" w:rsidRDefault="009B243F" w:rsidP="00A91BF9">
      <w:pPr>
        <w:pStyle w:val="ListParagraph"/>
        <w:widowControl w:val="0"/>
        <w:numPr>
          <w:ilvl w:val="0"/>
          <w:numId w:val="28"/>
        </w:numPr>
        <w:autoSpaceDE w:val="0"/>
        <w:autoSpaceDN w:val="0"/>
        <w:spacing w:after="0" w:line="276" w:lineRule="auto"/>
        <w:ind w:left="360"/>
        <w:rPr>
          <w:color w:val="000000" w:themeColor="text1"/>
          <w:szCs w:val="23"/>
        </w:rPr>
      </w:pPr>
      <w:r w:rsidRPr="00692E2B">
        <w:rPr>
          <w:color w:val="000000" w:themeColor="text1"/>
          <w:szCs w:val="23"/>
        </w:rPr>
        <w:t>We continued to implement the SLA agreement with the Food Safety Authority.</w:t>
      </w:r>
    </w:p>
    <w:p w14:paraId="14D4FDD4" w14:textId="0264B56D" w:rsidR="009B243F" w:rsidRPr="00A91BF9" w:rsidRDefault="009B243F" w:rsidP="00A91BF9">
      <w:pPr>
        <w:pStyle w:val="ListParagraph"/>
        <w:widowControl w:val="0"/>
        <w:numPr>
          <w:ilvl w:val="0"/>
          <w:numId w:val="28"/>
        </w:numPr>
        <w:tabs>
          <w:tab w:val="left" w:pos="525"/>
          <w:tab w:val="left" w:pos="527"/>
        </w:tabs>
        <w:autoSpaceDE w:val="0"/>
        <w:autoSpaceDN w:val="0"/>
        <w:spacing w:after="0" w:line="276" w:lineRule="auto"/>
        <w:ind w:left="360"/>
        <w:rPr>
          <w:szCs w:val="23"/>
        </w:rPr>
      </w:pPr>
      <w:r w:rsidRPr="00A91BF9">
        <w:rPr>
          <w:szCs w:val="23"/>
        </w:rPr>
        <w:t>Annual service plan actions in water and wastewater services were delivered under the new M</w:t>
      </w:r>
      <w:r w:rsidR="00692E2B">
        <w:rPr>
          <w:szCs w:val="23"/>
        </w:rPr>
        <w:t>aster Cooperation Agreement a</w:t>
      </w:r>
      <w:r w:rsidRPr="00A91BF9">
        <w:rPr>
          <w:szCs w:val="23"/>
        </w:rPr>
        <w:t xml:space="preserve">nd Support Service Agreement with </w:t>
      </w:r>
      <w:proofErr w:type="spellStart"/>
      <w:r w:rsidRPr="00A91BF9">
        <w:rPr>
          <w:szCs w:val="23"/>
        </w:rPr>
        <w:t>Uisce</w:t>
      </w:r>
      <w:proofErr w:type="spellEnd"/>
      <w:r w:rsidRPr="00A91BF9">
        <w:rPr>
          <w:szCs w:val="23"/>
        </w:rPr>
        <w:t xml:space="preserve"> Éireann.</w:t>
      </w:r>
    </w:p>
    <w:p w14:paraId="4A1A6E87" w14:textId="77777777" w:rsidR="009B243F" w:rsidRPr="00A91BF9" w:rsidRDefault="009B243F" w:rsidP="00A91BF9">
      <w:pPr>
        <w:pStyle w:val="ListParagraph"/>
        <w:widowControl w:val="0"/>
        <w:numPr>
          <w:ilvl w:val="0"/>
          <w:numId w:val="28"/>
        </w:numPr>
        <w:tabs>
          <w:tab w:val="left" w:pos="525"/>
          <w:tab w:val="left" w:pos="527"/>
        </w:tabs>
        <w:autoSpaceDE w:val="0"/>
        <w:autoSpaceDN w:val="0"/>
        <w:spacing w:after="0" w:line="276" w:lineRule="auto"/>
        <w:ind w:left="360"/>
        <w:rPr>
          <w:szCs w:val="23"/>
        </w:rPr>
      </w:pPr>
      <w:r w:rsidRPr="00A91BF9">
        <w:rPr>
          <w:szCs w:val="23"/>
        </w:rPr>
        <w:t xml:space="preserve">The 2024 programme of measures for the River Basin Management Plan was successfully </w:t>
      </w:r>
      <w:r w:rsidRPr="00A91BF9">
        <w:rPr>
          <w:spacing w:val="-2"/>
          <w:szCs w:val="23"/>
        </w:rPr>
        <w:t>delivered.</w:t>
      </w:r>
    </w:p>
    <w:p w14:paraId="730F19F1" w14:textId="77777777" w:rsidR="009B243F" w:rsidRPr="00A91BF9" w:rsidRDefault="009B243F" w:rsidP="00A91BF9">
      <w:pPr>
        <w:pStyle w:val="ListParagraph"/>
        <w:widowControl w:val="0"/>
        <w:numPr>
          <w:ilvl w:val="0"/>
          <w:numId w:val="28"/>
        </w:numPr>
        <w:tabs>
          <w:tab w:val="left" w:pos="525"/>
          <w:tab w:val="left" w:pos="527"/>
        </w:tabs>
        <w:autoSpaceDE w:val="0"/>
        <w:autoSpaceDN w:val="0"/>
        <w:spacing w:after="0" w:line="276" w:lineRule="auto"/>
        <w:ind w:left="360"/>
        <w:rPr>
          <w:color w:val="000000" w:themeColor="text1"/>
          <w:szCs w:val="23"/>
        </w:rPr>
      </w:pPr>
      <w:r w:rsidRPr="00A91BF9">
        <w:rPr>
          <w:rFonts w:eastAsia="Aptos"/>
          <w:color w:val="000000" w:themeColor="text1"/>
          <w:szCs w:val="23"/>
        </w:rPr>
        <w:t xml:space="preserve">The Dublin Agglomeration Noise Action Plan (NAP) is now completed for Round 4 of the Environmental Noise Directive (END). The overall number of public consultations received was 83, with 44 relating to South Dublin. </w:t>
      </w:r>
    </w:p>
    <w:p w14:paraId="256317C8" w14:textId="7C70CB6F" w:rsidR="009B243F" w:rsidRPr="00046A14" w:rsidRDefault="5F2B3F6C" w:rsidP="11DF5C04">
      <w:pPr>
        <w:pStyle w:val="ListParagraph"/>
        <w:widowControl w:val="0"/>
        <w:numPr>
          <w:ilvl w:val="0"/>
          <w:numId w:val="28"/>
        </w:numPr>
        <w:tabs>
          <w:tab w:val="left" w:pos="525"/>
          <w:tab w:val="left" w:pos="527"/>
        </w:tabs>
        <w:autoSpaceDE w:val="0"/>
        <w:autoSpaceDN w:val="0"/>
        <w:spacing w:after="0" w:line="276" w:lineRule="auto"/>
        <w:ind w:left="360"/>
        <w:rPr>
          <w:color w:val="000000" w:themeColor="text1"/>
        </w:rPr>
      </w:pPr>
      <w:r w:rsidRPr="11DF5C04">
        <w:rPr>
          <w:rFonts w:eastAsia="Times New Roman"/>
        </w:rPr>
        <w:t>Continued to implement recommendations from the Dublin Region Air Quality Plan</w:t>
      </w:r>
      <w:r w:rsidR="5801DB01" w:rsidRPr="11DF5C04">
        <w:rPr>
          <w:rFonts w:eastAsia="Times New Roman"/>
        </w:rPr>
        <w:t>.</w:t>
      </w:r>
      <w:r w:rsidRPr="11DF5C04">
        <w:rPr>
          <w:rFonts w:eastAsia="Times New Roman"/>
        </w:rPr>
        <w:t xml:space="preserve"> </w:t>
      </w:r>
      <w:r w:rsidR="358FE685" w:rsidRPr="11DF5C04">
        <w:rPr>
          <w:rFonts w:eastAsia="Times New Roman"/>
        </w:rPr>
        <w:t>T</w:t>
      </w:r>
      <w:r w:rsidRPr="11DF5C04">
        <w:rPr>
          <w:rFonts w:eastAsia="Times New Roman"/>
        </w:rPr>
        <w:t xml:space="preserve">here were no breaches </w:t>
      </w:r>
      <w:r>
        <w:t>of Particulate Matter 10 Microns (PM10) in 2024, at our two fixed monitoring sites at Tallaght and Lucan.</w:t>
      </w:r>
    </w:p>
    <w:p w14:paraId="2864617F" w14:textId="77777777" w:rsidR="00046A14" w:rsidRPr="006E61F3" w:rsidRDefault="00046A14" w:rsidP="00046A14">
      <w:pPr>
        <w:pStyle w:val="ListParagraph"/>
        <w:widowControl w:val="0"/>
        <w:tabs>
          <w:tab w:val="left" w:pos="525"/>
          <w:tab w:val="left" w:pos="527"/>
        </w:tabs>
        <w:autoSpaceDE w:val="0"/>
        <w:autoSpaceDN w:val="0"/>
        <w:spacing w:after="0" w:line="276" w:lineRule="auto"/>
        <w:ind w:left="360" w:firstLine="0"/>
        <w:rPr>
          <w:color w:val="000000" w:themeColor="text1"/>
          <w:szCs w:val="23"/>
        </w:rPr>
      </w:pPr>
    </w:p>
    <w:tbl>
      <w:tblPr>
        <w:tblW w:w="91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44"/>
        <w:gridCol w:w="1817"/>
      </w:tblGrid>
      <w:tr w:rsidR="00F87B1C" w14:paraId="7D3569C3" w14:textId="77777777" w:rsidTr="00180B26">
        <w:trPr>
          <w:trHeight w:val="284"/>
          <w:jc w:val="center"/>
        </w:trPr>
        <w:tc>
          <w:tcPr>
            <w:tcW w:w="7344" w:type="dxa"/>
          </w:tcPr>
          <w:p w14:paraId="6A2E8F1F" w14:textId="10A934F7" w:rsidR="00F87B1C" w:rsidRDefault="00F87B1C" w:rsidP="000C5AAB">
            <w:pPr>
              <w:pStyle w:val="TableParagraph"/>
              <w:spacing w:before="0" w:line="276" w:lineRule="auto"/>
              <w:ind w:left="149" w:right="99"/>
              <w:jc w:val="center"/>
              <w:rPr>
                <w:b/>
              </w:rPr>
            </w:pPr>
            <w:r>
              <w:rPr>
                <w:b/>
              </w:rPr>
              <w:t>Environment,</w:t>
            </w:r>
            <w:r>
              <w:rPr>
                <w:b/>
                <w:spacing w:val="-2"/>
              </w:rPr>
              <w:t xml:space="preserve"> </w:t>
            </w:r>
            <w:r>
              <w:rPr>
                <w:b/>
              </w:rPr>
              <w:t>Water</w:t>
            </w:r>
            <w:r>
              <w:rPr>
                <w:b/>
                <w:spacing w:val="-1"/>
              </w:rPr>
              <w:t xml:space="preserve"> </w:t>
            </w:r>
            <w:r>
              <w:rPr>
                <w:b/>
              </w:rPr>
              <w:t>&amp;</w:t>
            </w:r>
            <w:r>
              <w:rPr>
                <w:b/>
                <w:spacing w:val="-1"/>
              </w:rPr>
              <w:t xml:space="preserve"> </w:t>
            </w:r>
            <w:r>
              <w:rPr>
                <w:b/>
              </w:rPr>
              <w:t>Climate</w:t>
            </w:r>
            <w:r>
              <w:rPr>
                <w:b/>
                <w:spacing w:val="-3"/>
              </w:rPr>
              <w:t xml:space="preserve"> </w:t>
            </w:r>
            <w:r>
              <w:rPr>
                <w:b/>
                <w:spacing w:val="-2"/>
              </w:rPr>
              <w:t>Change</w:t>
            </w:r>
            <w:r w:rsidR="000C5AAB">
              <w:rPr>
                <w:b/>
                <w:spacing w:val="-2"/>
              </w:rPr>
              <w:t xml:space="preserve"> Key Statistics</w:t>
            </w:r>
          </w:p>
        </w:tc>
        <w:tc>
          <w:tcPr>
            <w:tcW w:w="1817" w:type="dxa"/>
          </w:tcPr>
          <w:p w14:paraId="1735922C" w14:textId="57DE04B7" w:rsidR="00F87B1C" w:rsidRDefault="000C5AAB" w:rsidP="000C5AAB">
            <w:pPr>
              <w:pStyle w:val="TableParagraph"/>
              <w:spacing w:before="0" w:line="276" w:lineRule="auto"/>
              <w:jc w:val="center"/>
              <w:rPr>
                <w:rFonts w:ascii="Times New Roman"/>
                <w:sz w:val="20"/>
              </w:rPr>
            </w:pPr>
            <w:r>
              <w:rPr>
                <w:b/>
              </w:rPr>
              <w:t>2024</w:t>
            </w:r>
            <w:r>
              <w:rPr>
                <w:b/>
                <w:spacing w:val="-1"/>
              </w:rPr>
              <w:t xml:space="preserve"> </w:t>
            </w:r>
            <w:r>
              <w:rPr>
                <w:b/>
                <w:spacing w:val="-2"/>
              </w:rPr>
              <w:t>Totals</w:t>
            </w:r>
          </w:p>
        </w:tc>
      </w:tr>
      <w:tr w:rsidR="00F87B1C" w14:paraId="7B5E81FE" w14:textId="77777777" w:rsidTr="00180B26">
        <w:trPr>
          <w:trHeight w:val="284"/>
          <w:jc w:val="center"/>
        </w:trPr>
        <w:tc>
          <w:tcPr>
            <w:tcW w:w="7344" w:type="dxa"/>
          </w:tcPr>
          <w:p w14:paraId="3A8BF4EC" w14:textId="6D32C151" w:rsidR="00F87B1C" w:rsidRDefault="00F87B1C" w:rsidP="000C5AAB">
            <w:pPr>
              <w:pStyle w:val="TableParagraph"/>
              <w:spacing w:before="0" w:line="276" w:lineRule="auto"/>
              <w:ind w:left="149" w:right="99"/>
              <w:jc w:val="both"/>
            </w:pPr>
            <w:r>
              <w:t>Grass</w:t>
            </w:r>
            <w:r>
              <w:rPr>
                <w:spacing w:val="-5"/>
              </w:rPr>
              <w:t xml:space="preserve"> </w:t>
            </w:r>
            <w:r>
              <w:t>cut</w:t>
            </w:r>
            <w:r>
              <w:rPr>
                <w:spacing w:val="-5"/>
              </w:rPr>
              <w:t xml:space="preserve"> </w:t>
            </w:r>
            <w:r w:rsidR="009057F7">
              <w:rPr>
                <w:spacing w:val="-5"/>
              </w:rPr>
              <w:t>(h</w:t>
            </w:r>
            <w:r>
              <w:rPr>
                <w:spacing w:val="-2"/>
              </w:rPr>
              <w:t>ectares</w:t>
            </w:r>
            <w:r w:rsidR="009057F7">
              <w:rPr>
                <w:spacing w:val="-2"/>
              </w:rPr>
              <w:t>)</w:t>
            </w:r>
          </w:p>
        </w:tc>
        <w:tc>
          <w:tcPr>
            <w:tcW w:w="1817" w:type="dxa"/>
          </w:tcPr>
          <w:p w14:paraId="263FDF19" w14:textId="321B901B" w:rsidR="00F87B1C" w:rsidRDefault="00FE32CA" w:rsidP="00FE32CA">
            <w:pPr>
              <w:pStyle w:val="TableParagraph"/>
              <w:spacing w:before="0" w:line="276" w:lineRule="auto"/>
              <w:jc w:val="center"/>
            </w:pPr>
            <w:r>
              <w:t>7,236</w:t>
            </w:r>
          </w:p>
        </w:tc>
      </w:tr>
      <w:tr w:rsidR="00F87B1C" w14:paraId="47364121" w14:textId="77777777" w:rsidTr="00180B26">
        <w:trPr>
          <w:trHeight w:val="284"/>
          <w:jc w:val="center"/>
        </w:trPr>
        <w:tc>
          <w:tcPr>
            <w:tcW w:w="7344" w:type="dxa"/>
          </w:tcPr>
          <w:p w14:paraId="73ADEB26" w14:textId="77777777" w:rsidR="00F87B1C" w:rsidRDefault="00F87B1C" w:rsidP="000C5AAB">
            <w:pPr>
              <w:pStyle w:val="TableParagraph"/>
              <w:spacing w:before="0" w:line="276" w:lineRule="auto"/>
              <w:ind w:left="149" w:right="99"/>
              <w:jc w:val="both"/>
            </w:pPr>
            <w:r>
              <w:rPr>
                <w:spacing w:val="-4"/>
              </w:rPr>
              <w:t>Trees</w:t>
            </w:r>
            <w:r>
              <w:rPr>
                <w:spacing w:val="-7"/>
              </w:rPr>
              <w:t xml:space="preserve"> </w:t>
            </w:r>
            <w:r>
              <w:rPr>
                <w:spacing w:val="-2"/>
              </w:rPr>
              <w:t>pruned</w:t>
            </w:r>
          </w:p>
        </w:tc>
        <w:tc>
          <w:tcPr>
            <w:tcW w:w="1817" w:type="dxa"/>
          </w:tcPr>
          <w:p w14:paraId="72231700" w14:textId="23D37CDB" w:rsidR="00F87B1C" w:rsidRDefault="00A1237A" w:rsidP="00FE32CA">
            <w:pPr>
              <w:pStyle w:val="TableParagraph"/>
              <w:spacing w:before="0" w:line="276" w:lineRule="auto"/>
              <w:jc w:val="center"/>
            </w:pPr>
            <w:r>
              <w:t>10,927</w:t>
            </w:r>
          </w:p>
        </w:tc>
      </w:tr>
      <w:tr w:rsidR="00F87B1C" w14:paraId="3FE306F2" w14:textId="77777777" w:rsidTr="00180B26">
        <w:trPr>
          <w:trHeight w:val="284"/>
          <w:jc w:val="center"/>
        </w:trPr>
        <w:tc>
          <w:tcPr>
            <w:tcW w:w="7344" w:type="dxa"/>
          </w:tcPr>
          <w:p w14:paraId="076D58A6" w14:textId="77777777" w:rsidR="00F87B1C" w:rsidRDefault="00F87B1C" w:rsidP="000C5AAB">
            <w:pPr>
              <w:pStyle w:val="TableParagraph"/>
              <w:spacing w:before="0" w:line="276" w:lineRule="auto"/>
              <w:ind w:left="149" w:right="99"/>
              <w:jc w:val="both"/>
            </w:pPr>
            <w:r>
              <w:rPr>
                <w:spacing w:val="-4"/>
              </w:rPr>
              <w:t>Trees</w:t>
            </w:r>
            <w:r>
              <w:rPr>
                <w:spacing w:val="-7"/>
              </w:rPr>
              <w:t xml:space="preserve"> </w:t>
            </w:r>
            <w:r>
              <w:rPr>
                <w:spacing w:val="-2"/>
              </w:rPr>
              <w:t>planted</w:t>
            </w:r>
          </w:p>
        </w:tc>
        <w:tc>
          <w:tcPr>
            <w:tcW w:w="1817" w:type="dxa"/>
          </w:tcPr>
          <w:p w14:paraId="08EE7AA0" w14:textId="18AFE4FA" w:rsidR="00F87B1C" w:rsidRDefault="007E6404" w:rsidP="00FE32CA">
            <w:pPr>
              <w:pStyle w:val="TableParagraph"/>
              <w:spacing w:before="0" w:line="276" w:lineRule="auto"/>
              <w:jc w:val="center"/>
            </w:pPr>
            <w:r>
              <w:t>3,</w:t>
            </w:r>
            <w:r w:rsidR="00EA57C1">
              <w:t>651</w:t>
            </w:r>
          </w:p>
        </w:tc>
      </w:tr>
      <w:tr w:rsidR="00F87B1C" w14:paraId="14713D7B" w14:textId="77777777" w:rsidTr="00180B26">
        <w:trPr>
          <w:trHeight w:val="284"/>
          <w:jc w:val="center"/>
        </w:trPr>
        <w:tc>
          <w:tcPr>
            <w:tcW w:w="7344" w:type="dxa"/>
          </w:tcPr>
          <w:p w14:paraId="038E3BF2" w14:textId="77777777" w:rsidR="00F87B1C" w:rsidRDefault="00F87B1C" w:rsidP="000C5AAB">
            <w:pPr>
              <w:pStyle w:val="TableParagraph"/>
              <w:spacing w:before="0" w:line="276" w:lineRule="auto"/>
              <w:ind w:left="149" w:right="99"/>
              <w:jc w:val="both"/>
            </w:pPr>
            <w:r>
              <w:rPr>
                <w:spacing w:val="-4"/>
              </w:rPr>
              <w:t>Plastic</w:t>
            </w:r>
            <w:r>
              <w:rPr>
                <w:spacing w:val="-6"/>
              </w:rPr>
              <w:t xml:space="preserve"> </w:t>
            </w:r>
            <w:r>
              <w:rPr>
                <w:spacing w:val="-4"/>
              </w:rPr>
              <w:t>bottles saved</w:t>
            </w:r>
            <w:r>
              <w:rPr>
                <w:spacing w:val="-6"/>
              </w:rPr>
              <w:t xml:space="preserve"> </w:t>
            </w:r>
            <w:r>
              <w:rPr>
                <w:spacing w:val="-4"/>
              </w:rPr>
              <w:t>through</w:t>
            </w:r>
            <w:r>
              <w:rPr>
                <w:spacing w:val="-3"/>
              </w:rPr>
              <w:t xml:space="preserve"> </w:t>
            </w:r>
            <w:proofErr w:type="gramStart"/>
            <w:r>
              <w:rPr>
                <w:spacing w:val="-4"/>
              </w:rPr>
              <w:t>use</w:t>
            </w:r>
            <w:proofErr w:type="gramEnd"/>
            <w:r>
              <w:rPr>
                <w:spacing w:val="-4"/>
              </w:rPr>
              <w:t xml:space="preserve"> of</w:t>
            </w:r>
            <w:r>
              <w:rPr>
                <w:spacing w:val="-3"/>
              </w:rPr>
              <w:t xml:space="preserve"> </w:t>
            </w:r>
            <w:r>
              <w:rPr>
                <w:spacing w:val="-4"/>
              </w:rPr>
              <w:t>drinking</w:t>
            </w:r>
            <w:r>
              <w:rPr>
                <w:spacing w:val="-5"/>
              </w:rPr>
              <w:t xml:space="preserve"> </w:t>
            </w:r>
            <w:r>
              <w:rPr>
                <w:spacing w:val="-4"/>
              </w:rPr>
              <w:t>water</w:t>
            </w:r>
            <w:r>
              <w:rPr>
                <w:spacing w:val="-6"/>
              </w:rPr>
              <w:t xml:space="preserve"> </w:t>
            </w:r>
            <w:r>
              <w:rPr>
                <w:spacing w:val="-4"/>
              </w:rPr>
              <w:t>from</w:t>
            </w:r>
            <w:r>
              <w:rPr>
                <w:spacing w:val="-5"/>
              </w:rPr>
              <w:t xml:space="preserve"> </w:t>
            </w:r>
            <w:r>
              <w:rPr>
                <w:spacing w:val="-4"/>
              </w:rPr>
              <w:t>fountains</w:t>
            </w:r>
          </w:p>
        </w:tc>
        <w:tc>
          <w:tcPr>
            <w:tcW w:w="1817" w:type="dxa"/>
          </w:tcPr>
          <w:p w14:paraId="029E7814" w14:textId="6504235C" w:rsidR="00F87B1C" w:rsidRDefault="007E6404" w:rsidP="00FE32CA">
            <w:pPr>
              <w:pStyle w:val="TableParagraph"/>
              <w:spacing w:before="0" w:line="276" w:lineRule="auto"/>
              <w:jc w:val="center"/>
            </w:pPr>
            <w:r>
              <w:t>96,867</w:t>
            </w:r>
          </w:p>
        </w:tc>
      </w:tr>
      <w:tr w:rsidR="00F87B1C" w14:paraId="7D1125B7" w14:textId="77777777" w:rsidTr="00180B26">
        <w:trPr>
          <w:trHeight w:val="284"/>
          <w:jc w:val="center"/>
        </w:trPr>
        <w:tc>
          <w:tcPr>
            <w:tcW w:w="7344" w:type="dxa"/>
          </w:tcPr>
          <w:p w14:paraId="57506396" w14:textId="7E92A120" w:rsidR="00F87B1C" w:rsidRDefault="00F87B1C" w:rsidP="000C5AAB">
            <w:pPr>
              <w:pStyle w:val="TableParagraph"/>
              <w:spacing w:before="0" w:line="276" w:lineRule="auto"/>
              <w:ind w:left="149" w:right="99"/>
              <w:jc w:val="both"/>
            </w:pPr>
            <w:r>
              <w:rPr>
                <w:spacing w:val="-4"/>
              </w:rPr>
              <w:t>Biodiverse</w:t>
            </w:r>
            <w:r>
              <w:rPr>
                <w:spacing w:val="-7"/>
              </w:rPr>
              <w:t xml:space="preserve"> </w:t>
            </w:r>
            <w:r w:rsidR="00F65C9C">
              <w:rPr>
                <w:spacing w:val="-4"/>
              </w:rPr>
              <w:t>m</w:t>
            </w:r>
            <w:r>
              <w:rPr>
                <w:spacing w:val="-4"/>
              </w:rPr>
              <w:t>eadowland</w:t>
            </w:r>
            <w:r>
              <w:rPr>
                <w:spacing w:val="-8"/>
              </w:rPr>
              <w:t xml:space="preserve"> </w:t>
            </w:r>
            <w:r>
              <w:rPr>
                <w:spacing w:val="-4"/>
              </w:rPr>
              <w:t>maintained</w:t>
            </w:r>
            <w:r>
              <w:rPr>
                <w:spacing w:val="-9"/>
              </w:rPr>
              <w:t xml:space="preserve"> </w:t>
            </w:r>
            <w:r>
              <w:rPr>
                <w:spacing w:val="-4"/>
              </w:rPr>
              <w:t>(hectares)</w:t>
            </w:r>
          </w:p>
        </w:tc>
        <w:tc>
          <w:tcPr>
            <w:tcW w:w="1817" w:type="dxa"/>
          </w:tcPr>
          <w:p w14:paraId="42096269" w14:textId="2E370152" w:rsidR="00F87B1C" w:rsidRDefault="007E6404" w:rsidP="00FE32CA">
            <w:pPr>
              <w:pStyle w:val="TableParagraph"/>
              <w:spacing w:before="0" w:line="276" w:lineRule="auto"/>
              <w:jc w:val="center"/>
            </w:pPr>
            <w:r>
              <w:t>195</w:t>
            </w:r>
          </w:p>
        </w:tc>
      </w:tr>
      <w:tr w:rsidR="00F87B1C" w14:paraId="4DDFFF9D" w14:textId="77777777" w:rsidTr="00180B26">
        <w:trPr>
          <w:trHeight w:val="284"/>
          <w:jc w:val="center"/>
        </w:trPr>
        <w:tc>
          <w:tcPr>
            <w:tcW w:w="7344" w:type="dxa"/>
          </w:tcPr>
          <w:p w14:paraId="15E0D9F0" w14:textId="6F779091" w:rsidR="00F87B1C" w:rsidRDefault="00F87B1C" w:rsidP="000C5AAB">
            <w:pPr>
              <w:pStyle w:val="TableParagraph"/>
              <w:spacing w:before="0" w:line="276" w:lineRule="auto"/>
              <w:ind w:left="149" w:right="99"/>
              <w:jc w:val="both"/>
            </w:pPr>
            <w:r>
              <w:rPr>
                <w:spacing w:val="-2"/>
              </w:rPr>
              <w:t>Climate</w:t>
            </w:r>
            <w:r>
              <w:rPr>
                <w:spacing w:val="-10"/>
              </w:rPr>
              <w:t xml:space="preserve"> </w:t>
            </w:r>
            <w:r w:rsidR="006B1931">
              <w:rPr>
                <w:spacing w:val="-2"/>
              </w:rPr>
              <w:t>a</w:t>
            </w:r>
            <w:r>
              <w:rPr>
                <w:spacing w:val="-2"/>
              </w:rPr>
              <w:t>ction</w:t>
            </w:r>
            <w:r>
              <w:rPr>
                <w:spacing w:val="-8"/>
              </w:rPr>
              <w:t xml:space="preserve"> </w:t>
            </w:r>
            <w:r>
              <w:rPr>
                <w:spacing w:val="-2"/>
              </w:rPr>
              <w:t>Initiatives</w:t>
            </w:r>
            <w:r>
              <w:rPr>
                <w:spacing w:val="-10"/>
              </w:rPr>
              <w:t xml:space="preserve"> </w:t>
            </w:r>
            <w:r>
              <w:rPr>
                <w:spacing w:val="-2"/>
              </w:rPr>
              <w:t>under</w:t>
            </w:r>
            <w:r>
              <w:rPr>
                <w:spacing w:val="-10"/>
              </w:rPr>
              <w:t xml:space="preserve"> </w:t>
            </w:r>
            <w:r>
              <w:rPr>
                <w:spacing w:val="-2"/>
              </w:rPr>
              <w:t>Climate</w:t>
            </w:r>
            <w:r>
              <w:rPr>
                <w:spacing w:val="-9"/>
              </w:rPr>
              <w:t xml:space="preserve"> </w:t>
            </w:r>
            <w:r>
              <w:rPr>
                <w:spacing w:val="-2"/>
              </w:rPr>
              <w:t>Action</w:t>
            </w:r>
            <w:r>
              <w:rPr>
                <w:spacing w:val="-9"/>
              </w:rPr>
              <w:t xml:space="preserve"> </w:t>
            </w:r>
            <w:r>
              <w:rPr>
                <w:spacing w:val="-4"/>
              </w:rPr>
              <w:t>Plan</w:t>
            </w:r>
          </w:p>
        </w:tc>
        <w:tc>
          <w:tcPr>
            <w:tcW w:w="1817" w:type="dxa"/>
          </w:tcPr>
          <w:p w14:paraId="6E159AC9" w14:textId="36F53FA2" w:rsidR="00F87B1C" w:rsidRDefault="007E6404" w:rsidP="00FE32CA">
            <w:pPr>
              <w:pStyle w:val="TableParagraph"/>
              <w:spacing w:before="0" w:line="276" w:lineRule="auto"/>
              <w:jc w:val="center"/>
            </w:pPr>
            <w:r>
              <w:t>129</w:t>
            </w:r>
          </w:p>
        </w:tc>
      </w:tr>
      <w:tr w:rsidR="00F87B1C" w14:paraId="3FEF7A10" w14:textId="77777777" w:rsidTr="00180B26">
        <w:trPr>
          <w:trHeight w:val="284"/>
          <w:jc w:val="center"/>
        </w:trPr>
        <w:tc>
          <w:tcPr>
            <w:tcW w:w="7344" w:type="dxa"/>
          </w:tcPr>
          <w:p w14:paraId="255E07C6" w14:textId="22DE6C56" w:rsidR="00F87B1C" w:rsidRDefault="00F87B1C" w:rsidP="000C5AAB">
            <w:pPr>
              <w:pStyle w:val="TableParagraph"/>
              <w:spacing w:before="0" w:line="276" w:lineRule="auto"/>
              <w:ind w:left="149" w:right="99"/>
              <w:jc w:val="both"/>
            </w:pPr>
            <w:r>
              <w:rPr>
                <w:spacing w:val="-4"/>
              </w:rPr>
              <w:t>Local</w:t>
            </w:r>
            <w:r>
              <w:rPr>
                <w:spacing w:val="-10"/>
              </w:rPr>
              <w:t xml:space="preserve"> </w:t>
            </w:r>
            <w:r w:rsidR="006B1931">
              <w:rPr>
                <w:spacing w:val="-4"/>
              </w:rPr>
              <w:t>a</w:t>
            </w:r>
            <w:r>
              <w:rPr>
                <w:spacing w:val="-4"/>
              </w:rPr>
              <w:t>uthority</w:t>
            </w:r>
            <w:r>
              <w:rPr>
                <w:spacing w:val="-9"/>
              </w:rPr>
              <w:t xml:space="preserve"> </w:t>
            </w:r>
            <w:r w:rsidR="006B1931">
              <w:rPr>
                <w:spacing w:val="-4"/>
              </w:rPr>
              <w:t>e</w:t>
            </w:r>
            <w:r>
              <w:rPr>
                <w:spacing w:val="-4"/>
              </w:rPr>
              <w:t>nergy</w:t>
            </w:r>
            <w:r>
              <w:rPr>
                <w:spacing w:val="-9"/>
              </w:rPr>
              <w:t xml:space="preserve"> </w:t>
            </w:r>
            <w:r w:rsidR="006B1931">
              <w:rPr>
                <w:spacing w:val="-4"/>
              </w:rPr>
              <w:t>s</w:t>
            </w:r>
            <w:r>
              <w:rPr>
                <w:spacing w:val="-4"/>
              </w:rPr>
              <w:t>avings</w:t>
            </w:r>
          </w:p>
        </w:tc>
        <w:tc>
          <w:tcPr>
            <w:tcW w:w="1817" w:type="dxa"/>
          </w:tcPr>
          <w:p w14:paraId="235CF353" w14:textId="1EBD5AD2" w:rsidR="00F87B1C" w:rsidRDefault="000D752A" w:rsidP="00FE32CA">
            <w:pPr>
              <w:pStyle w:val="TableParagraph"/>
              <w:spacing w:before="0" w:line="276" w:lineRule="auto"/>
              <w:jc w:val="center"/>
            </w:pPr>
            <w:r>
              <w:t>45.5</w:t>
            </w:r>
          </w:p>
        </w:tc>
      </w:tr>
      <w:tr w:rsidR="00F87B1C" w14:paraId="3743A284" w14:textId="77777777" w:rsidTr="00180B26">
        <w:trPr>
          <w:trHeight w:val="284"/>
          <w:jc w:val="center"/>
        </w:trPr>
        <w:tc>
          <w:tcPr>
            <w:tcW w:w="7344" w:type="dxa"/>
          </w:tcPr>
          <w:p w14:paraId="612A9984" w14:textId="77777777" w:rsidR="00F87B1C" w:rsidRDefault="00F87B1C" w:rsidP="000C5AAB">
            <w:pPr>
              <w:pStyle w:val="TableParagraph"/>
              <w:spacing w:before="0" w:line="276" w:lineRule="auto"/>
              <w:ind w:left="149" w:right="99"/>
              <w:jc w:val="both"/>
            </w:pPr>
            <w:r>
              <w:t>Environmental/climate</w:t>
            </w:r>
            <w:r>
              <w:rPr>
                <w:spacing w:val="-3"/>
              </w:rPr>
              <w:t xml:space="preserve"> </w:t>
            </w:r>
            <w:r>
              <w:t>action</w:t>
            </w:r>
            <w:r>
              <w:rPr>
                <w:spacing w:val="-4"/>
              </w:rPr>
              <w:t xml:space="preserve"> </w:t>
            </w:r>
            <w:r>
              <w:t>awareness</w:t>
            </w:r>
            <w:r>
              <w:rPr>
                <w:spacing w:val="-3"/>
              </w:rPr>
              <w:t xml:space="preserve"> </w:t>
            </w:r>
            <w:r>
              <w:rPr>
                <w:spacing w:val="-2"/>
              </w:rPr>
              <w:t>sessions</w:t>
            </w:r>
          </w:p>
        </w:tc>
        <w:tc>
          <w:tcPr>
            <w:tcW w:w="1817" w:type="dxa"/>
          </w:tcPr>
          <w:p w14:paraId="3A5057C3" w14:textId="56534A76" w:rsidR="00F87B1C" w:rsidRDefault="00362906" w:rsidP="00FE32CA">
            <w:pPr>
              <w:pStyle w:val="TableParagraph"/>
              <w:spacing w:before="0" w:line="276" w:lineRule="auto"/>
              <w:jc w:val="center"/>
            </w:pPr>
            <w:r>
              <w:t>480</w:t>
            </w:r>
          </w:p>
        </w:tc>
      </w:tr>
      <w:tr w:rsidR="00F87B1C" w14:paraId="2D2EE1CA" w14:textId="77777777" w:rsidTr="00180B26">
        <w:trPr>
          <w:trHeight w:val="284"/>
          <w:jc w:val="center"/>
        </w:trPr>
        <w:tc>
          <w:tcPr>
            <w:tcW w:w="7344" w:type="dxa"/>
          </w:tcPr>
          <w:p w14:paraId="38BE7127" w14:textId="710B51A1" w:rsidR="00F87B1C" w:rsidRDefault="00F87B1C" w:rsidP="000C5AAB">
            <w:pPr>
              <w:pStyle w:val="TableParagraph"/>
              <w:spacing w:before="0" w:line="276" w:lineRule="auto"/>
              <w:ind w:left="149" w:right="99"/>
              <w:jc w:val="both"/>
            </w:pPr>
            <w:r>
              <w:t>New</w:t>
            </w:r>
            <w:r>
              <w:rPr>
                <w:spacing w:val="-13"/>
              </w:rPr>
              <w:t xml:space="preserve"> </w:t>
            </w:r>
            <w:r>
              <w:t>recreational</w:t>
            </w:r>
            <w:r>
              <w:rPr>
                <w:spacing w:val="-12"/>
              </w:rPr>
              <w:t xml:space="preserve"> </w:t>
            </w:r>
            <w:r>
              <w:t>facilities</w:t>
            </w:r>
            <w:r>
              <w:rPr>
                <w:spacing w:val="-13"/>
              </w:rPr>
              <w:t xml:space="preserve"> </w:t>
            </w:r>
            <w:r>
              <w:t>(</w:t>
            </w:r>
            <w:r w:rsidR="4587439E">
              <w:t>e.g.,</w:t>
            </w:r>
            <w:r>
              <w:rPr>
                <w:spacing w:val="-12"/>
              </w:rPr>
              <w:t xml:space="preserve"> </w:t>
            </w:r>
            <w:proofErr w:type="spellStart"/>
            <w:r>
              <w:t>playspaces</w:t>
            </w:r>
            <w:proofErr w:type="spellEnd"/>
            <w:r>
              <w:t>,</w:t>
            </w:r>
            <w:r>
              <w:rPr>
                <w:spacing w:val="-12"/>
              </w:rPr>
              <w:t xml:space="preserve"> </w:t>
            </w:r>
            <w:proofErr w:type="spellStart"/>
            <w:proofErr w:type="gramStart"/>
            <w:r>
              <w:t>teenspaces</w:t>
            </w:r>
            <w:proofErr w:type="spellEnd"/>
            <w:proofErr w:type="gramEnd"/>
            <w:r>
              <w:t>,</w:t>
            </w:r>
            <w:r>
              <w:rPr>
                <w:spacing w:val="-11"/>
              </w:rPr>
              <w:t xml:space="preserve"> </w:t>
            </w:r>
            <w:r>
              <w:t>pitches</w:t>
            </w:r>
            <w:r>
              <w:rPr>
                <w:spacing w:val="-12"/>
              </w:rPr>
              <w:t xml:space="preserve"> </w:t>
            </w:r>
            <w:r>
              <w:rPr>
                <w:spacing w:val="-2"/>
              </w:rPr>
              <w:t>etc.)</w:t>
            </w:r>
          </w:p>
        </w:tc>
        <w:tc>
          <w:tcPr>
            <w:tcW w:w="1817" w:type="dxa"/>
          </w:tcPr>
          <w:p w14:paraId="7D07BEC7" w14:textId="79090CD4" w:rsidR="00F87B1C" w:rsidRDefault="00362906" w:rsidP="00FE32CA">
            <w:pPr>
              <w:pStyle w:val="TableParagraph"/>
              <w:spacing w:before="0" w:line="276" w:lineRule="auto"/>
              <w:jc w:val="center"/>
            </w:pPr>
            <w:r>
              <w:t>27</w:t>
            </w:r>
          </w:p>
        </w:tc>
      </w:tr>
      <w:tr w:rsidR="00F87B1C" w14:paraId="3D24F144" w14:textId="77777777" w:rsidTr="00180B26">
        <w:trPr>
          <w:trHeight w:val="284"/>
          <w:jc w:val="center"/>
        </w:trPr>
        <w:tc>
          <w:tcPr>
            <w:tcW w:w="7344" w:type="dxa"/>
          </w:tcPr>
          <w:p w14:paraId="7A98C1D8" w14:textId="09A2D81B" w:rsidR="00F87B1C" w:rsidRDefault="00F87B1C" w:rsidP="000C5AAB">
            <w:pPr>
              <w:pStyle w:val="TableParagraph"/>
              <w:spacing w:before="0" w:line="276" w:lineRule="auto"/>
              <w:ind w:left="149" w:right="99"/>
              <w:jc w:val="both"/>
            </w:pPr>
            <w:r>
              <w:rPr>
                <w:spacing w:val="-2"/>
              </w:rPr>
              <w:t>Pollution</w:t>
            </w:r>
            <w:r>
              <w:rPr>
                <w:spacing w:val="-8"/>
              </w:rPr>
              <w:t xml:space="preserve"> </w:t>
            </w:r>
            <w:r w:rsidR="009057F7">
              <w:rPr>
                <w:spacing w:val="-8"/>
              </w:rPr>
              <w:t>c</w:t>
            </w:r>
            <w:r>
              <w:rPr>
                <w:spacing w:val="-2"/>
              </w:rPr>
              <w:t>ases</w:t>
            </w:r>
            <w:r>
              <w:rPr>
                <w:spacing w:val="-8"/>
              </w:rPr>
              <w:t xml:space="preserve"> </w:t>
            </w:r>
            <w:r>
              <w:rPr>
                <w:spacing w:val="-2"/>
              </w:rPr>
              <w:t>that</w:t>
            </w:r>
            <w:r>
              <w:rPr>
                <w:spacing w:val="-9"/>
              </w:rPr>
              <w:t xml:space="preserve"> </w:t>
            </w:r>
            <w:r>
              <w:rPr>
                <w:spacing w:val="-2"/>
              </w:rPr>
              <w:t>were</w:t>
            </w:r>
            <w:r>
              <w:rPr>
                <w:spacing w:val="-8"/>
              </w:rPr>
              <w:t xml:space="preserve"> </w:t>
            </w:r>
            <w:r>
              <w:rPr>
                <w:spacing w:val="-2"/>
              </w:rPr>
              <w:t>the</w:t>
            </w:r>
            <w:r>
              <w:rPr>
                <w:spacing w:val="-8"/>
              </w:rPr>
              <w:t xml:space="preserve"> </w:t>
            </w:r>
            <w:r>
              <w:rPr>
                <w:spacing w:val="-2"/>
              </w:rPr>
              <w:t>subject</w:t>
            </w:r>
            <w:r>
              <w:rPr>
                <w:spacing w:val="-9"/>
              </w:rPr>
              <w:t xml:space="preserve"> </w:t>
            </w:r>
            <w:r>
              <w:rPr>
                <w:spacing w:val="-2"/>
              </w:rPr>
              <w:t>of</w:t>
            </w:r>
            <w:r>
              <w:rPr>
                <w:spacing w:val="-7"/>
              </w:rPr>
              <w:t xml:space="preserve"> </w:t>
            </w:r>
            <w:r>
              <w:rPr>
                <w:spacing w:val="-2"/>
              </w:rPr>
              <w:t>a</w:t>
            </w:r>
            <w:r>
              <w:rPr>
                <w:spacing w:val="-8"/>
              </w:rPr>
              <w:t xml:space="preserve"> </w:t>
            </w:r>
            <w:r>
              <w:rPr>
                <w:spacing w:val="-2"/>
              </w:rPr>
              <w:t>complaint</w:t>
            </w:r>
          </w:p>
        </w:tc>
        <w:tc>
          <w:tcPr>
            <w:tcW w:w="1817" w:type="dxa"/>
          </w:tcPr>
          <w:p w14:paraId="515175E7" w14:textId="7372AF1D" w:rsidR="00F87B1C" w:rsidRDefault="00DD1361" w:rsidP="00FE32CA">
            <w:pPr>
              <w:pStyle w:val="TableParagraph"/>
              <w:spacing w:before="0" w:line="276" w:lineRule="auto"/>
              <w:jc w:val="center"/>
            </w:pPr>
            <w:r>
              <w:t>2,647</w:t>
            </w:r>
          </w:p>
        </w:tc>
      </w:tr>
      <w:tr w:rsidR="00F87B1C" w14:paraId="4054531D" w14:textId="77777777" w:rsidTr="00180B26">
        <w:trPr>
          <w:trHeight w:val="284"/>
          <w:jc w:val="center"/>
        </w:trPr>
        <w:tc>
          <w:tcPr>
            <w:tcW w:w="7344" w:type="dxa"/>
          </w:tcPr>
          <w:p w14:paraId="4D488915" w14:textId="5DB2AA83" w:rsidR="00F87B1C" w:rsidRDefault="00F87B1C" w:rsidP="000C5AAB">
            <w:pPr>
              <w:pStyle w:val="TableParagraph"/>
              <w:spacing w:before="0" w:line="276" w:lineRule="auto"/>
              <w:ind w:left="149" w:right="99"/>
              <w:jc w:val="both"/>
            </w:pPr>
            <w:r>
              <w:t>Pollution</w:t>
            </w:r>
            <w:r>
              <w:rPr>
                <w:spacing w:val="-1"/>
              </w:rPr>
              <w:t xml:space="preserve"> </w:t>
            </w:r>
            <w:r w:rsidR="009057F7">
              <w:t>c</w:t>
            </w:r>
            <w:r>
              <w:t>ases</w:t>
            </w:r>
            <w:r>
              <w:rPr>
                <w:spacing w:val="-1"/>
              </w:rPr>
              <w:t xml:space="preserve"> </w:t>
            </w:r>
            <w:r>
              <w:rPr>
                <w:spacing w:val="-2"/>
              </w:rPr>
              <w:t>closed</w:t>
            </w:r>
          </w:p>
        </w:tc>
        <w:tc>
          <w:tcPr>
            <w:tcW w:w="1817" w:type="dxa"/>
          </w:tcPr>
          <w:p w14:paraId="72BFBA20" w14:textId="2A5ECC24" w:rsidR="00F87B1C" w:rsidRDefault="00DD1361" w:rsidP="00FE32CA">
            <w:pPr>
              <w:pStyle w:val="TableParagraph"/>
              <w:spacing w:before="0" w:line="276" w:lineRule="auto"/>
              <w:jc w:val="center"/>
            </w:pPr>
            <w:r>
              <w:t>1,610</w:t>
            </w:r>
          </w:p>
        </w:tc>
      </w:tr>
      <w:tr w:rsidR="00F87B1C" w14:paraId="6F3BE3E4" w14:textId="77777777" w:rsidTr="00180B26">
        <w:trPr>
          <w:trHeight w:val="284"/>
          <w:jc w:val="center"/>
        </w:trPr>
        <w:tc>
          <w:tcPr>
            <w:tcW w:w="7344" w:type="dxa"/>
          </w:tcPr>
          <w:p w14:paraId="7E05522D" w14:textId="23EEC496" w:rsidR="00F87B1C" w:rsidRDefault="00F87B1C" w:rsidP="000C5AAB">
            <w:pPr>
              <w:pStyle w:val="TableParagraph"/>
              <w:spacing w:before="0" w:line="276" w:lineRule="auto"/>
              <w:ind w:left="149" w:right="99"/>
              <w:jc w:val="both"/>
            </w:pPr>
            <w:r>
              <w:rPr>
                <w:spacing w:val="-2"/>
              </w:rPr>
              <w:t>Provision</w:t>
            </w:r>
            <w:r>
              <w:rPr>
                <w:spacing w:val="-8"/>
              </w:rPr>
              <w:t xml:space="preserve"> </w:t>
            </w:r>
            <w:r>
              <w:rPr>
                <w:spacing w:val="-2"/>
              </w:rPr>
              <w:t>of</w:t>
            </w:r>
            <w:r>
              <w:rPr>
                <w:spacing w:val="-8"/>
              </w:rPr>
              <w:t xml:space="preserve"> </w:t>
            </w:r>
            <w:r>
              <w:rPr>
                <w:spacing w:val="-2"/>
              </w:rPr>
              <w:t>walking</w:t>
            </w:r>
            <w:r>
              <w:rPr>
                <w:spacing w:val="-9"/>
              </w:rPr>
              <w:t xml:space="preserve"> </w:t>
            </w:r>
            <w:r>
              <w:rPr>
                <w:spacing w:val="-2"/>
              </w:rPr>
              <w:t>and</w:t>
            </w:r>
            <w:r>
              <w:rPr>
                <w:spacing w:val="-10"/>
              </w:rPr>
              <w:t xml:space="preserve"> </w:t>
            </w:r>
            <w:r>
              <w:rPr>
                <w:spacing w:val="-2"/>
              </w:rPr>
              <w:t>cycling</w:t>
            </w:r>
            <w:r>
              <w:rPr>
                <w:spacing w:val="-10"/>
              </w:rPr>
              <w:t xml:space="preserve"> </w:t>
            </w:r>
            <w:r>
              <w:rPr>
                <w:spacing w:val="-2"/>
              </w:rPr>
              <w:t>routes</w:t>
            </w:r>
            <w:r>
              <w:rPr>
                <w:spacing w:val="-8"/>
              </w:rPr>
              <w:t xml:space="preserve"> </w:t>
            </w:r>
            <w:r>
              <w:rPr>
                <w:spacing w:val="-2"/>
              </w:rPr>
              <w:t>in</w:t>
            </w:r>
            <w:r>
              <w:rPr>
                <w:spacing w:val="-8"/>
              </w:rPr>
              <w:t xml:space="preserve"> </w:t>
            </w:r>
            <w:r>
              <w:rPr>
                <w:spacing w:val="-2"/>
              </w:rPr>
              <w:t>parks/open</w:t>
            </w:r>
            <w:r>
              <w:rPr>
                <w:spacing w:val="-8"/>
              </w:rPr>
              <w:t xml:space="preserve"> </w:t>
            </w:r>
            <w:r>
              <w:rPr>
                <w:spacing w:val="-2"/>
              </w:rPr>
              <w:t>spaces</w:t>
            </w:r>
            <w:r>
              <w:rPr>
                <w:spacing w:val="-8"/>
              </w:rPr>
              <w:t xml:space="preserve"> </w:t>
            </w:r>
            <w:r>
              <w:rPr>
                <w:spacing w:val="-4"/>
              </w:rPr>
              <w:t>(</w:t>
            </w:r>
            <w:r w:rsidR="009057F7">
              <w:rPr>
                <w:spacing w:val="-4"/>
              </w:rPr>
              <w:t>k</w:t>
            </w:r>
            <w:r w:rsidR="008817B5">
              <w:rPr>
                <w:spacing w:val="-4"/>
              </w:rPr>
              <w:t>ilometers</w:t>
            </w:r>
            <w:r>
              <w:rPr>
                <w:spacing w:val="-4"/>
              </w:rPr>
              <w:t>)</w:t>
            </w:r>
          </w:p>
        </w:tc>
        <w:tc>
          <w:tcPr>
            <w:tcW w:w="1817" w:type="dxa"/>
          </w:tcPr>
          <w:p w14:paraId="2D2E95F7" w14:textId="1716CAFD" w:rsidR="00F87B1C" w:rsidRDefault="00DD1361" w:rsidP="00FE32CA">
            <w:pPr>
              <w:pStyle w:val="TableParagraph"/>
              <w:spacing w:before="0" w:line="276" w:lineRule="auto"/>
              <w:jc w:val="center"/>
            </w:pPr>
            <w:r>
              <w:t>165,031</w:t>
            </w:r>
          </w:p>
        </w:tc>
      </w:tr>
    </w:tbl>
    <w:p w14:paraId="2B98E870" w14:textId="77777777" w:rsidR="004E7F7C" w:rsidRDefault="004E7F7C" w:rsidP="00023B95">
      <w:pPr>
        <w:spacing w:after="0" w:line="276" w:lineRule="auto"/>
        <w:ind w:left="0" w:hanging="426"/>
        <w:textAlignment w:val="baseline"/>
        <w:rPr>
          <w:rFonts w:asciiTheme="minorHAnsi" w:eastAsia="Times New Roman" w:hAnsiTheme="minorHAnsi" w:cstheme="minorHAnsi"/>
          <w:color w:val="auto"/>
          <w:kern w:val="0"/>
          <w:szCs w:val="23"/>
          <w14:ligatures w14:val="none"/>
        </w:rPr>
      </w:pPr>
    </w:p>
    <w:p w14:paraId="32F780AD" w14:textId="77777777" w:rsidR="0019354D" w:rsidRDefault="0019354D" w:rsidP="00023B95">
      <w:pPr>
        <w:spacing w:after="0" w:line="276" w:lineRule="auto"/>
        <w:ind w:left="0" w:hanging="426"/>
        <w:textAlignment w:val="baseline"/>
        <w:rPr>
          <w:rFonts w:asciiTheme="minorHAnsi" w:eastAsia="Times New Roman" w:hAnsiTheme="minorHAnsi" w:cstheme="minorHAnsi"/>
          <w:color w:val="auto"/>
          <w:kern w:val="0"/>
          <w:szCs w:val="23"/>
          <w14:ligatures w14:val="none"/>
        </w:rPr>
      </w:pPr>
    </w:p>
    <w:p w14:paraId="28982C68" w14:textId="77777777" w:rsidR="00830C10" w:rsidRDefault="00830C10" w:rsidP="00023B95">
      <w:pPr>
        <w:spacing w:after="0" w:line="276" w:lineRule="auto"/>
        <w:ind w:left="0" w:hanging="426"/>
        <w:textAlignment w:val="baseline"/>
        <w:rPr>
          <w:rFonts w:asciiTheme="minorHAnsi" w:eastAsia="Times New Roman" w:hAnsiTheme="minorHAnsi" w:cstheme="minorHAnsi"/>
          <w:color w:val="auto"/>
          <w:kern w:val="0"/>
          <w:szCs w:val="23"/>
          <w14:ligatures w14:val="none"/>
        </w:rPr>
      </w:pPr>
    </w:p>
    <w:p w14:paraId="33ABDCD8" w14:textId="171C3C42" w:rsidR="008E4E5E" w:rsidRPr="003E4E01" w:rsidRDefault="00F87B1C" w:rsidP="009F27B8">
      <w:pPr>
        <w:spacing w:after="0" w:line="276" w:lineRule="auto"/>
        <w:ind w:left="0" w:hanging="426"/>
        <w:jc w:val="center"/>
        <w:textAlignment w:val="baseline"/>
        <w:rPr>
          <w:rFonts w:asciiTheme="minorHAnsi" w:eastAsia="Times New Roman" w:hAnsiTheme="minorHAnsi" w:cstheme="minorHAnsi"/>
          <w:color w:val="auto"/>
          <w:kern w:val="0"/>
          <w:szCs w:val="23"/>
          <w14:ligatures w14:val="none"/>
        </w:rPr>
      </w:pPr>
      <w:r>
        <w:rPr>
          <w:rFonts w:asciiTheme="minorHAnsi" w:eastAsia="Times New Roman" w:hAnsiTheme="minorHAnsi" w:cstheme="minorHAnsi"/>
          <w:b/>
          <w:bCs/>
          <w:color w:val="auto"/>
          <w:kern w:val="0"/>
          <w:szCs w:val="23"/>
          <w14:ligatures w14:val="none"/>
        </w:rPr>
        <w:t>O</w:t>
      </w:r>
      <w:r w:rsidR="008E4E5E" w:rsidRPr="003E4E01">
        <w:rPr>
          <w:rFonts w:asciiTheme="minorHAnsi" w:eastAsia="Times New Roman" w:hAnsiTheme="minorHAnsi" w:cstheme="minorHAnsi"/>
          <w:b/>
          <w:bCs/>
          <w:color w:val="auto"/>
          <w:kern w:val="0"/>
          <w:szCs w:val="23"/>
          <w14:ligatures w14:val="none"/>
        </w:rPr>
        <w:t>rganisational Capacity and Accountability</w:t>
      </w:r>
    </w:p>
    <w:p w14:paraId="323C0F09" w14:textId="77777777" w:rsidR="00FA55C3" w:rsidRDefault="00FA55C3" w:rsidP="000D6A26">
      <w:pPr>
        <w:spacing w:after="0" w:line="276" w:lineRule="auto"/>
        <w:ind w:left="0" w:hanging="426"/>
        <w:textAlignment w:val="baseline"/>
        <w:rPr>
          <w:rFonts w:asciiTheme="minorHAnsi" w:eastAsia="Times New Roman" w:hAnsiTheme="minorHAnsi" w:cstheme="minorHAnsi"/>
          <w:color w:val="auto"/>
          <w:kern w:val="0"/>
          <w:szCs w:val="23"/>
          <w14:ligatures w14:val="none"/>
        </w:rPr>
      </w:pPr>
    </w:p>
    <w:p w14:paraId="47FB1ED4" w14:textId="5F659FC6" w:rsidR="008E4E5E" w:rsidRPr="003E4E01" w:rsidRDefault="008E4E5E" w:rsidP="009F27B8">
      <w:pPr>
        <w:spacing w:after="0" w:line="276" w:lineRule="auto"/>
        <w:ind w:left="0" w:firstLine="0"/>
        <w:textAlignment w:val="baseline"/>
        <w:rPr>
          <w:rFonts w:asciiTheme="minorHAnsi" w:eastAsia="Times New Roman" w:hAnsiTheme="minorHAnsi" w:cstheme="minorHAnsi"/>
          <w:color w:val="auto"/>
          <w:kern w:val="0"/>
          <w:szCs w:val="23"/>
          <w14:ligatures w14:val="none"/>
        </w:rPr>
      </w:pPr>
      <w:r w:rsidRPr="003E4E01">
        <w:rPr>
          <w:rFonts w:asciiTheme="minorHAnsi" w:eastAsia="Times New Roman" w:hAnsiTheme="minorHAnsi" w:cstheme="minorHAnsi"/>
          <w:b/>
          <w:bCs/>
          <w:color w:val="auto"/>
          <w:kern w:val="0"/>
          <w:szCs w:val="23"/>
          <w:lang w:val="en-GB"/>
          <w14:ligatures w14:val="none"/>
        </w:rPr>
        <w:t>Support the policy and leadership role of councillors in providing effective local government</w:t>
      </w:r>
    </w:p>
    <w:p w14:paraId="54231B82" w14:textId="77777777" w:rsidR="000513D8" w:rsidRPr="008D7F4A" w:rsidRDefault="000513D8" w:rsidP="003B1BF8">
      <w:pPr>
        <w:pStyle w:val="ListParagraph"/>
        <w:numPr>
          <w:ilvl w:val="0"/>
          <w:numId w:val="5"/>
        </w:numPr>
        <w:spacing w:after="0" w:line="276" w:lineRule="auto"/>
        <w:ind w:left="357" w:hanging="357"/>
        <w:mirrorIndents/>
        <w:rPr>
          <w:szCs w:val="23"/>
        </w:rPr>
      </w:pPr>
      <w:r w:rsidRPr="008D7F4A">
        <w:rPr>
          <w:rFonts w:eastAsia="Arial"/>
          <w:szCs w:val="23"/>
        </w:rPr>
        <w:t>The local government election process was managed to ensure the integrity, transparency, and efficiency of the elections in accordance with the relevant legislation</w:t>
      </w:r>
      <w:r w:rsidRPr="008D7F4A">
        <w:rPr>
          <w:szCs w:val="23"/>
        </w:rPr>
        <w:t>. 111 candidates ran for election to 40 seats with average voter turnout of 41.4% across the county.</w:t>
      </w:r>
    </w:p>
    <w:p w14:paraId="61E33872" w14:textId="4A031089" w:rsidR="000513D8" w:rsidRPr="008D7F4A" w:rsidRDefault="000513D8" w:rsidP="003B1BF8">
      <w:pPr>
        <w:pStyle w:val="ListParagraph"/>
        <w:numPr>
          <w:ilvl w:val="0"/>
          <w:numId w:val="5"/>
        </w:numPr>
        <w:spacing w:after="0" w:line="276" w:lineRule="auto"/>
        <w:ind w:left="357"/>
        <w:mirrorIndents/>
        <w:rPr>
          <w:szCs w:val="23"/>
        </w:rPr>
      </w:pPr>
      <w:r w:rsidRPr="008D7F4A">
        <w:rPr>
          <w:szCs w:val="23"/>
        </w:rPr>
        <w:t xml:space="preserve">Ahead of the Local Elections in June, </w:t>
      </w:r>
      <w:r w:rsidR="005F0AF5">
        <w:rPr>
          <w:szCs w:val="23"/>
        </w:rPr>
        <w:t>our</w:t>
      </w:r>
      <w:r w:rsidRPr="008D7F4A">
        <w:rPr>
          <w:szCs w:val="23"/>
        </w:rPr>
        <w:t xml:space="preserve"> “Your Vote Your Voice - an easy-to-read guide to voting” booklet was made available across digital channels and in print form in our local libraries</w:t>
      </w:r>
      <w:r w:rsidR="005F0AF5">
        <w:rPr>
          <w:szCs w:val="23"/>
        </w:rPr>
        <w:t xml:space="preserve"> while p</w:t>
      </w:r>
      <w:r w:rsidRPr="008D7F4A">
        <w:rPr>
          <w:szCs w:val="23"/>
        </w:rPr>
        <w:t>romotional drives for registering to vote includ</w:t>
      </w:r>
      <w:r w:rsidR="005F0AF5">
        <w:rPr>
          <w:szCs w:val="23"/>
        </w:rPr>
        <w:t>ed</w:t>
      </w:r>
      <w:r w:rsidRPr="008D7F4A">
        <w:rPr>
          <w:szCs w:val="23"/>
        </w:rPr>
        <w:t xml:space="preserve"> events in TUD, in local schools and communities, and advertising campaigns on bus shelters, radio, digital and press media</w:t>
      </w:r>
      <w:r w:rsidR="00E357DB">
        <w:rPr>
          <w:szCs w:val="23"/>
        </w:rPr>
        <w:t>.</w:t>
      </w:r>
      <w:r w:rsidRPr="008D7F4A">
        <w:rPr>
          <w:szCs w:val="23"/>
        </w:rPr>
        <w:t xml:space="preserve"> </w:t>
      </w:r>
    </w:p>
    <w:p w14:paraId="64F94EAB" w14:textId="6FDF0155" w:rsidR="000513D8" w:rsidRPr="008D7F4A" w:rsidRDefault="000513D8" w:rsidP="003B1BF8">
      <w:pPr>
        <w:pStyle w:val="ListParagraph"/>
        <w:numPr>
          <w:ilvl w:val="0"/>
          <w:numId w:val="5"/>
        </w:numPr>
        <w:spacing w:after="0" w:line="276" w:lineRule="auto"/>
        <w:ind w:left="357" w:hanging="357"/>
        <w:mirrorIndents/>
        <w:rPr>
          <w:szCs w:val="23"/>
        </w:rPr>
      </w:pPr>
      <w:r w:rsidRPr="008D7F4A">
        <w:rPr>
          <w:szCs w:val="23"/>
        </w:rPr>
        <w:t>Support provided to the Mayor through the Mayor’s Office including the management of the diary and protocols</w:t>
      </w:r>
      <w:r w:rsidR="00E357DB">
        <w:rPr>
          <w:szCs w:val="23"/>
        </w:rPr>
        <w:t>.</w:t>
      </w:r>
    </w:p>
    <w:p w14:paraId="4B4BED7B" w14:textId="709B6429" w:rsidR="000513D8" w:rsidRPr="008D7F4A" w:rsidRDefault="000513D8" w:rsidP="003B1BF8">
      <w:pPr>
        <w:pStyle w:val="ListParagraph"/>
        <w:numPr>
          <w:ilvl w:val="0"/>
          <w:numId w:val="5"/>
        </w:numPr>
        <w:spacing w:after="0" w:line="276" w:lineRule="auto"/>
        <w:ind w:left="357" w:hanging="357"/>
        <w:mirrorIndents/>
        <w:rPr>
          <w:szCs w:val="23"/>
        </w:rPr>
      </w:pPr>
      <w:r w:rsidRPr="008D7F4A">
        <w:rPr>
          <w:szCs w:val="23"/>
        </w:rPr>
        <w:t xml:space="preserve">108 meetings of the Council, Corporate Policy Group, Area Committees, Strategic Policy Committees, and other committees were supported with a total of 1,140 Headed Item reports provided, and 1,562 </w:t>
      </w:r>
      <w:r w:rsidR="005F0AF5">
        <w:rPr>
          <w:szCs w:val="23"/>
        </w:rPr>
        <w:t>c</w:t>
      </w:r>
      <w:r w:rsidRPr="008D7F4A">
        <w:rPr>
          <w:szCs w:val="23"/>
        </w:rPr>
        <w:t xml:space="preserve">ouncillor </w:t>
      </w:r>
      <w:r w:rsidR="005F0AF5">
        <w:rPr>
          <w:szCs w:val="23"/>
        </w:rPr>
        <w:t>q</w:t>
      </w:r>
      <w:r w:rsidRPr="008D7F4A">
        <w:rPr>
          <w:szCs w:val="23"/>
        </w:rPr>
        <w:t>uestions and Motions responded to.</w:t>
      </w:r>
    </w:p>
    <w:p w14:paraId="3AE26F16" w14:textId="64295954" w:rsidR="000513D8" w:rsidRPr="008D7F4A" w:rsidRDefault="000513D8" w:rsidP="003B1BF8">
      <w:pPr>
        <w:pStyle w:val="ListParagraph"/>
        <w:numPr>
          <w:ilvl w:val="0"/>
          <w:numId w:val="5"/>
        </w:numPr>
        <w:spacing w:after="0" w:line="276" w:lineRule="auto"/>
        <w:ind w:left="357" w:hanging="357"/>
        <w:mirrorIndents/>
        <w:rPr>
          <w:szCs w:val="23"/>
        </w:rPr>
      </w:pPr>
      <w:r w:rsidRPr="008D7F4A">
        <w:rPr>
          <w:szCs w:val="23"/>
        </w:rPr>
        <w:lastRenderedPageBreak/>
        <w:t xml:space="preserve">The establishment of the new Council following the local elections </w:t>
      </w:r>
      <w:r w:rsidR="005E6EC1">
        <w:rPr>
          <w:szCs w:val="23"/>
        </w:rPr>
        <w:t>with</w:t>
      </w:r>
      <w:r w:rsidR="00253D06">
        <w:rPr>
          <w:szCs w:val="23"/>
        </w:rPr>
        <w:t xml:space="preserve"> </w:t>
      </w:r>
      <w:r w:rsidRPr="008D7F4A">
        <w:rPr>
          <w:szCs w:val="23"/>
        </w:rPr>
        <w:t>induction training, provision of equipment</w:t>
      </w:r>
      <w:r w:rsidR="005E6EC1">
        <w:rPr>
          <w:szCs w:val="23"/>
        </w:rPr>
        <w:t xml:space="preserve"> </w:t>
      </w:r>
      <w:r w:rsidRPr="008D7F4A">
        <w:rPr>
          <w:szCs w:val="23"/>
        </w:rPr>
        <w:t xml:space="preserve">and ongoing supports provided to the </w:t>
      </w:r>
      <w:r w:rsidR="00475E55">
        <w:rPr>
          <w:szCs w:val="23"/>
        </w:rPr>
        <w:t>elected m</w:t>
      </w:r>
      <w:r w:rsidRPr="008D7F4A">
        <w:rPr>
          <w:szCs w:val="23"/>
        </w:rPr>
        <w:t>embers to enable them to perform their duties.</w:t>
      </w:r>
    </w:p>
    <w:p w14:paraId="1BCC6BF2" w14:textId="48B01DF5" w:rsidR="000513D8" w:rsidRPr="008D7F4A" w:rsidRDefault="000513D8" w:rsidP="003B1BF8">
      <w:pPr>
        <w:pStyle w:val="ListParagraph"/>
        <w:numPr>
          <w:ilvl w:val="0"/>
          <w:numId w:val="5"/>
        </w:numPr>
        <w:spacing w:after="0" w:line="276" w:lineRule="auto"/>
        <w:ind w:left="357" w:hanging="357"/>
        <w:mirrorIndents/>
        <w:rPr>
          <w:szCs w:val="23"/>
        </w:rPr>
      </w:pPr>
      <w:r w:rsidRPr="008D7F4A">
        <w:rPr>
          <w:szCs w:val="23"/>
        </w:rPr>
        <w:t>At the Annual meeting held on 21</w:t>
      </w:r>
      <w:r w:rsidRPr="008D7F4A">
        <w:rPr>
          <w:szCs w:val="23"/>
          <w:vertAlign w:val="superscript"/>
        </w:rPr>
        <w:t>st</w:t>
      </w:r>
      <w:r w:rsidRPr="008D7F4A">
        <w:rPr>
          <w:szCs w:val="23"/>
        </w:rPr>
        <w:t xml:space="preserve"> June, Councillor Baby Pereppadan was elected as the new Mayor of South Dublin County Council</w:t>
      </w:r>
      <w:r w:rsidR="005E6EC1">
        <w:rPr>
          <w:szCs w:val="23"/>
        </w:rPr>
        <w:t xml:space="preserve"> and </w:t>
      </w:r>
      <w:r w:rsidRPr="008D7F4A">
        <w:rPr>
          <w:szCs w:val="23"/>
        </w:rPr>
        <w:t>Councillor Alan Hayes was elected as Deputy Mayor for the coming term.</w:t>
      </w:r>
    </w:p>
    <w:p w14:paraId="0C55EB4C" w14:textId="6D1799D4" w:rsidR="000513D8" w:rsidRPr="008D7F4A" w:rsidRDefault="39A6BB92" w:rsidP="003B1BF8">
      <w:pPr>
        <w:pStyle w:val="ListParagraph"/>
        <w:numPr>
          <w:ilvl w:val="0"/>
          <w:numId w:val="5"/>
        </w:numPr>
        <w:spacing w:after="0" w:line="276" w:lineRule="auto"/>
        <w:ind w:left="357" w:hanging="357"/>
        <w:mirrorIndents/>
      </w:pPr>
      <w:r>
        <w:t xml:space="preserve">The </w:t>
      </w:r>
      <w:r w:rsidR="1BC063A5">
        <w:t>highlight of</w:t>
      </w:r>
      <w:r w:rsidR="3AA90B0B">
        <w:t xml:space="preserve"> the work of</w:t>
      </w:r>
      <w:r w:rsidR="1BC063A5">
        <w:t xml:space="preserve"> </w:t>
      </w:r>
      <w:r>
        <w:t xml:space="preserve">the Women’s Caucus </w:t>
      </w:r>
      <w:r w:rsidR="3AA90B0B">
        <w:t>in</w:t>
      </w:r>
      <w:r>
        <w:t xml:space="preserve"> 2024</w:t>
      </w:r>
      <w:r w:rsidR="3AA90B0B">
        <w:t xml:space="preserve"> was</w:t>
      </w:r>
      <w:r w:rsidR="2FE9108D">
        <w:t xml:space="preserve"> </w:t>
      </w:r>
      <w:r>
        <w:t xml:space="preserve">the Women of South Dublin exhibition to celebrate inspiring </w:t>
      </w:r>
      <w:r w:rsidR="1EFC4295">
        <w:t>local women</w:t>
      </w:r>
      <w:r w:rsidR="1FF95B57">
        <w:t>,</w:t>
      </w:r>
      <w:r w:rsidR="1EFC4295">
        <w:t xml:space="preserve"> which was</w:t>
      </w:r>
      <w:r w:rsidR="1FF95B57">
        <w:t xml:space="preserve"> shortlisted</w:t>
      </w:r>
      <w:r>
        <w:t xml:space="preserve"> for an Excellence in Local Government Award. </w:t>
      </w:r>
    </w:p>
    <w:p w14:paraId="573087EB" w14:textId="55C9D618" w:rsidR="000513D8" w:rsidRPr="008D7F4A" w:rsidRDefault="000513D8" w:rsidP="003B1BF8">
      <w:pPr>
        <w:pStyle w:val="ListParagraph"/>
        <w:numPr>
          <w:ilvl w:val="0"/>
          <w:numId w:val="5"/>
        </w:numPr>
        <w:spacing w:after="0" w:line="276" w:lineRule="auto"/>
        <w:ind w:left="357"/>
        <w:mirrorIndents/>
        <w:rPr>
          <w:szCs w:val="23"/>
        </w:rPr>
      </w:pPr>
      <w:r w:rsidRPr="008D7F4A">
        <w:rPr>
          <w:szCs w:val="23"/>
        </w:rPr>
        <w:t xml:space="preserve">Following co-option processes in September and December </w:t>
      </w:r>
      <w:r w:rsidR="00945403">
        <w:rPr>
          <w:szCs w:val="23"/>
        </w:rPr>
        <w:t xml:space="preserve">after </w:t>
      </w:r>
      <w:r w:rsidRPr="008D7F4A">
        <w:rPr>
          <w:szCs w:val="23"/>
        </w:rPr>
        <w:t>the local and general elections respectively, South Dublin County Council be</w:t>
      </w:r>
      <w:r w:rsidR="00D316DD">
        <w:rPr>
          <w:szCs w:val="23"/>
        </w:rPr>
        <w:t>came</w:t>
      </w:r>
      <w:r w:rsidRPr="008D7F4A">
        <w:rPr>
          <w:szCs w:val="23"/>
        </w:rPr>
        <w:t xml:space="preserve"> the first local authority in the </w:t>
      </w:r>
      <w:r w:rsidR="007C65DC">
        <w:rPr>
          <w:szCs w:val="23"/>
        </w:rPr>
        <w:t>S</w:t>
      </w:r>
      <w:r w:rsidRPr="008D7F4A">
        <w:rPr>
          <w:szCs w:val="23"/>
        </w:rPr>
        <w:t xml:space="preserve">tate to have </w:t>
      </w:r>
      <w:proofErr w:type="gramStart"/>
      <w:r w:rsidRPr="008D7F4A">
        <w:rPr>
          <w:szCs w:val="23"/>
        </w:rPr>
        <w:t>a majority of</w:t>
      </w:r>
      <w:proofErr w:type="gramEnd"/>
      <w:r w:rsidRPr="008D7F4A">
        <w:rPr>
          <w:szCs w:val="23"/>
        </w:rPr>
        <w:t xml:space="preserve"> female public representation</w:t>
      </w:r>
      <w:r w:rsidR="00D316DD">
        <w:rPr>
          <w:szCs w:val="23"/>
        </w:rPr>
        <w:t>,</w:t>
      </w:r>
      <w:r w:rsidRPr="008D7F4A">
        <w:rPr>
          <w:szCs w:val="23"/>
        </w:rPr>
        <w:t xml:space="preserve"> with 21 women and 19 men on the Council. </w:t>
      </w:r>
    </w:p>
    <w:p w14:paraId="1FEFF421" w14:textId="01345A49" w:rsidR="000513D8" w:rsidRPr="008D7F4A" w:rsidRDefault="000513D8" w:rsidP="003B1BF8">
      <w:pPr>
        <w:pStyle w:val="ListParagraph"/>
        <w:numPr>
          <w:ilvl w:val="0"/>
          <w:numId w:val="5"/>
        </w:numPr>
        <w:spacing w:after="0" w:line="276" w:lineRule="auto"/>
        <w:ind w:left="357"/>
        <w:mirrorIndents/>
        <w:rPr>
          <w:szCs w:val="23"/>
        </w:rPr>
      </w:pPr>
      <w:r w:rsidRPr="008D7F4A">
        <w:rPr>
          <w:szCs w:val="23"/>
        </w:rPr>
        <w:t xml:space="preserve">The new Strategic Policy Committee (SPC) Scheme 2024 – 2029 was adopted in September following a public consultation process and SPC Standing Orders were also </w:t>
      </w:r>
      <w:r w:rsidR="00E96432">
        <w:rPr>
          <w:szCs w:val="23"/>
        </w:rPr>
        <w:t xml:space="preserve">updated </w:t>
      </w:r>
      <w:r w:rsidR="000F7ECA">
        <w:rPr>
          <w:szCs w:val="23"/>
        </w:rPr>
        <w:t>as a result.</w:t>
      </w:r>
    </w:p>
    <w:p w14:paraId="53754A5D" w14:textId="4D23C6F1" w:rsidR="000513D8" w:rsidRPr="008D7F4A" w:rsidRDefault="000513D8" w:rsidP="003B1BF8">
      <w:pPr>
        <w:pStyle w:val="ListParagraph"/>
        <w:numPr>
          <w:ilvl w:val="0"/>
          <w:numId w:val="5"/>
        </w:numPr>
        <w:spacing w:after="0" w:line="276" w:lineRule="auto"/>
        <w:ind w:left="357" w:hanging="357"/>
        <w:mirrorIndents/>
        <w:rPr>
          <w:szCs w:val="23"/>
        </w:rPr>
      </w:pPr>
      <w:r w:rsidRPr="008D7F4A">
        <w:rPr>
          <w:szCs w:val="23"/>
        </w:rPr>
        <w:t xml:space="preserve">The Corporate Policy Group (CPG) agreed the </w:t>
      </w:r>
      <w:r w:rsidR="000F7ECA">
        <w:rPr>
          <w:szCs w:val="23"/>
        </w:rPr>
        <w:t xml:space="preserve">SPC </w:t>
      </w:r>
      <w:r w:rsidRPr="008D7F4A">
        <w:rPr>
          <w:szCs w:val="23"/>
        </w:rPr>
        <w:t xml:space="preserve">programmes of work for 2024, the strategy for the new Corporate Plan and the budget strategy for the 2025 </w:t>
      </w:r>
      <w:r w:rsidR="00A5408D">
        <w:rPr>
          <w:szCs w:val="23"/>
        </w:rPr>
        <w:t>b</w:t>
      </w:r>
      <w:r w:rsidRPr="008D7F4A">
        <w:rPr>
          <w:szCs w:val="23"/>
        </w:rPr>
        <w:t>udge</w:t>
      </w:r>
      <w:r w:rsidR="000F7ECA">
        <w:rPr>
          <w:szCs w:val="23"/>
        </w:rPr>
        <w:t xml:space="preserve">t, along with </w:t>
      </w:r>
      <w:r w:rsidR="00F31983">
        <w:rPr>
          <w:szCs w:val="23"/>
        </w:rPr>
        <w:t>o</w:t>
      </w:r>
      <w:r w:rsidRPr="008D7F4A">
        <w:rPr>
          <w:szCs w:val="23"/>
        </w:rPr>
        <w:t xml:space="preserve">versight </w:t>
      </w:r>
      <w:r w:rsidR="00273441">
        <w:rPr>
          <w:szCs w:val="23"/>
        </w:rPr>
        <w:t xml:space="preserve">of </w:t>
      </w:r>
      <w:r w:rsidR="00F31983">
        <w:rPr>
          <w:szCs w:val="23"/>
        </w:rPr>
        <w:t xml:space="preserve">council meeting </w:t>
      </w:r>
      <w:r w:rsidR="008C0400">
        <w:rPr>
          <w:szCs w:val="23"/>
        </w:rPr>
        <w:t>agendas</w:t>
      </w:r>
      <w:r w:rsidR="00F31983">
        <w:rPr>
          <w:szCs w:val="23"/>
        </w:rPr>
        <w:t>.</w:t>
      </w:r>
    </w:p>
    <w:p w14:paraId="423E0CFF" w14:textId="362402AF" w:rsidR="000513D8" w:rsidRPr="00503076" w:rsidRDefault="00503076">
      <w:pPr>
        <w:pStyle w:val="ListParagraph"/>
        <w:numPr>
          <w:ilvl w:val="0"/>
          <w:numId w:val="5"/>
        </w:numPr>
        <w:spacing w:after="0" w:line="276" w:lineRule="auto"/>
        <w:ind w:left="357" w:hanging="357"/>
        <w:mirrorIndents/>
        <w:rPr>
          <w:szCs w:val="23"/>
        </w:rPr>
      </w:pPr>
      <w:r w:rsidRPr="00503076">
        <w:rPr>
          <w:szCs w:val="23"/>
        </w:rPr>
        <w:t>L</w:t>
      </w:r>
      <w:r w:rsidR="000513D8" w:rsidRPr="00503076">
        <w:rPr>
          <w:szCs w:val="23"/>
        </w:rPr>
        <w:t xml:space="preserve">iaison </w:t>
      </w:r>
      <w:r w:rsidRPr="00503076">
        <w:rPr>
          <w:szCs w:val="23"/>
        </w:rPr>
        <w:t xml:space="preserve">continued </w:t>
      </w:r>
      <w:r w:rsidR="000513D8" w:rsidRPr="00503076">
        <w:rPr>
          <w:szCs w:val="23"/>
        </w:rPr>
        <w:t xml:space="preserve">across the Dublin </w:t>
      </w:r>
      <w:r w:rsidRPr="00503076">
        <w:rPr>
          <w:szCs w:val="23"/>
        </w:rPr>
        <w:t>l</w:t>
      </w:r>
      <w:r w:rsidR="000513D8" w:rsidRPr="00503076">
        <w:rPr>
          <w:szCs w:val="23"/>
        </w:rPr>
        <w:t xml:space="preserve">ocal </w:t>
      </w:r>
      <w:r w:rsidRPr="00503076">
        <w:rPr>
          <w:szCs w:val="23"/>
        </w:rPr>
        <w:t>a</w:t>
      </w:r>
      <w:r w:rsidR="000513D8" w:rsidRPr="00503076">
        <w:rPr>
          <w:szCs w:val="23"/>
        </w:rPr>
        <w:t>uthorities on the development, implementation and governance of voter.ie and compliance with the legislative changes to the electoral register</w:t>
      </w:r>
      <w:r w:rsidR="00E357DB" w:rsidRPr="00503076">
        <w:rPr>
          <w:szCs w:val="23"/>
        </w:rPr>
        <w:t>.</w:t>
      </w:r>
      <w:r w:rsidRPr="00503076">
        <w:rPr>
          <w:szCs w:val="23"/>
        </w:rPr>
        <w:t xml:space="preserve">  </w:t>
      </w:r>
      <w:r w:rsidR="000513D8" w:rsidRPr="00503076">
        <w:rPr>
          <w:szCs w:val="23"/>
        </w:rPr>
        <w:t>By year</w:t>
      </w:r>
      <w:r>
        <w:rPr>
          <w:szCs w:val="23"/>
        </w:rPr>
        <w:t>-</w:t>
      </w:r>
      <w:r w:rsidR="000513D8" w:rsidRPr="00503076">
        <w:rPr>
          <w:szCs w:val="23"/>
        </w:rPr>
        <w:t xml:space="preserve">end 213,345 people </w:t>
      </w:r>
      <w:r>
        <w:rPr>
          <w:szCs w:val="23"/>
        </w:rPr>
        <w:t xml:space="preserve">were </w:t>
      </w:r>
      <w:r w:rsidR="000513D8" w:rsidRPr="00503076">
        <w:rPr>
          <w:szCs w:val="23"/>
        </w:rPr>
        <w:t xml:space="preserve">on the electoral register, an increase </w:t>
      </w:r>
      <w:r>
        <w:rPr>
          <w:szCs w:val="23"/>
        </w:rPr>
        <w:t xml:space="preserve">of 9% </w:t>
      </w:r>
      <w:r w:rsidR="000513D8" w:rsidRPr="00503076">
        <w:rPr>
          <w:szCs w:val="23"/>
        </w:rPr>
        <w:t>from 194, 884 at the end of 2023</w:t>
      </w:r>
      <w:r w:rsidR="000A3BD0">
        <w:rPr>
          <w:szCs w:val="23"/>
        </w:rPr>
        <w:t>.</w:t>
      </w:r>
    </w:p>
    <w:p w14:paraId="7962BBC1" w14:textId="77777777" w:rsidR="00E357DB" w:rsidRPr="008D7F4A" w:rsidRDefault="00E357DB" w:rsidP="000D6A26">
      <w:pPr>
        <w:spacing w:after="0" w:line="276" w:lineRule="auto"/>
        <w:ind w:left="0" w:hanging="426"/>
        <w:textAlignment w:val="baseline"/>
        <w:rPr>
          <w:rFonts w:eastAsia="Times New Roman"/>
          <w:color w:val="auto"/>
          <w:kern w:val="0"/>
          <w:szCs w:val="23"/>
          <w14:ligatures w14:val="none"/>
        </w:rPr>
      </w:pPr>
    </w:p>
    <w:p w14:paraId="3C69E0C1" w14:textId="5C61475E" w:rsidR="008E4E5E" w:rsidRPr="008D7F4A" w:rsidRDefault="008E4E5E" w:rsidP="000D6A26">
      <w:pPr>
        <w:spacing w:after="0" w:line="276" w:lineRule="auto"/>
        <w:ind w:left="0" w:hanging="69"/>
        <w:textAlignment w:val="baseline"/>
        <w:rPr>
          <w:rFonts w:eastAsia="Times New Roman"/>
          <w:color w:val="auto"/>
          <w:kern w:val="0"/>
          <w:szCs w:val="23"/>
          <w14:ligatures w14:val="none"/>
        </w:rPr>
      </w:pPr>
      <w:r w:rsidRPr="008D7F4A">
        <w:rPr>
          <w:rFonts w:eastAsia="Times New Roman"/>
          <w:b/>
          <w:bCs/>
          <w:color w:val="auto"/>
          <w:kern w:val="0"/>
          <w:szCs w:val="23"/>
          <w:lang w:val="en-GB"/>
          <w14:ligatures w14:val="none"/>
        </w:rPr>
        <w:t xml:space="preserve">Deliver quality services that treat all service users with dignity, </w:t>
      </w:r>
      <w:bookmarkStart w:id="5" w:name="_Int_Ms6EexGI"/>
      <w:r w:rsidRPr="008D7F4A">
        <w:rPr>
          <w:rFonts w:eastAsia="Times New Roman"/>
          <w:b/>
          <w:bCs/>
          <w:color w:val="auto"/>
          <w:kern w:val="0"/>
          <w:szCs w:val="23"/>
          <w:lang w:val="en-GB"/>
          <w14:ligatures w14:val="none"/>
        </w:rPr>
        <w:t>respect</w:t>
      </w:r>
      <w:bookmarkEnd w:id="5"/>
      <w:r w:rsidRPr="008D7F4A">
        <w:rPr>
          <w:rFonts w:eastAsia="Times New Roman"/>
          <w:b/>
          <w:bCs/>
          <w:color w:val="auto"/>
          <w:kern w:val="0"/>
          <w:szCs w:val="23"/>
          <w:lang w:val="en-GB"/>
          <w14:ligatures w14:val="none"/>
        </w:rPr>
        <w:t xml:space="preserve"> and equality</w:t>
      </w:r>
    </w:p>
    <w:p w14:paraId="323AEF8B" w14:textId="64276024" w:rsidR="007D532F" w:rsidRPr="008D7F4A" w:rsidRDefault="004F133E" w:rsidP="00595C99">
      <w:pPr>
        <w:pStyle w:val="ListParagraph"/>
        <w:numPr>
          <w:ilvl w:val="0"/>
          <w:numId w:val="6"/>
        </w:numPr>
        <w:spacing w:after="0" w:line="276" w:lineRule="auto"/>
        <w:ind w:left="357" w:hanging="357"/>
        <w:mirrorIndents/>
        <w:rPr>
          <w:szCs w:val="23"/>
        </w:rPr>
      </w:pPr>
      <w:r>
        <w:rPr>
          <w:szCs w:val="23"/>
        </w:rPr>
        <w:t>R</w:t>
      </w:r>
      <w:r w:rsidR="007D532F" w:rsidRPr="008D7F4A">
        <w:rPr>
          <w:szCs w:val="23"/>
        </w:rPr>
        <w:t xml:space="preserve">edesign of </w:t>
      </w:r>
      <w:r w:rsidR="00B64A7F">
        <w:rPr>
          <w:szCs w:val="23"/>
        </w:rPr>
        <w:t xml:space="preserve">the </w:t>
      </w:r>
      <w:r w:rsidR="007D532F" w:rsidRPr="008D7F4A">
        <w:rPr>
          <w:szCs w:val="23"/>
        </w:rPr>
        <w:t xml:space="preserve">concourse </w:t>
      </w:r>
      <w:r w:rsidR="00B64A7F">
        <w:rPr>
          <w:szCs w:val="23"/>
        </w:rPr>
        <w:t>of County Hall</w:t>
      </w:r>
      <w:r w:rsidR="007B7B01">
        <w:rPr>
          <w:szCs w:val="23"/>
        </w:rPr>
        <w:t xml:space="preserve"> was completed </w:t>
      </w:r>
      <w:r w:rsidR="003333D4">
        <w:rPr>
          <w:szCs w:val="23"/>
        </w:rPr>
        <w:t xml:space="preserve">to </w:t>
      </w:r>
      <w:r w:rsidR="007B7B01">
        <w:rPr>
          <w:szCs w:val="23"/>
        </w:rPr>
        <w:t>enable a</w:t>
      </w:r>
      <w:r w:rsidR="007D532F" w:rsidRPr="008D7F4A">
        <w:rPr>
          <w:szCs w:val="23"/>
        </w:rPr>
        <w:t xml:space="preserve"> civic engagement and event space and procurement </w:t>
      </w:r>
      <w:r w:rsidR="007B7B01">
        <w:rPr>
          <w:szCs w:val="23"/>
        </w:rPr>
        <w:t>to develop</w:t>
      </w:r>
      <w:r w:rsidR="007D532F" w:rsidRPr="008D7F4A">
        <w:rPr>
          <w:szCs w:val="23"/>
        </w:rPr>
        <w:t xml:space="preserve"> a </w:t>
      </w:r>
      <w:r w:rsidR="007B7B01">
        <w:rPr>
          <w:szCs w:val="23"/>
        </w:rPr>
        <w:t>w</w:t>
      </w:r>
      <w:r w:rsidR="007D532F" w:rsidRPr="008D7F4A">
        <w:rPr>
          <w:szCs w:val="23"/>
        </w:rPr>
        <w:t xml:space="preserve">orkplace </w:t>
      </w:r>
      <w:r w:rsidR="007B7B01">
        <w:rPr>
          <w:szCs w:val="23"/>
        </w:rPr>
        <w:t>upgrade and refurbishment s</w:t>
      </w:r>
      <w:r w:rsidR="007D532F" w:rsidRPr="008D7F4A">
        <w:rPr>
          <w:szCs w:val="23"/>
        </w:rPr>
        <w:t xml:space="preserve">trategy was </w:t>
      </w:r>
      <w:r w:rsidR="007B7B01">
        <w:rPr>
          <w:szCs w:val="23"/>
        </w:rPr>
        <w:t xml:space="preserve">also </w:t>
      </w:r>
      <w:r w:rsidR="007D532F" w:rsidRPr="008D7F4A">
        <w:rPr>
          <w:szCs w:val="23"/>
        </w:rPr>
        <w:t>completed</w:t>
      </w:r>
      <w:r w:rsidR="00267687">
        <w:rPr>
          <w:szCs w:val="23"/>
        </w:rPr>
        <w:t>.</w:t>
      </w:r>
    </w:p>
    <w:p w14:paraId="1A04775F" w14:textId="7F7BE709" w:rsidR="007D532F" w:rsidRPr="008D7F4A" w:rsidRDefault="0D394766" w:rsidP="00595C99">
      <w:pPr>
        <w:pStyle w:val="ListParagraph"/>
        <w:numPr>
          <w:ilvl w:val="0"/>
          <w:numId w:val="6"/>
        </w:numPr>
        <w:spacing w:after="0" w:line="276" w:lineRule="auto"/>
        <w:ind w:left="357" w:hanging="357"/>
        <w:mirrorIndents/>
      </w:pPr>
      <w:r>
        <w:t xml:space="preserve">The </w:t>
      </w:r>
      <w:r w:rsidR="63DEED94">
        <w:t xml:space="preserve">2024 Action Plan for Public Sector Equality and Human Rights Duty </w:t>
      </w:r>
      <w:r>
        <w:t xml:space="preserve">was </w:t>
      </w:r>
      <w:r w:rsidR="63DEED94">
        <w:t xml:space="preserve">published along with an implementation plan and training rolled out for </w:t>
      </w:r>
      <w:r w:rsidR="796CB302">
        <w:t xml:space="preserve">the </w:t>
      </w:r>
      <w:r w:rsidR="63DEED94">
        <w:t>working group to support its delivery.</w:t>
      </w:r>
    </w:p>
    <w:p w14:paraId="3864431D" w14:textId="63F6DA93" w:rsidR="007D532F" w:rsidRPr="008D7F4A" w:rsidRDefault="007D532F" w:rsidP="00595C99">
      <w:pPr>
        <w:pStyle w:val="ListParagraph"/>
        <w:numPr>
          <w:ilvl w:val="0"/>
          <w:numId w:val="6"/>
        </w:numPr>
        <w:spacing w:after="0" w:line="276" w:lineRule="auto"/>
        <w:ind w:left="357" w:hanging="357"/>
        <w:mirrorIndents/>
        <w:rPr>
          <w:szCs w:val="23"/>
        </w:rPr>
      </w:pPr>
      <w:r w:rsidRPr="008D7F4A">
        <w:rPr>
          <w:szCs w:val="23"/>
        </w:rPr>
        <w:t xml:space="preserve">17,312 customer queries and 5,332 </w:t>
      </w:r>
      <w:r w:rsidR="00D316DD">
        <w:rPr>
          <w:szCs w:val="23"/>
        </w:rPr>
        <w:t>c</w:t>
      </w:r>
      <w:r w:rsidRPr="008D7F4A">
        <w:rPr>
          <w:szCs w:val="23"/>
        </w:rPr>
        <w:t xml:space="preserve">ouncillor representations responded </w:t>
      </w:r>
      <w:r w:rsidR="00700CF8" w:rsidRPr="008D7F4A">
        <w:rPr>
          <w:szCs w:val="23"/>
        </w:rPr>
        <w:t>to within</w:t>
      </w:r>
      <w:r w:rsidRPr="008D7F4A">
        <w:rPr>
          <w:szCs w:val="23"/>
        </w:rPr>
        <w:t xml:space="preserve"> the deadlines set out in the Customer Charter and 147,460 telephone calls </w:t>
      </w:r>
      <w:r w:rsidR="00267687">
        <w:rPr>
          <w:szCs w:val="23"/>
        </w:rPr>
        <w:t xml:space="preserve">were also </w:t>
      </w:r>
      <w:r w:rsidRPr="008D7F4A">
        <w:rPr>
          <w:szCs w:val="23"/>
        </w:rPr>
        <w:t>responded to</w:t>
      </w:r>
      <w:r w:rsidR="00DB0D5A">
        <w:rPr>
          <w:szCs w:val="23"/>
        </w:rPr>
        <w:t>.</w:t>
      </w:r>
    </w:p>
    <w:p w14:paraId="796F93F0" w14:textId="36DF4FF4" w:rsidR="007D532F" w:rsidRPr="008D7F4A" w:rsidRDefault="00267687" w:rsidP="00595C99">
      <w:pPr>
        <w:pStyle w:val="ListParagraph"/>
        <w:numPr>
          <w:ilvl w:val="0"/>
          <w:numId w:val="6"/>
        </w:numPr>
        <w:spacing w:after="0" w:line="276" w:lineRule="auto"/>
        <w:ind w:left="357" w:hanging="357"/>
        <w:mirrorIndents/>
        <w:rPr>
          <w:szCs w:val="23"/>
        </w:rPr>
      </w:pPr>
      <w:r>
        <w:rPr>
          <w:szCs w:val="23"/>
        </w:rPr>
        <w:t xml:space="preserve">An </w:t>
      </w:r>
      <w:r w:rsidR="007D532F" w:rsidRPr="008D7F4A">
        <w:rPr>
          <w:szCs w:val="23"/>
        </w:rPr>
        <w:t xml:space="preserve">Irish Language Communications Officer </w:t>
      </w:r>
      <w:r>
        <w:rPr>
          <w:szCs w:val="23"/>
        </w:rPr>
        <w:t xml:space="preserve">was </w:t>
      </w:r>
      <w:r w:rsidR="007D532F" w:rsidRPr="008D7F4A">
        <w:rPr>
          <w:szCs w:val="23"/>
        </w:rPr>
        <w:t>appointed to support organisational compliance with the provisions of the Official Languages Act</w:t>
      </w:r>
      <w:r w:rsidR="00DB0D5A">
        <w:rPr>
          <w:szCs w:val="23"/>
        </w:rPr>
        <w:t>.</w:t>
      </w:r>
    </w:p>
    <w:p w14:paraId="488B4750" w14:textId="1D8C3711" w:rsidR="007D532F" w:rsidRPr="008D7F4A" w:rsidRDefault="00DA430C" w:rsidP="00595C99">
      <w:pPr>
        <w:pStyle w:val="ListParagraph"/>
        <w:numPr>
          <w:ilvl w:val="0"/>
          <w:numId w:val="6"/>
        </w:numPr>
        <w:spacing w:after="0" w:line="276" w:lineRule="auto"/>
        <w:ind w:left="357" w:hanging="357"/>
        <w:mirrorIndents/>
        <w:rPr>
          <w:szCs w:val="23"/>
        </w:rPr>
      </w:pPr>
      <w:r>
        <w:rPr>
          <w:szCs w:val="23"/>
        </w:rPr>
        <w:t xml:space="preserve">In </w:t>
      </w:r>
      <w:r w:rsidRPr="008D7F4A">
        <w:rPr>
          <w:szCs w:val="23"/>
        </w:rPr>
        <w:t xml:space="preserve">partnership with the </w:t>
      </w:r>
      <w:r>
        <w:rPr>
          <w:szCs w:val="23"/>
        </w:rPr>
        <w:t>other three</w:t>
      </w:r>
      <w:r w:rsidRPr="008D7F4A">
        <w:rPr>
          <w:szCs w:val="23"/>
        </w:rPr>
        <w:t xml:space="preserve"> Dublin local authorities</w:t>
      </w:r>
      <w:r>
        <w:rPr>
          <w:szCs w:val="23"/>
        </w:rPr>
        <w:t>, w</w:t>
      </w:r>
      <w:r w:rsidR="00267687">
        <w:rPr>
          <w:szCs w:val="23"/>
        </w:rPr>
        <w:t>e</w:t>
      </w:r>
      <w:r w:rsidR="007D532F" w:rsidRPr="008D7F4A">
        <w:rPr>
          <w:szCs w:val="23"/>
        </w:rPr>
        <w:t xml:space="preserve"> embarked on </w:t>
      </w:r>
      <w:r w:rsidR="00267687" w:rsidRPr="008D7F4A">
        <w:rPr>
          <w:szCs w:val="23"/>
        </w:rPr>
        <w:t>Gaeilge365</w:t>
      </w:r>
      <w:r w:rsidR="00700CF8" w:rsidRPr="008D7F4A">
        <w:rPr>
          <w:szCs w:val="23"/>
        </w:rPr>
        <w:t xml:space="preserve">, </w:t>
      </w:r>
      <w:r w:rsidR="007D532F" w:rsidRPr="008D7F4A">
        <w:rPr>
          <w:szCs w:val="23"/>
        </w:rPr>
        <w:t xml:space="preserve">an Irish language innovation programme to increase the number of daily Irish speakers in </w:t>
      </w:r>
      <w:r w:rsidR="00B27E7C">
        <w:rPr>
          <w:szCs w:val="23"/>
        </w:rPr>
        <w:t xml:space="preserve">Dublin with two particularly </w:t>
      </w:r>
      <w:r w:rsidR="007D532F" w:rsidRPr="008D7F4A">
        <w:rPr>
          <w:szCs w:val="23"/>
        </w:rPr>
        <w:t xml:space="preserve">significant initiatives commenced: ‘An </w:t>
      </w:r>
      <w:proofErr w:type="spellStart"/>
      <w:r w:rsidR="007D532F" w:rsidRPr="008D7F4A">
        <w:rPr>
          <w:szCs w:val="23"/>
        </w:rPr>
        <w:t>Chomhairle</w:t>
      </w:r>
      <w:proofErr w:type="spellEnd"/>
      <w:r w:rsidR="007D532F" w:rsidRPr="008D7F4A">
        <w:rPr>
          <w:szCs w:val="23"/>
        </w:rPr>
        <w:t xml:space="preserve"> </w:t>
      </w:r>
      <w:proofErr w:type="spellStart"/>
      <w:r w:rsidR="007D532F" w:rsidRPr="008D7F4A">
        <w:rPr>
          <w:szCs w:val="23"/>
        </w:rPr>
        <w:t>Chraiceáilte</w:t>
      </w:r>
      <w:proofErr w:type="spellEnd"/>
      <w:r w:rsidR="007D532F" w:rsidRPr="008D7F4A">
        <w:rPr>
          <w:szCs w:val="23"/>
        </w:rPr>
        <w:t xml:space="preserve">’ targeting </w:t>
      </w:r>
      <w:r w:rsidR="00D316DD">
        <w:rPr>
          <w:szCs w:val="23"/>
        </w:rPr>
        <w:t>our</w:t>
      </w:r>
      <w:r w:rsidR="007D532F" w:rsidRPr="008D7F4A">
        <w:rPr>
          <w:szCs w:val="23"/>
        </w:rPr>
        <w:t xml:space="preserve"> employees, and ‘</w:t>
      </w:r>
      <w:proofErr w:type="spellStart"/>
      <w:r w:rsidR="007D532F" w:rsidRPr="008D7F4A">
        <w:rPr>
          <w:szCs w:val="23"/>
        </w:rPr>
        <w:t>Todhchaí</w:t>
      </w:r>
      <w:proofErr w:type="spellEnd"/>
      <w:r w:rsidR="007D532F" w:rsidRPr="008D7F4A">
        <w:rPr>
          <w:szCs w:val="23"/>
        </w:rPr>
        <w:t xml:space="preserve"> Geal </w:t>
      </w:r>
      <w:proofErr w:type="spellStart"/>
      <w:r w:rsidR="007D532F" w:rsidRPr="008D7F4A">
        <w:rPr>
          <w:szCs w:val="23"/>
        </w:rPr>
        <w:t>Gaelach</w:t>
      </w:r>
      <w:proofErr w:type="spellEnd"/>
      <w:r w:rsidR="007D532F" w:rsidRPr="008D7F4A">
        <w:rPr>
          <w:szCs w:val="23"/>
        </w:rPr>
        <w:t xml:space="preserve">’ for </w:t>
      </w:r>
      <w:r w:rsidR="00D316DD">
        <w:rPr>
          <w:szCs w:val="23"/>
        </w:rPr>
        <w:t>t</w:t>
      </w:r>
      <w:r w:rsidR="007D532F" w:rsidRPr="008D7F4A">
        <w:rPr>
          <w:szCs w:val="23"/>
        </w:rPr>
        <w:t xml:space="preserve">ransition </w:t>
      </w:r>
      <w:r w:rsidR="00D316DD">
        <w:rPr>
          <w:szCs w:val="23"/>
        </w:rPr>
        <w:t>y</w:t>
      </w:r>
      <w:r w:rsidR="007D532F" w:rsidRPr="008D7F4A">
        <w:rPr>
          <w:szCs w:val="23"/>
        </w:rPr>
        <w:t xml:space="preserve">ear </w:t>
      </w:r>
      <w:r w:rsidR="00D316DD">
        <w:rPr>
          <w:szCs w:val="23"/>
        </w:rPr>
        <w:t>s</w:t>
      </w:r>
      <w:r w:rsidR="007D532F" w:rsidRPr="008D7F4A">
        <w:rPr>
          <w:szCs w:val="23"/>
        </w:rPr>
        <w:t>tudents</w:t>
      </w:r>
      <w:r w:rsidR="00DB0D5A">
        <w:rPr>
          <w:szCs w:val="23"/>
        </w:rPr>
        <w:t>.</w:t>
      </w:r>
    </w:p>
    <w:p w14:paraId="223B9BE9" w14:textId="08086900" w:rsidR="007D532F" w:rsidRPr="008D7F4A" w:rsidRDefault="0D8CF269" w:rsidP="00595C99">
      <w:pPr>
        <w:pStyle w:val="ListParagraph"/>
        <w:numPr>
          <w:ilvl w:val="0"/>
          <w:numId w:val="6"/>
        </w:numPr>
        <w:spacing w:after="0" w:line="276" w:lineRule="auto"/>
        <w:ind w:left="357" w:hanging="357"/>
        <w:mirrorIndents/>
      </w:pPr>
      <w:r>
        <w:t xml:space="preserve">Our </w:t>
      </w:r>
      <w:r w:rsidR="63DEED94">
        <w:t xml:space="preserve">Green Public Procurement Working Group established, </w:t>
      </w:r>
      <w:r>
        <w:t xml:space="preserve">with </w:t>
      </w:r>
      <w:r w:rsidR="63DEED94">
        <w:t>training provided and preparation for the implementation of national GPP criteria underway</w:t>
      </w:r>
      <w:r w:rsidR="020759A7">
        <w:t>.</w:t>
      </w:r>
    </w:p>
    <w:p w14:paraId="0863E919" w14:textId="77777777" w:rsidR="00C6283B" w:rsidRPr="008D7F4A" w:rsidRDefault="00C6283B" w:rsidP="000D6A26">
      <w:pPr>
        <w:spacing w:after="0" w:line="276" w:lineRule="auto"/>
        <w:ind w:left="288" w:hanging="426"/>
        <w:textAlignment w:val="baseline"/>
        <w:rPr>
          <w:rFonts w:eastAsia="Times New Roman"/>
          <w:color w:val="auto"/>
          <w:kern w:val="0"/>
          <w:szCs w:val="23"/>
          <w14:ligatures w14:val="none"/>
        </w:rPr>
      </w:pPr>
    </w:p>
    <w:p w14:paraId="0055ABE4" w14:textId="0A1FC6E4" w:rsidR="008E4E5E" w:rsidRPr="008D7F4A" w:rsidRDefault="008E4E5E" w:rsidP="000D6A26">
      <w:pPr>
        <w:spacing w:after="0" w:line="276" w:lineRule="auto"/>
        <w:ind w:left="0" w:hanging="69"/>
        <w:textAlignment w:val="baseline"/>
        <w:rPr>
          <w:rFonts w:eastAsia="Times New Roman"/>
          <w:color w:val="auto"/>
          <w:kern w:val="0"/>
          <w:szCs w:val="23"/>
          <w14:ligatures w14:val="none"/>
        </w:rPr>
      </w:pPr>
      <w:r w:rsidRPr="008D7F4A">
        <w:rPr>
          <w:rFonts w:eastAsia="Times New Roman"/>
          <w:b/>
          <w:bCs/>
          <w:color w:val="auto"/>
          <w:kern w:val="0"/>
          <w:szCs w:val="23"/>
          <w:lang w:val="en-GB"/>
          <w14:ligatures w14:val="none"/>
        </w:rPr>
        <w:t>Foster a strong governance culture in the organisation</w:t>
      </w:r>
    </w:p>
    <w:p w14:paraId="6F7B19B9" w14:textId="1ED17C40" w:rsidR="00896C1A" w:rsidRPr="00F71182" w:rsidRDefault="00AF2679" w:rsidP="00F71182">
      <w:pPr>
        <w:pStyle w:val="ListParagraph"/>
        <w:numPr>
          <w:ilvl w:val="0"/>
          <w:numId w:val="16"/>
        </w:numPr>
        <w:spacing w:after="0" w:line="276" w:lineRule="auto"/>
        <w:mirrorIndents/>
        <w:rPr>
          <w:szCs w:val="23"/>
        </w:rPr>
      </w:pPr>
      <w:r>
        <w:rPr>
          <w:szCs w:val="23"/>
        </w:rPr>
        <w:t>The n</w:t>
      </w:r>
      <w:r w:rsidR="00896C1A" w:rsidRPr="00F71182">
        <w:rPr>
          <w:szCs w:val="23"/>
        </w:rPr>
        <w:t xml:space="preserve">ew Corporate Plan 2025 – 2029 adopted </w:t>
      </w:r>
      <w:r>
        <w:rPr>
          <w:szCs w:val="23"/>
        </w:rPr>
        <w:t xml:space="preserve">in </w:t>
      </w:r>
      <w:r w:rsidR="00896C1A" w:rsidRPr="00F71182">
        <w:rPr>
          <w:szCs w:val="23"/>
        </w:rPr>
        <w:t xml:space="preserve">December following extensive </w:t>
      </w:r>
      <w:r w:rsidR="009C0977">
        <w:rPr>
          <w:szCs w:val="23"/>
        </w:rPr>
        <w:t>councillor</w:t>
      </w:r>
      <w:r w:rsidR="00896C1A" w:rsidRPr="00F71182">
        <w:rPr>
          <w:szCs w:val="23"/>
        </w:rPr>
        <w:t xml:space="preserve">, </w:t>
      </w:r>
      <w:r w:rsidR="00212D9E">
        <w:rPr>
          <w:szCs w:val="23"/>
        </w:rPr>
        <w:t>s</w:t>
      </w:r>
      <w:r w:rsidR="00896C1A" w:rsidRPr="00F71182">
        <w:rPr>
          <w:szCs w:val="23"/>
        </w:rPr>
        <w:t>taff and public consultation and engagement</w:t>
      </w:r>
      <w:r w:rsidR="00B56B05">
        <w:rPr>
          <w:szCs w:val="23"/>
        </w:rPr>
        <w:t>,</w:t>
      </w:r>
      <w:r w:rsidR="00896C1A" w:rsidRPr="00F71182">
        <w:rPr>
          <w:szCs w:val="23"/>
        </w:rPr>
        <w:t xml:space="preserve"> with just under 1,000 participants in</w:t>
      </w:r>
      <w:r>
        <w:rPr>
          <w:szCs w:val="23"/>
        </w:rPr>
        <w:t>volved in</w:t>
      </w:r>
      <w:r w:rsidR="00896C1A" w:rsidRPr="00F71182">
        <w:rPr>
          <w:szCs w:val="23"/>
        </w:rPr>
        <w:t xml:space="preserve"> the consultation processe</w:t>
      </w:r>
      <w:r w:rsidR="00E357DB" w:rsidRPr="00F71182">
        <w:rPr>
          <w:szCs w:val="23"/>
        </w:rPr>
        <w:t>s.</w:t>
      </w:r>
    </w:p>
    <w:p w14:paraId="6096C1D2" w14:textId="77777777" w:rsidR="00896C1A" w:rsidRPr="00F71182" w:rsidRDefault="00896C1A" w:rsidP="00F71182">
      <w:pPr>
        <w:pStyle w:val="ListParagraph"/>
        <w:numPr>
          <w:ilvl w:val="0"/>
          <w:numId w:val="16"/>
        </w:numPr>
        <w:spacing w:after="0" w:line="276" w:lineRule="auto"/>
        <w:mirrorIndents/>
        <w:rPr>
          <w:szCs w:val="23"/>
        </w:rPr>
      </w:pPr>
      <w:r w:rsidRPr="00F71182">
        <w:rPr>
          <w:szCs w:val="23"/>
        </w:rPr>
        <w:t>The Corporate Governance Framework was actively promoted, managed and monitored corporately including the Ethics Framework, the reporting of Political Donations for Councillors, Section 142 Register of Councillor Payments and Attendance and the Section 141 Register of Councillor Payments and Attendance to outside bodies, Protected Disclosures reporting, the Public Spending Code Quality Assurance Report and compliance with the requirements of the Lobbying Act, to ensure all council business is conducted in a transparent way. Legislative changes were reviewed, and measures implemented to ensure compliance. New Code of Governance for the Local Government Sector in place.</w:t>
      </w:r>
    </w:p>
    <w:p w14:paraId="1296799F" w14:textId="41CABACF" w:rsidR="00896C1A" w:rsidRPr="00F71182" w:rsidRDefault="1A77215F" w:rsidP="00F71182">
      <w:pPr>
        <w:pStyle w:val="ListParagraph"/>
        <w:numPr>
          <w:ilvl w:val="0"/>
          <w:numId w:val="16"/>
        </w:numPr>
        <w:spacing w:after="0" w:line="276" w:lineRule="auto"/>
        <w:mirrorIndents/>
      </w:pPr>
      <w:r>
        <w:t>The Corporate Performance Reporting Framework also actively support</w:t>
      </w:r>
      <w:r w:rsidR="54C0BEB9">
        <w:t>ed</w:t>
      </w:r>
      <w:r>
        <w:t xml:space="preserve"> the values of accountability, transparency and value for money,</w:t>
      </w:r>
      <w:r w:rsidRPr="11DF5C04">
        <w:rPr>
          <w:color w:val="FF0000"/>
        </w:rPr>
        <w:t xml:space="preserve"> </w:t>
      </w:r>
      <w:r w:rsidR="5F682E85">
        <w:t xml:space="preserve">through </w:t>
      </w:r>
      <w:r>
        <w:t xml:space="preserve">the Chief Executive’s monthly </w:t>
      </w:r>
      <w:r w:rsidR="4B8791F7">
        <w:t>report including</w:t>
      </w:r>
      <w:r w:rsidR="54C0BEB9">
        <w:t xml:space="preserve"> </w:t>
      </w:r>
      <w:r>
        <w:t xml:space="preserve">performance </w:t>
      </w:r>
      <w:r>
        <w:lastRenderedPageBreak/>
        <w:t>indicators and digital dashboards, the 2023 Annual Report and the 2024 Service Delivery Plan and application across</w:t>
      </w:r>
      <w:r w:rsidRPr="11DF5C04">
        <w:rPr>
          <w:color w:val="FF0000"/>
        </w:rPr>
        <w:t xml:space="preserve"> </w:t>
      </w:r>
      <w:r w:rsidRPr="11DF5C04">
        <w:rPr>
          <w:color w:val="auto"/>
        </w:rPr>
        <w:t>into</w:t>
      </w:r>
      <w:r>
        <w:t xml:space="preserve"> PMDS. </w:t>
      </w:r>
      <w:r w:rsidR="470D1A31">
        <w:t xml:space="preserve"> </w:t>
      </w:r>
      <w:r w:rsidR="127865A1">
        <w:t xml:space="preserve">Analysis of the </w:t>
      </w:r>
      <w:r>
        <w:t xml:space="preserve">NOAC Performance Indicators </w:t>
      </w:r>
      <w:r w:rsidR="127865A1">
        <w:t xml:space="preserve">was </w:t>
      </w:r>
      <w:r w:rsidR="50C52AE0">
        <w:t xml:space="preserve">presented to </w:t>
      </w:r>
      <w:r w:rsidR="502C8721">
        <w:t>the Audit Committee and circulated across the organisation a</w:t>
      </w:r>
      <w:r>
        <w:t xml:space="preserve">nd </w:t>
      </w:r>
      <w:r w:rsidR="60B13104">
        <w:t>a p</w:t>
      </w:r>
      <w:r>
        <w:t xml:space="preserve">erformance </w:t>
      </w:r>
      <w:r w:rsidR="60B13104">
        <w:t>v</w:t>
      </w:r>
      <w:r>
        <w:t xml:space="preserve">erification process </w:t>
      </w:r>
      <w:r w:rsidR="60B13104">
        <w:t xml:space="preserve">was </w:t>
      </w:r>
      <w:r w:rsidR="502C8721">
        <w:t xml:space="preserve">also </w:t>
      </w:r>
      <w:r>
        <w:t>completed by NOAC</w:t>
      </w:r>
      <w:r w:rsidR="05A9A4F3">
        <w:t>.</w:t>
      </w:r>
    </w:p>
    <w:p w14:paraId="31C4848E" w14:textId="4318560A" w:rsidR="00896C1A" w:rsidRPr="00F71182" w:rsidRDefault="00BF20DE" w:rsidP="00F71182">
      <w:pPr>
        <w:pStyle w:val="ListParagraph"/>
        <w:numPr>
          <w:ilvl w:val="0"/>
          <w:numId w:val="16"/>
        </w:numPr>
        <w:spacing w:after="0" w:line="276" w:lineRule="auto"/>
        <w:mirrorIndents/>
        <w:rPr>
          <w:szCs w:val="23"/>
        </w:rPr>
      </w:pPr>
      <w:r>
        <w:rPr>
          <w:szCs w:val="23"/>
        </w:rPr>
        <w:t>The n</w:t>
      </w:r>
      <w:r w:rsidR="00896C1A" w:rsidRPr="00F71182">
        <w:rPr>
          <w:szCs w:val="23"/>
        </w:rPr>
        <w:t>ew Audit C</w:t>
      </w:r>
      <w:r w:rsidR="00C81215">
        <w:rPr>
          <w:szCs w:val="23"/>
        </w:rPr>
        <w:t>ommi</w:t>
      </w:r>
      <w:r w:rsidR="00896C1A" w:rsidRPr="00F71182">
        <w:rPr>
          <w:szCs w:val="23"/>
        </w:rPr>
        <w:t xml:space="preserve">ttee </w:t>
      </w:r>
      <w:r>
        <w:rPr>
          <w:szCs w:val="23"/>
        </w:rPr>
        <w:t xml:space="preserve">was </w:t>
      </w:r>
      <w:r w:rsidR="00896C1A" w:rsidRPr="00F71182">
        <w:rPr>
          <w:szCs w:val="23"/>
        </w:rPr>
        <w:t>established</w:t>
      </w:r>
      <w:r>
        <w:rPr>
          <w:szCs w:val="23"/>
        </w:rPr>
        <w:t xml:space="preserve"> with</w:t>
      </w:r>
      <w:r w:rsidR="00896C1A" w:rsidRPr="00F71182">
        <w:rPr>
          <w:szCs w:val="23"/>
        </w:rPr>
        <w:t xml:space="preserve"> </w:t>
      </w:r>
      <w:r w:rsidR="00C81215">
        <w:rPr>
          <w:szCs w:val="23"/>
        </w:rPr>
        <w:t>four</w:t>
      </w:r>
      <w:r w:rsidR="00896C1A" w:rsidRPr="00F71182">
        <w:rPr>
          <w:szCs w:val="23"/>
        </w:rPr>
        <w:t xml:space="preserve"> meetings </w:t>
      </w:r>
      <w:r w:rsidR="006F6ACA">
        <w:rPr>
          <w:szCs w:val="23"/>
        </w:rPr>
        <w:t xml:space="preserve">facilitated </w:t>
      </w:r>
      <w:r w:rsidR="00896C1A" w:rsidRPr="00F71182">
        <w:rPr>
          <w:szCs w:val="23"/>
        </w:rPr>
        <w:t xml:space="preserve">to </w:t>
      </w:r>
      <w:r w:rsidR="002F09DA">
        <w:rPr>
          <w:szCs w:val="23"/>
        </w:rPr>
        <w:t>support key r</w:t>
      </w:r>
      <w:r w:rsidR="00896C1A" w:rsidRPr="00F71182">
        <w:rPr>
          <w:szCs w:val="23"/>
        </w:rPr>
        <w:t>esponsibilities including consideration of Internal Audit reports and the Local Government Audit of the Annual Financial Statement.</w:t>
      </w:r>
    </w:p>
    <w:p w14:paraId="5B1E137A" w14:textId="63F811E3" w:rsidR="00896C1A" w:rsidRPr="00F71182" w:rsidRDefault="1A77215F" w:rsidP="11DF5C04">
      <w:pPr>
        <w:pStyle w:val="ListParagraph"/>
        <w:numPr>
          <w:ilvl w:val="0"/>
          <w:numId w:val="16"/>
        </w:numPr>
        <w:spacing w:after="0" w:line="276" w:lineRule="auto"/>
        <w:mirrorIndents/>
      </w:pPr>
      <w:r>
        <w:t xml:space="preserve">Procurement changes saw the introduction of a new OGP </w:t>
      </w:r>
      <w:proofErr w:type="spellStart"/>
      <w:r>
        <w:t>eTenders</w:t>
      </w:r>
      <w:proofErr w:type="spellEnd"/>
      <w:r>
        <w:t xml:space="preserve"> System in 2023</w:t>
      </w:r>
      <w:r w:rsidR="62DB7C65">
        <w:t xml:space="preserve"> and o</w:t>
      </w:r>
      <w:r>
        <w:t>ngoing upgrades to the system during 2024 meant the Procurement unit had to ensure all new updates were communicated to staff in a timely manner through the Steering group.</w:t>
      </w:r>
    </w:p>
    <w:p w14:paraId="2BDE0BA2" w14:textId="77777777" w:rsidR="00896C1A" w:rsidRPr="00F71182" w:rsidRDefault="00896C1A" w:rsidP="00F71182">
      <w:pPr>
        <w:pStyle w:val="ListParagraph"/>
        <w:numPr>
          <w:ilvl w:val="0"/>
          <w:numId w:val="16"/>
        </w:numPr>
        <w:spacing w:after="0" w:line="276" w:lineRule="auto"/>
        <w:mirrorIndents/>
        <w:rPr>
          <w:szCs w:val="23"/>
        </w:rPr>
      </w:pPr>
      <w:r w:rsidRPr="00F71182">
        <w:rPr>
          <w:szCs w:val="23"/>
        </w:rPr>
        <w:t>124 contracts of over €25,000 in value were awarded during the year.</w:t>
      </w:r>
    </w:p>
    <w:p w14:paraId="0071174E" w14:textId="77777777" w:rsidR="00896C1A" w:rsidRPr="00F71182" w:rsidRDefault="00896C1A" w:rsidP="00F71182">
      <w:pPr>
        <w:pStyle w:val="ListParagraph"/>
        <w:numPr>
          <w:ilvl w:val="0"/>
          <w:numId w:val="16"/>
        </w:numPr>
        <w:spacing w:after="0" w:line="276" w:lineRule="auto"/>
        <w:mirrorIndents/>
        <w:rPr>
          <w:szCs w:val="23"/>
        </w:rPr>
      </w:pPr>
      <w:r w:rsidRPr="00F71182">
        <w:rPr>
          <w:szCs w:val="23"/>
        </w:rPr>
        <w:t>Implementation of the 2024-2026 Procurement Plan including quarterly meetings of the Steering Group, ongoing maintenance of the contracts database and procurement pipeline, compliance checks and the provision of both procurement and green public procurement training, advice and information to staff.</w:t>
      </w:r>
    </w:p>
    <w:p w14:paraId="0D97A976" w14:textId="33AEDD57" w:rsidR="00896C1A" w:rsidRPr="00F71182" w:rsidRDefault="00C0694D" w:rsidP="00F71182">
      <w:pPr>
        <w:pStyle w:val="ListParagraph"/>
        <w:numPr>
          <w:ilvl w:val="0"/>
          <w:numId w:val="16"/>
        </w:numPr>
        <w:spacing w:after="0" w:line="276" w:lineRule="auto"/>
        <w:mirrorIndents/>
        <w:rPr>
          <w:szCs w:val="23"/>
        </w:rPr>
      </w:pPr>
      <w:r>
        <w:rPr>
          <w:szCs w:val="23"/>
        </w:rPr>
        <w:t xml:space="preserve">The </w:t>
      </w:r>
      <w:r w:rsidR="00896C1A" w:rsidRPr="00F71182">
        <w:rPr>
          <w:szCs w:val="23"/>
        </w:rPr>
        <w:t xml:space="preserve">Public Spending Code Quality Assurance Report for 2023 </w:t>
      </w:r>
      <w:r>
        <w:rPr>
          <w:szCs w:val="23"/>
        </w:rPr>
        <w:t xml:space="preserve">was </w:t>
      </w:r>
      <w:r w:rsidR="00896C1A" w:rsidRPr="00F71182">
        <w:rPr>
          <w:szCs w:val="23"/>
        </w:rPr>
        <w:t>published and submitted to NOAC.</w:t>
      </w:r>
    </w:p>
    <w:p w14:paraId="0E4CC819" w14:textId="776D2B1F" w:rsidR="00896C1A" w:rsidRPr="00F71182" w:rsidRDefault="375A1889" w:rsidP="00F71182">
      <w:pPr>
        <w:pStyle w:val="ListParagraph"/>
        <w:numPr>
          <w:ilvl w:val="0"/>
          <w:numId w:val="16"/>
        </w:numPr>
        <w:spacing w:after="0" w:line="276" w:lineRule="auto"/>
        <w:mirrorIndents/>
      </w:pPr>
      <w:r>
        <w:t xml:space="preserve">A </w:t>
      </w:r>
      <w:r w:rsidR="1A77215F">
        <w:t xml:space="preserve">Data Protection Officer </w:t>
      </w:r>
      <w:r w:rsidR="3B0EDA0D">
        <w:t xml:space="preserve">was </w:t>
      </w:r>
      <w:r w:rsidR="1A77215F">
        <w:t>appointed through external service provision to liaise on all matters with the Data Protection Commission, including a full response to the commission on an ongoing audit of surveillance technology for law enforcement purposes, handling data breaches and ongoing compliance issues</w:t>
      </w:r>
      <w:r w:rsidR="05A9A4F3">
        <w:t>.</w:t>
      </w:r>
    </w:p>
    <w:p w14:paraId="32A516DA" w14:textId="4BFD0EBB" w:rsidR="00896C1A" w:rsidRPr="00F71182" w:rsidRDefault="00896C1A" w:rsidP="00F71182">
      <w:pPr>
        <w:pStyle w:val="ListParagraph"/>
        <w:numPr>
          <w:ilvl w:val="0"/>
          <w:numId w:val="16"/>
        </w:numPr>
        <w:spacing w:after="0" w:line="276" w:lineRule="auto"/>
        <w:mirrorIndents/>
        <w:rPr>
          <w:szCs w:val="23"/>
        </w:rPr>
      </w:pPr>
      <w:r w:rsidRPr="00F71182">
        <w:rPr>
          <w:szCs w:val="23"/>
        </w:rPr>
        <w:t>337 Freedom of Information and Data Access requests were responded to</w:t>
      </w:r>
      <w:r w:rsidR="00E357DB" w:rsidRPr="00F71182">
        <w:rPr>
          <w:szCs w:val="23"/>
        </w:rPr>
        <w:t>.</w:t>
      </w:r>
    </w:p>
    <w:p w14:paraId="1BFA9FA8" w14:textId="77777777" w:rsidR="00726E8A" w:rsidRPr="008D7F4A" w:rsidRDefault="00726E8A" w:rsidP="00792FC8">
      <w:pPr>
        <w:spacing w:after="0" w:line="276" w:lineRule="auto"/>
        <w:ind w:left="288" w:hanging="426"/>
        <w:textAlignment w:val="baseline"/>
        <w:rPr>
          <w:rFonts w:eastAsia="Times New Roman"/>
          <w:color w:val="auto"/>
          <w:kern w:val="0"/>
          <w:szCs w:val="23"/>
          <w14:ligatures w14:val="none"/>
        </w:rPr>
      </w:pPr>
    </w:p>
    <w:p w14:paraId="3BB9F066" w14:textId="1AFBD152" w:rsidR="008E4E5E" w:rsidRDefault="008E4E5E" w:rsidP="000D6A26">
      <w:pPr>
        <w:spacing w:after="0" w:line="276" w:lineRule="auto"/>
        <w:ind w:left="0" w:hanging="69"/>
        <w:textAlignment w:val="baseline"/>
        <w:rPr>
          <w:rFonts w:eastAsia="Times New Roman"/>
          <w:color w:val="auto"/>
          <w:kern w:val="0"/>
          <w:szCs w:val="23"/>
          <w14:ligatures w14:val="none"/>
        </w:rPr>
      </w:pPr>
      <w:r w:rsidRPr="008D7F4A">
        <w:rPr>
          <w:rFonts w:eastAsia="Times New Roman"/>
          <w:b/>
          <w:color w:val="auto"/>
          <w:kern w:val="0"/>
          <w:szCs w:val="23"/>
          <w:lang w:val="en-GB"/>
          <w14:ligatures w14:val="none"/>
        </w:rPr>
        <w:t>Build public trust through the delivery of effective communications and citizen engagement</w:t>
      </w:r>
      <w:r w:rsidRPr="008D7F4A">
        <w:rPr>
          <w:rFonts w:eastAsia="Times New Roman"/>
          <w:color w:val="auto"/>
          <w:kern w:val="0"/>
          <w:szCs w:val="23"/>
          <w14:ligatures w14:val="none"/>
        </w:rPr>
        <w:t> </w:t>
      </w:r>
    </w:p>
    <w:p w14:paraId="14E398DE" w14:textId="30B9BFEC" w:rsidR="00964BAF" w:rsidRPr="00233E0D" w:rsidRDefault="00964BAF" w:rsidP="00233E0D">
      <w:pPr>
        <w:pStyle w:val="ListParagraph"/>
        <w:numPr>
          <w:ilvl w:val="0"/>
          <w:numId w:val="17"/>
        </w:numPr>
        <w:spacing w:after="0" w:line="276" w:lineRule="auto"/>
        <w:rPr>
          <w:szCs w:val="23"/>
        </w:rPr>
      </w:pPr>
      <w:r w:rsidRPr="00233E0D">
        <w:rPr>
          <w:szCs w:val="23"/>
        </w:rPr>
        <w:t xml:space="preserve">Development of </w:t>
      </w:r>
      <w:r w:rsidR="00F4284D">
        <w:rPr>
          <w:szCs w:val="23"/>
        </w:rPr>
        <w:t>our b</w:t>
      </w:r>
      <w:r w:rsidRPr="00233E0D">
        <w:rPr>
          <w:szCs w:val="23"/>
        </w:rPr>
        <w:t xml:space="preserve">rand strategy, architecture and creatives </w:t>
      </w:r>
      <w:r w:rsidR="00C12CE1">
        <w:rPr>
          <w:szCs w:val="23"/>
        </w:rPr>
        <w:t xml:space="preserve">progressed, </w:t>
      </w:r>
      <w:r w:rsidRPr="00233E0D">
        <w:rPr>
          <w:szCs w:val="23"/>
        </w:rPr>
        <w:t>informed by a discovery phase which included desk-top research and active engagement across local, national and international stakeholders and experts on place-branding</w:t>
      </w:r>
      <w:r w:rsidR="00D2440E" w:rsidRPr="00233E0D">
        <w:rPr>
          <w:szCs w:val="23"/>
        </w:rPr>
        <w:t>.</w:t>
      </w:r>
    </w:p>
    <w:p w14:paraId="7A6C26D4" w14:textId="61049DF2" w:rsidR="00964BAF" w:rsidRPr="00233E0D" w:rsidRDefault="00964BAF" w:rsidP="00233E0D">
      <w:pPr>
        <w:pStyle w:val="ListParagraph"/>
        <w:numPr>
          <w:ilvl w:val="0"/>
          <w:numId w:val="17"/>
        </w:numPr>
        <w:spacing w:after="0" w:line="276" w:lineRule="auto"/>
        <w:rPr>
          <w:szCs w:val="23"/>
        </w:rPr>
      </w:pPr>
      <w:r w:rsidRPr="00233E0D">
        <w:rPr>
          <w:szCs w:val="23"/>
        </w:rPr>
        <w:t>Over 1.6</w:t>
      </w:r>
      <w:r w:rsidR="00CD747F">
        <w:rPr>
          <w:szCs w:val="23"/>
        </w:rPr>
        <w:t xml:space="preserve"> </w:t>
      </w:r>
      <w:r w:rsidRPr="00233E0D">
        <w:rPr>
          <w:szCs w:val="23"/>
        </w:rPr>
        <w:t>million people engaged with us on social media and over 1.7 million people accessed information on our websites</w:t>
      </w:r>
      <w:r w:rsidR="00D2440E" w:rsidRPr="00233E0D">
        <w:rPr>
          <w:szCs w:val="23"/>
        </w:rPr>
        <w:t>.</w:t>
      </w:r>
      <w:r w:rsidRPr="00233E0D">
        <w:rPr>
          <w:szCs w:val="23"/>
        </w:rPr>
        <w:t xml:space="preserve"> </w:t>
      </w:r>
    </w:p>
    <w:p w14:paraId="221A9D56" w14:textId="057F05F6" w:rsidR="00964BAF" w:rsidRPr="00233E0D" w:rsidRDefault="00964BAF" w:rsidP="00233E0D">
      <w:pPr>
        <w:pStyle w:val="ListParagraph"/>
        <w:numPr>
          <w:ilvl w:val="0"/>
          <w:numId w:val="17"/>
        </w:numPr>
        <w:spacing w:after="0" w:line="276" w:lineRule="auto"/>
        <w:rPr>
          <w:szCs w:val="23"/>
        </w:rPr>
      </w:pPr>
      <w:r w:rsidRPr="00233E0D">
        <w:rPr>
          <w:szCs w:val="23"/>
        </w:rPr>
        <w:t xml:space="preserve">Area Committee Meetings webcasting commenced in January and </w:t>
      </w:r>
      <w:r w:rsidR="002E090C">
        <w:rPr>
          <w:szCs w:val="23"/>
        </w:rPr>
        <w:t xml:space="preserve">all </w:t>
      </w:r>
      <w:r w:rsidRPr="00233E0D">
        <w:rPr>
          <w:szCs w:val="23"/>
        </w:rPr>
        <w:t xml:space="preserve">webcasted meetings are now </w:t>
      </w:r>
      <w:r w:rsidR="00DF0E06" w:rsidRPr="00233E0D">
        <w:rPr>
          <w:szCs w:val="23"/>
        </w:rPr>
        <w:t>live streamed</w:t>
      </w:r>
      <w:r w:rsidRPr="00233E0D">
        <w:rPr>
          <w:szCs w:val="23"/>
        </w:rPr>
        <w:t xml:space="preserve"> on social media</w:t>
      </w:r>
      <w:r w:rsidR="00D2440E" w:rsidRPr="00233E0D">
        <w:rPr>
          <w:szCs w:val="23"/>
        </w:rPr>
        <w:t>.</w:t>
      </w:r>
      <w:r w:rsidRPr="00233E0D">
        <w:rPr>
          <w:szCs w:val="23"/>
        </w:rPr>
        <w:t xml:space="preserve"> </w:t>
      </w:r>
    </w:p>
    <w:p w14:paraId="7212ABB4" w14:textId="3E9CC075" w:rsidR="00964BAF" w:rsidRPr="00233E0D" w:rsidRDefault="00964BAF" w:rsidP="00233E0D">
      <w:pPr>
        <w:pStyle w:val="ListParagraph"/>
        <w:numPr>
          <w:ilvl w:val="0"/>
          <w:numId w:val="17"/>
        </w:numPr>
        <w:spacing w:after="0" w:line="276" w:lineRule="auto"/>
        <w:rPr>
          <w:szCs w:val="23"/>
        </w:rPr>
      </w:pPr>
      <w:r w:rsidRPr="00233E0D">
        <w:rPr>
          <w:szCs w:val="23"/>
        </w:rPr>
        <w:t xml:space="preserve">An independent evaluation of the Have Your Say participatory budgeting initiative was carried out and the recommendations were presented and </w:t>
      </w:r>
      <w:r w:rsidR="00481CE8" w:rsidRPr="00233E0D">
        <w:rPr>
          <w:szCs w:val="23"/>
        </w:rPr>
        <w:t>a</w:t>
      </w:r>
      <w:r w:rsidRPr="00233E0D">
        <w:rPr>
          <w:szCs w:val="23"/>
        </w:rPr>
        <w:t>greed for development / implementation</w:t>
      </w:r>
      <w:r w:rsidR="00DB0D5A">
        <w:rPr>
          <w:szCs w:val="23"/>
        </w:rPr>
        <w:t>.</w:t>
      </w:r>
    </w:p>
    <w:p w14:paraId="515212D3" w14:textId="570960DA" w:rsidR="00964BAF" w:rsidRPr="00233E0D" w:rsidRDefault="00964BAF" w:rsidP="00233E0D">
      <w:pPr>
        <w:pStyle w:val="ListParagraph"/>
        <w:numPr>
          <w:ilvl w:val="0"/>
          <w:numId w:val="17"/>
        </w:numPr>
        <w:spacing w:after="0" w:line="276" w:lineRule="auto"/>
        <w:rPr>
          <w:szCs w:val="23"/>
        </w:rPr>
      </w:pPr>
      <w:r w:rsidRPr="00233E0D">
        <w:rPr>
          <w:szCs w:val="23"/>
        </w:rPr>
        <w:t xml:space="preserve">The summer and winter editions of </w:t>
      </w:r>
      <w:r w:rsidR="002E090C">
        <w:rPr>
          <w:szCs w:val="23"/>
        </w:rPr>
        <w:t>our</w:t>
      </w:r>
      <w:r w:rsidR="002E090C" w:rsidRPr="00233E0D">
        <w:rPr>
          <w:szCs w:val="23"/>
        </w:rPr>
        <w:t xml:space="preserve"> newsletter, </w:t>
      </w:r>
      <w:r w:rsidRPr="00233E0D">
        <w:rPr>
          <w:szCs w:val="23"/>
        </w:rPr>
        <w:t xml:space="preserve">South Dublin County Today, were published and the summer edition was delivered to every home, school and business across the </w:t>
      </w:r>
      <w:r w:rsidR="002E090C">
        <w:rPr>
          <w:szCs w:val="23"/>
        </w:rPr>
        <w:t>c</w:t>
      </w:r>
      <w:r w:rsidRPr="00233E0D">
        <w:rPr>
          <w:szCs w:val="23"/>
        </w:rPr>
        <w:t>ounty in June.</w:t>
      </w:r>
    </w:p>
    <w:p w14:paraId="54A8FAFF" w14:textId="12246C79" w:rsidR="00964BAF" w:rsidRPr="00233E0D" w:rsidRDefault="00964BAF" w:rsidP="00233E0D">
      <w:pPr>
        <w:pStyle w:val="ListParagraph"/>
        <w:numPr>
          <w:ilvl w:val="0"/>
          <w:numId w:val="17"/>
        </w:numPr>
        <w:spacing w:after="0" w:line="276" w:lineRule="auto"/>
        <w:rPr>
          <w:szCs w:val="23"/>
        </w:rPr>
      </w:pPr>
      <w:r w:rsidRPr="00233E0D">
        <w:rPr>
          <w:szCs w:val="23"/>
        </w:rPr>
        <w:t>Corporate publications including the Annual Report for 2023, the 2024 Service Delivery Plan and monthly reports and indicators on progress</w:t>
      </w:r>
      <w:r w:rsidR="00DE6E32">
        <w:rPr>
          <w:szCs w:val="23"/>
        </w:rPr>
        <w:t>,</w:t>
      </w:r>
      <w:r w:rsidRPr="00233E0D">
        <w:rPr>
          <w:szCs w:val="23"/>
        </w:rPr>
        <w:t xml:space="preserve"> were presented to the Council and published on the </w:t>
      </w:r>
      <w:r w:rsidR="003F43E1">
        <w:rPr>
          <w:szCs w:val="23"/>
        </w:rPr>
        <w:t>“</w:t>
      </w:r>
      <w:r w:rsidRPr="00233E0D">
        <w:rPr>
          <w:szCs w:val="23"/>
        </w:rPr>
        <w:t>Our Performance</w:t>
      </w:r>
      <w:r w:rsidR="003F43E1">
        <w:rPr>
          <w:szCs w:val="23"/>
        </w:rPr>
        <w:t>”</w:t>
      </w:r>
      <w:r w:rsidRPr="00233E0D">
        <w:rPr>
          <w:szCs w:val="23"/>
        </w:rPr>
        <w:t xml:space="preserve"> section of </w:t>
      </w:r>
      <w:hyperlink r:id="rId9" w:history="1">
        <w:r w:rsidR="003F43E1" w:rsidRPr="004402BC">
          <w:rPr>
            <w:rStyle w:val="Hyperlink"/>
            <w:szCs w:val="23"/>
          </w:rPr>
          <w:t>www.sdcc.ie</w:t>
        </w:r>
      </w:hyperlink>
      <w:r w:rsidR="00D2440E" w:rsidRPr="00233E0D">
        <w:rPr>
          <w:szCs w:val="23"/>
        </w:rPr>
        <w:t>.</w:t>
      </w:r>
    </w:p>
    <w:p w14:paraId="71B1FA60" w14:textId="513D6249" w:rsidR="00964BAF" w:rsidRPr="00233E0D" w:rsidRDefault="18DB9039" w:rsidP="11DF5C04">
      <w:pPr>
        <w:pStyle w:val="ListParagraph"/>
        <w:numPr>
          <w:ilvl w:val="0"/>
          <w:numId w:val="17"/>
        </w:numPr>
        <w:spacing w:after="0" w:line="276" w:lineRule="auto"/>
      </w:pPr>
      <w:r>
        <w:t>Ongoing staff communications were supported through the intranet, staff app, digital newsletters and digital screens across work locations</w:t>
      </w:r>
      <w:r w:rsidR="50A4D3FB">
        <w:t>.</w:t>
      </w:r>
      <w:r>
        <w:t xml:space="preserve"> </w:t>
      </w:r>
    </w:p>
    <w:p w14:paraId="53DF2ABC" w14:textId="77777777" w:rsidR="00964BAF" w:rsidRPr="00233E0D" w:rsidRDefault="18DB9039" w:rsidP="11DF5C04">
      <w:pPr>
        <w:pStyle w:val="ListParagraph"/>
        <w:numPr>
          <w:ilvl w:val="0"/>
          <w:numId w:val="17"/>
        </w:numPr>
        <w:spacing w:after="0" w:line="276" w:lineRule="auto"/>
      </w:pPr>
      <w:r>
        <w:t xml:space="preserve">Management of content on new outside screens across the County Hall campus and with the creation of Parthalán Place. </w:t>
      </w:r>
    </w:p>
    <w:p w14:paraId="42D240F9" w14:textId="4C089E41" w:rsidR="00E77D63" w:rsidRPr="008D7F4A" w:rsidRDefault="00E77D63" w:rsidP="11DF5C04">
      <w:pPr>
        <w:spacing w:after="0" w:line="276" w:lineRule="auto"/>
        <w:ind w:left="0" w:firstLine="0"/>
        <w:textAlignment w:val="baseline"/>
        <w:rPr>
          <w:rFonts w:eastAsia="Times New Roman"/>
          <w:color w:val="auto"/>
          <w:kern w:val="0"/>
          <w14:ligatures w14:val="none"/>
        </w:rPr>
      </w:pPr>
    </w:p>
    <w:p w14:paraId="501959D8" w14:textId="4999E70B" w:rsidR="008E4E5E" w:rsidRDefault="008E4E5E" w:rsidP="000D6A26">
      <w:pPr>
        <w:spacing w:after="0" w:line="276" w:lineRule="auto"/>
        <w:ind w:left="0" w:firstLine="0"/>
        <w:textAlignment w:val="baseline"/>
        <w:rPr>
          <w:rFonts w:eastAsia="Times New Roman"/>
          <w:b/>
          <w:color w:val="auto"/>
          <w:kern w:val="0"/>
          <w:szCs w:val="23"/>
          <w:lang w:val="en-GB"/>
          <w14:ligatures w14:val="none"/>
        </w:rPr>
      </w:pPr>
      <w:r w:rsidRPr="008D7F4A">
        <w:rPr>
          <w:rFonts w:eastAsia="Times New Roman"/>
          <w:b/>
          <w:color w:val="auto"/>
          <w:kern w:val="0"/>
          <w:szCs w:val="23"/>
          <w:lang w:val="en-GB"/>
          <w14:ligatures w14:val="none"/>
        </w:rPr>
        <w:t>Develop organisational capacity to actively support the delivery of the Corporate Plan objectives and the local government reform programme</w:t>
      </w:r>
    </w:p>
    <w:p w14:paraId="22A71588" w14:textId="1C9A99C6" w:rsidR="00322928" w:rsidRPr="00CA2854" w:rsidRDefault="57ECDC66" w:rsidP="11DF5C04">
      <w:pPr>
        <w:pStyle w:val="ListParagraph"/>
        <w:numPr>
          <w:ilvl w:val="0"/>
          <w:numId w:val="8"/>
        </w:numPr>
        <w:spacing w:after="0" w:line="276" w:lineRule="auto"/>
        <w:ind w:left="360"/>
      </w:pPr>
      <w:r>
        <w:t xml:space="preserve">During the year, 143 new staff joined </w:t>
      </w:r>
      <w:r w:rsidR="4CCB2709">
        <w:t>us</w:t>
      </w:r>
      <w:r>
        <w:t>, 82 existing staff were promoted, 69 staff left to pursue other opportunities, and 44 staff retired.</w:t>
      </w:r>
      <w:r w:rsidR="58103D15">
        <w:t xml:space="preserve">  We held 67 recruitment </w:t>
      </w:r>
      <w:r>
        <w:t>competitions over 161 days</w:t>
      </w:r>
      <w:r w:rsidR="58103D15">
        <w:t xml:space="preserve"> (representing </w:t>
      </w:r>
      <w:r w:rsidR="4B8791F7">
        <w:t>almost 65</w:t>
      </w:r>
      <w:r>
        <w:t>% of available working days</w:t>
      </w:r>
      <w:r w:rsidR="58103D15">
        <w:t>)</w:t>
      </w:r>
      <w:r>
        <w:t xml:space="preserve">. </w:t>
      </w:r>
      <w:r w:rsidR="58103D15">
        <w:t>Up to November</w:t>
      </w:r>
      <w:r>
        <w:t xml:space="preserve">, 1,980 application forms were processed and some 815 </w:t>
      </w:r>
      <w:r>
        <w:lastRenderedPageBreak/>
        <w:t xml:space="preserve">candidates interviewed, including </w:t>
      </w:r>
      <w:r w:rsidR="5EC12B56">
        <w:t>managing r</w:t>
      </w:r>
      <w:r>
        <w:t xml:space="preserve">ecruitment </w:t>
      </w:r>
      <w:r w:rsidR="5EC12B56">
        <w:t xml:space="preserve">of 93 graduates </w:t>
      </w:r>
      <w:r>
        <w:t xml:space="preserve">in the LGMA Graduate </w:t>
      </w:r>
      <w:r w:rsidR="1BF403A6">
        <w:t>Programme</w:t>
      </w:r>
      <w:r>
        <w:t xml:space="preserve"> </w:t>
      </w:r>
      <w:r w:rsidR="1BF403A6">
        <w:t xml:space="preserve">in the Dublin region with </w:t>
      </w:r>
      <w:r>
        <w:t>11 graduates across seven skill areas</w:t>
      </w:r>
      <w:r w:rsidR="1BF403A6">
        <w:t xml:space="preserve"> joining SDCC</w:t>
      </w:r>
      <w:r w:rsidR="11890E02">
        <w:t>.</w:t>
      </w:r>
    </w:p>
    <w:p w14:paraId="6DCE1813" w14:textId="0355AA10" w:rsidR="006D7841" w:rsidRPr="008D7F4A" w:rsidRDefault="006D7841" w:rsidP="00233E0D">
      <w:pPr>
        <w:pStyle w:val="ListParagraph"/>
        <w:numPr>
          <w:ilvl w:val="0"/>
          <w:numId w:val="8"/>
        </w:numPr>
        <w:spacing w:after="0" w:line="276" w:lineRule="auto"/>
        <w:ind w:left="360"/>
        <w:rPr>
          <w:szCs w:val="23"/>
        </w:rPr>
      </w:pPr>
      <w:r w:rsidRPr="008D7F4A">
        <w:rPr>
          <w:szCs w:val="23"/>
        </w:rPr>
        <w:t xml:space="preserve">Strategic workforce planning commenced and will be fully aligned with </w:t>
      </w:r>
      <w:r w:rsidR="007F31D9">
        <w:rPr>
          <w:szCs w:val="23"/>
        </w:rPr>
        <w:t>our</w:t>
      </w:r>
      <w:r w:rsidRPr="008D7F4A">
        <w:rPr>
          <w:szCs w:val="23"/>
        </w:rPr>
        <w:t xml:space="preserve"> new Corporate Plan</w:t>
      </w:r>
      <w:r w:rsidR="007F31D9">
        <w:rPr>
          <w:szCs w:val="23"/>
        </w:rPr>
        <w:t xml:space="preserve">. </w:t>
      </w:r>
      <w:r w:rsidRPr="008D7F4A">
        <w:rPr>
          <w:szCs w:val="23"/>
        </w:rPr>
        <w:t xml:space="preserve">This proactive management of </w:t>
      </w:r>
      <w:r w:rsidR="003F43E1">
        <w:rPr>
          <w:szCs w:val="23"/>
        </w:rPr>
        <w:t>our</w:t>
      </w:r>
      <w:r w:rsidRPr="008D7F4A">
        <w:rPr>
          <w:szCs w:val="23"/>
        </w:rPr>
        <w:t xml:space="preserve"> current and future workforce </w:t>
      </w:r>
      <w:r w:rsidR="007F31D9">
        <w:rPr>
          <w:szCs w:val="23"/>
        </w:rPr>
        <w:t xml:space="preserve">will enable us </w:t>
      </w:r>
      <w:r w:rsidRPr="008D7F4A">
        <w:rPr>
          <w:szCs w:val="23"/>
        </w:rPr>
        <w:t>to meet strategic challenges and to maintain a well-structured workforce of an appropriate size w</w:t>
      </w:r>
      <w:r w:rsidR="007F31D9">
        <w:rPr>
          <w:szCs w:val="23"/>
        </w:rPr>
        <w:t xml:space="preserve">ith </w:t>
      </w:r>
      <w:r w:rsidRPr="008D7F4A">
        <w:rPr>
          <w:szCs w:val="23"/>
        </w:rPr>
        <w:t xml:space="preserve">capacity to meet changing needs </w:t>
      </w:r>
      <w:r w:rsidR="00264195">
        <w:rPr>
          <w:szCs w:val="23"/>
        </w:rPr>
        <w:t>efficiently</w:t>
      </w:r>
      <w:r w:rsidR="00322928">
        <w:rPr>
          <w:szCs w:val="23"/>
        </w:rPr>
        <w:t>.</w:t>
      </w:r>
    </w:p>
    <w:p w14:paraId="42EFC614" w14:textId="5135AC02" w:rsidR="006D7841" w:rsidRPr="000475EB" w:rsidRDefault="00E76C11">
      <w:pPr>
        <w:pStyle w:val="ListParagraph"/>
        <w:numPr>
          <w:ilvl w:val="0"/>
          <w:numId w:val="8"/>
        </w:numPr>
        <w:spacing w:after="0" w:line="276" w:lineRule="auto"/>
        <w:ind w:left="360"/>
        <w:rPr>
          <w:szCs w:val="23"/>
        </w:rPr>
      </w:pPr>
      <w:r w:rsidRPr="000475EB">
        <w:rPr>
          <w:szCs w:val="23"/>
        </w:rPr>
        <w:t>We continued b</w:t>
      </w:r>
      <w:r w:rsidR="006D7841" w:rsidRPr="000475EB">
        <w:rPr>
          <w:szCs w:val="23"/>
        </w:rPr>
        <w:t xml:space="preserve">uilding stronger relationships with third-level institutions such as UCD and TUD Tallaght, facilitating </w:t>
      </w:r>
      <w:r w:rsidR="0001297C" w:rsidRPr="000475EB">
        <w:rPr>
          <w:szCs w:val="23"/>
        </w:rPr>
        <w:t>nine</w:t>
      </w:r>
      <w:r w:rsidR="006D7841" w:rsidRPr="000475EB">
        <w:rPr>
          <w:szCs w:val="23"/>
        </w:rPr>
        <w:t xml:space="preserve"> internship placements in LEO, ICT, and Planning</w:t>
      </w:r>
      <w:r w:rsidRPr="000475EB">
        <w:rPr>
          <w:szCs w:val="23"/>
        </w:rPr>
        <w:t xml:space="preserve"> while</w:t>
      </w:r>
      <w:r w:rsidR="000475EB" w:rsidRPr="000475EB">
        <w:rPr>
          <w:szCs w:val="23"/>
        </w:rPr>
        <w:t xml:space="preserve"> our </w:t>
      </w:r>
      <w:r w:rsidR="000475EB">
        <w:rPr>
          <w:szCs w:val="23"/>
        </w:rPr>
        <w:t xml:space="preserve">partnership with </w:t>
      </w:r>
      <w:r w:rsidR="006D7841" w:rsidRPr="000475EB">
        <w:rPr>
          <w:szCs w:val="23"/>
        </w:rPr>
        <w:t>AHEAD to deliver the WAM programme</w:t>
      </w:r>
      <w:r w:rsidR="000475EB">
        <w:rPr>
          <w:szCs w:val="23"/>
        </w:rPr>
        <w:t xml:space="preserve"> resulted in </w:t>
      </w:r>
      <w:r w:rsidR="006D7841" w:rsidRPr="000475EB">
        <w:rPr>
          <w:szCs w:val="23"/>
        </w:rPr>
        <w:t>two 12-month paid placements for graduates with disabilities.</w:t>
      </w:r>
    </w:p>
    <w:p w14:paraId="08DF2E15" w14:textId="00F0FE41" w:rsidR="00322928" w:rsidRPr="008D7F4A" w:rsidRDefault="26FB2A1F" w:rsidP="11DF5C04">
      <w:pPr>
        <w:pStyle w:val="ListParagraph"/>
        <w:numPr>
          <w:ilvl w:val="0"/>
          <w:numId w:val="8"/>
        </w:numPr>
        <w:spacing w:after="0" w:line="276" w:lineRule="auto"/>
        <w:ind w:left="360"/>
      </w:pPr>
      <w:r>
        <w:t xml:space="preserve">Rolling recruitment </w:t>
      </w:r>
      <w:r w:rsidR="28B7019E">
        <w:t xml:space="preserve">was </w:t>
      </w:r>
      <w:r>
        <w:t xml:space="preserve">successfully trialled </w:t>
      </w:r>
      <w:r w:rsidR="24D7453E">
        <w:t xml:space="preserve">to recruit </w:t>
      </w:r>
      <w:r>
        <w:t>Clerical Officer</w:t>
      </w:r>
      <w:r w:rsidR="24D7453E">
        <w:t>s</w:t>
      </w:r>
      <w:r>
        <w:t xml:space="preserve"> in </w:t>
      </w:r>
      <w:r w:rsidR="191B6B3F">
        <w:t xml:space="preserve">a </w:t>
      </w:r>
      <w:r>
        <w:t>shorter timeframe</w:t>
      </w:r>
      <w:r w:rsidR="24D7453E">
        <w:t xml:space="preserve"> and </w:t>
      </w:r>
      <w:r w:rsidR="57ECDC66">
        <w:t xml:space="preserve">38 summer students </w:t>
      </w:r>
      <w:r w:rsidR="24D7453E">
        <w:t xml:space="preserve">were </w:t>
      </w:r>
      <w:r w:rsidR="57ECDC66">
        <w:t>employed on 10-week contracts</w:t>
      </w:r>
      <w:r w:rsidR="6BA1FF36">
        <w:t>.</w:t>
      </w:r>
    </w:p>
    <w:p w14:paraId="78FA17B6" w14:textId="639F4B55" w:rsidR="000C5AAB" w:rsidRPr="008D7F4A" w:rsidRDefault="024BCD24" w:rsidP="11DF5C04">
      <w:pPr>
        <w:pStyle w:val="ListParagraph"/>
        <w:numPr>
          <w:ilvl w:val="0"/>
          <w:numId w:val="8"/>
        </w:numPr>
        <w:spacing w:after="0" w:line="276" w:lineRule="auto"/>
        <w:ind w:left="360"/>
      </w:pPr>
      <w:r>
        <w:t>Our Employee Induction Programme to welcome new employees was updated</w:t>
      </w:r>
      <w:r w:rsidRPr="11DF5C04">
        <w:rPr>
          <w:color w:val="FF0000"/>
        </w:rPr>
        <w:t xml:space="preserve"> </w:t>
      </w:r>
      <w:r>
        <w:t>to inc</w:t>
      </w:r>
      <w:r w:rsidR="58D42BF5">
        <w:t xml:space="preserve">orporate </w:t>
      </w:r>
      <w:r>
        <w:t>cyber security training.</w:t>
      </w:r>
    </w:p>
    <w:p w14:paraId="2FC74906" w14:textId="77777777" w:rsidR="000475EB" w:rsidRPr="008D7F4A" w:rsidRDefault="000475EB" w:rsidP="000475EB">
      <w:pPr>
        <w:pStyle w:val="ListParagraph"/>
        <w:numPr>
          <w:ilvl w:val="0"/>
          <w:numId w:val="8"/>
        </w:numPr>
        <w:spacing w:after="0" w:line="276" w:lineRule="auto"/>
        <w:ind w:left="360"/>
        <w:rPr>
          <w:szCs w:val="23"/>
        </w:rPr>
      </w:pPr>
      <w:r>
        <w:rPr>
          <w:szCs w:val="23"/>
        </w:rPr>
        <w:t xml:space="preserve">A </w:t>
      </w:r>
      <w:r w:rsidRPr="008D7F4A">
        <w:rPr>
          <w:szCs w:val="23"/>
        </w:rPr>
        <w:t>General Operative</w:t>
      </w:r>
      <w:r>
        <w:rPr>
          <w:szCs w:val="23"/>
        </w:rPr>
        <w:t xml:space="preserve"> (GO)</w:t>
      </w:r>
      <w:r w:rsidRPr="008D7F4A">
        <w:rPr>
          <w:szCs w:val="23"/>
        </w:rPr>
        <w:t xml:space="preserve"> Traineeship programme </w:t>
      </w:r>
      <w:r>
        <w:rPr>
          <w:szCs w:val="23"/>
        </w:rPr>
        <w:t xml:space="preserve">was </w:t>
      </w:r>
      <w:r w:rsidRPr="008D7F4A">
        <w:rPr>
          <w:szCs w:val="23"/>
        </w:rPr>
        <w:t>developed and rolled out</w:t>
      </w:r>
      <w:r>
        <w:rPr>
          <w:szCs w:val="23"/>
        </w:rPr>
        <w:t>,</w:t>
      </w:r>
      <w:r w:rsidRPr="008D7F4A">
        <w:rPr>
          <w:szCs w:val="23"/>
        </w:rPr>
        <w:t xml:space="preserve"> with </w:t>
      </w:r>
      <w:r>
        <w:rPr>
          <w:szCs w:val="23"/>
        </w:rPr>
        <w:t>nine</w:t>
      </w:r>
      <w:r w:rsidRPr="008D7F4A">
        <w:rPr>
          <w:szCs w:val="23"/>
        </w:rPr>
        <w:t xml:space="preserve"> GOs successfully completing.</w:t>
      </w:r>
    </w:p>
    <w:p w14:paraId="14E6B3D9" w14:textId="372B1176" w:rsidR="006D7841" w:rsidRPr="008D7F4A" w:rsidRDefault="000475EB" w:rsidP="00233E0D">
      <w:pPr>
        <w:pStyle w:val="ListParagraph"/>
        <w:numPr>
          <w:ilvl w:val="0"/>
          <w:numId w:val="8"/>
        </w:numPr>
        <w:spacing w:after="0" w:line="276" w:lineRule="auto"/>
        <w:ind w:left="360"/>
        <w:rPr>
          <w:szCs w:val="23"/>
        </w:rPr>
      </w:pPr>
      <w:r>
        <w:rPr>
          <w:szCs w:val="23"/>
        </w:rPr>
        <w:t xml:space="preserve">Our </w:t>
      </w:r>
      <w:r w:rsidR="006D7841" w:rsidRPr="008D7F4A">
        <w:rPr>
          <w:szCs w:val="23"/>
        </w:rPr>
        <w:t xml:space="preserve">2024 Gender Pay Gap Report </w:t>
      </w:r>
      <w:r>
        <w:rPr>
          <w:szCs w:val="23"/>
        </w:rPr>
        <w:t xml:space="preserve">was </w:t>
      </w:r>
      <w:r w:rsidR="006D7841" w:rsidRPr="008D7F4A">
        <w:rPr>
          <w:szCs w:val="23"/>
        </w:rPr>
        <w:t xml:space="preserve">published in December showing average earnings of all females </w:t>
      </w:r>
      <w:r w:rsidR="00EF5E62">
        <w:rPr>
          <w:szCs w:val="23"/>
        </w:rPr>
        <w:t xml:space="preserve">working with us </w:t>
      </w:r>
      <w:r w:rsidR="006D7841" w:rsidRPr="008D7F4A">
        <w:rPr>
          <w:szCs w:val="23"/>
        </w:rPr>
        <w:t>are 9.77% higher than the average earnings of all males.</w:t>
      </w:r>
    </w:p>
    <w:p w14:paraId="5376CF02" w14:textId="70CBF49C" w:rsidR="006D7841" w:rsidRPr="008D7F4A" w:rsidRDefault="00912ED1" w:rsidP="00233E0D">
      <w:pPr>
        <w:pStyle w:val="ListParagraph"/>
        <w:numPr>
          <w:ilvl w:val="0"/>
          <w:numId w:val="8"/>
        </w:numPr>
        <w:spacing w:after="0" w:line="276" w:lineRule="auto"/>
        <w:ind w:left="360"/>
        <w:rPr>
          <w:szCs w:val="23"/>
        </w:rPr>
      </w:pPr>
      <w:r>
        <w:rPr>
          <w:szCs w:val="23"/>
        </w:rPr>
        <w:t>We</w:t>
      </w:r>
      <w:r w:rsidR="006D7841" w:rsidRPr="008D7F4A">
        <w:rPr>
          <w:szCs w:val="23"/>
        </w:rPr>
        <w:t xml:space="preserve"> continued to implement </w:t>
      </w:r>
      <w:r>
        <w:rPr>
          <w:szCs w:val="23"/>
        </w:rPr>
        <w:t>our</w:t>
      </w:r>
      <w:r w:rsidR="006D7841" w:rsidRPr="008D7F4A">
        <w:rPr>
          <w:szCs w:val="23"/>
        </w:rPr>
        <w:t xml:space="preserve"> Innovation Strategy, </w:t>
      </w:r>
      <w:r w:rsidR="00CC0DAE">
        <w:rPr>
          <w:szCs w:val="23"/>
        </w:rPr>
        <w:t>including</w:t>
      </w:r>
      <w:r w:rsidR="006D7841" w:rsidRPr="008D7F4A">
        <w:rPr>
          <w:szCs w:val="23"/>
        </w:rPr>
        <w:t xml:space="preserve"> organi</w:t>
      </w:r>
      <w:r w:rsidR="005721AF">
        <w:rPr>
          <w:szCs w:val="23"/>
        </w:rPr>
        <w:t>s</w:t>
      </w:r>
      <w:r w:rsidR="006D7841" w:rsidRPr="008D7F4A">
        <w:rPr>
          <w:szCs w:val="23"/>
        </w:rPr>
        <w:t>ing and delivering events for the 6th Annual Innovation Week and Staff Innovation Awards.</w:t>
      </w:r>
    </w:p>
    <w:p w14:paraId="0FF04F14" w14:textId="006ED879" w:rsidR="006D7841" w:rsidRPr="008D7F4A" w:rsidRDefault="006D7841" w:rsidP="00233E0D">
      <w:pPr>
        <w:pStyle w:val="ListParagraph"/>
        <w:numPr>
          <w:ilvl w:val="0"/>
          <w:numId w:val="8"/>
        </w:numPr>
        <w:spacing w:after="0" w:line="276" w:lineRule="auto"/>
        <w:ind w:left="360"/>
        <w:rPr>
          <w:szCs w:val="23"/>
        </w:rPr>
      </w:pPr>
      <w:r w:rsidRPr="008D7F4A">
        <w:rPr>
          <w:szCs w:val="23"/>
        </w:rPr>
        <w:t xml:space="preserve">Performance </w:t>
      </w:r>
      <w:r w:rsidR="00594C9A">
        <w:rPr>
          <w:szCs w:val="23"/>
        </w:rPr>
        <w:t>m</w:t>
      </w:r>
      <w:r w:rsidRPr="008D7F4A">
        <w:rPr>
          <w:szCs w:val="23"/>
        </w:rPr>
        <w:t xml:space="preserve">anagement training and </w:t>
      </w:r>
      <w:r w:rsidR="00CC0DAE">
        <w:rPr>
          <w:szCs w:val="23"/>
        </w:rPr>
        <w:t>t</w:t>
      </w:r>
      <w:r w:rsidRPr="008D7F4A">
        <w:rPr>
          <w:szCs w:val="23"/>
        </w:rPr>
        <w:t xml:space="preserve">raining </w:t>
      </w:r>
      <w:r w:rsidR="00CC0DAE">
        <w:rPr>
          <w:szCs w:val="23"/>
        </w:rPr>
        <w:t>n</w:t>
      </w:r>
      <w:r w:rsidRPr="008D7F4A">
        <w:rPr>
          <w:szCs w:val="23"/>
        </w:rPr>
        <w:t xml:space="preserve">eeds </w:t>
      </w:r>
      <w:r w:rsidR="00CC0DAE">
        <w:rPr>
          <w:szCs w:val="23"/>
        </w:rPr>
        <w:t>a</w:t>
      </w:r>
      <w:r w:rsidRPr="008D7F4A">
        <w:rPr>
          <w:szCs w:val="23"/>
        </w:rPr>
        <w:t>nalysis reviews were conducted with outdoor staff and line managers across all depots. Managers were also supported in managing sick leave and absenteeism through HR data analytics, advisory support, visual leaflets and other measures.</w:t>
      </w:r>
    </w:p>
    <w:p w14:paraId="11167375" w14:textId="3B0C2CB0" w:rsidR="006D7841" w:rsidRPr="008D7F4A" w:rsidRDefault="006D7841" w:rsidP="00233E0D">
      <w:pPr>
        <w:pStyle w:val="ListParagraph"/>
        <w:numPr>
          <w:ilvl w:val="0"/>
          <w:numId w:val="8"/>
        </w:numPr>
        <w:spacing w:after="0" w:line="276" w:lineRule="auto"/>
        <w:ind w:left="360"/>
      </w:pPr>
      <w:r>
        <w:t>A comprehensive schedule of staff training and development events w</w:t>
      </w:r>
      <w:r w:rsidR="00CC0DAE">
        <w:t>as delivered</w:t>
      </w:r>
      <w:r>
        <w:t>, including 2</w:t>
      </w:r>
      <w:r w:rsidR="66AF79DD">
        <w:t>26</w:t>
      </w:r>
      <w:r>
        <w:t xml:space="preserve"> training courses, mentoring and coaching programmes, external training requests, conference attendance, and the Scheme of Assistance for formal education courses.</w:t>
      </w:r>
    </w:p>
    <w:p w14:paraId="25580408" w14:textId="6648C03F" w:rsidR="006D7841" w:rsidRPr="008D7F4A" w:rsidRDefault="00CC0DAE" w:rsidP="00233E0D">
      <w:pPr>
        <w:pStyle w:val="ListParagraph"/>
        <w:numPr>
          <w:ilvl w:val="0"/>
          <w:numId w:val="8"/>
        </w:numPr>
        <w:spacing w:after="0" w:line="276" w:lineRule="auto"/>
        <w:ind w:left="360"/>
        <w:rPr>
          <w:szCs w:val="23"/>
        </w:rPr>
      </w:pPr>
      <w:r>
        <w:rPr>
          <w:szCs w:val="23"/>
        </w:rPr>
        <w:t xml:space="preserve">Our </w:t>
      </w:r>
      <w:r w:rsidR="006D7841" w:rsidRPr="008D7F4A">
        <w:rPr>
          <w:szCs w:val="23"/>
        </w:rPr>
        <w:t xml:space="preserve">new Organisational Development </w:t>
      </w:r>
      <w:r>
        <w:rPr>
          <w:szCs w:val="23"/>
        </w:rPr>
        <w:t xml:space="preserve">team </w:t>
      </w:r>
      <w:r w:rsidR="006D7841" w:rsidRPr="008D7F4A">
        <w:rPr>
          <w:szCs w:val="23"/>
        </w:rPr>
        <w:t xml:space="preserve">launched </w:t>
      </w:r>
      <w:r>
        <w:rPr>
          <w:szCs w:val="23"/>
        </w:rPr>
        <w:t>a</w:t>
      </w:r>
      <w:r w:rsidR="006D7841" w:rsidRPr="008D7F4A">
        <w:rPr>
          <w:szCs w:val="23"/>
        </w:rPr>
        <w:t xml:space="preserve"> Secondary Schools Outreach Programme to promote SDCC as an employer of choice to senior cycle students. Initial communication was with ten DEIS schools, and the programme will be further developed in 2025.</w:t>
      </w:r>
    </w:p>
    <w:p w14:paraId="3C9F670C" w14:textId="2F7EA803" w:rsidR="006D7841" w:rsidRPr="008D7F4A" w:rsidRDefault="006D7841" w:rsidP="00233E0D">
      <w:pPr>
        <w:pStyle w:val="ListParagraph"/>
        <w:numPr>
          <w:ilvl w:val="0"/>
          <w:numId w:val="8"/>
        </w:numPr>
        <w:spacing w:after="0" w:line="276" w:lineRule="auto"/>
        <w:ind w:left="360"/>
        <w:rPr>
          <w:szCs w:val="23"/>
        </w:rPr>
      </w:pPr>
      <w:r w:rsidRPr="008D7F4A">
        <w:rPr>
          <w:szCs w:val="23"/>
        </w:rPr>
        <w:t xml:space="preserve">Health and </w:t>
      </w:r>
      <w:r w:rsidR="00B31664">
        <w:rPr>
          <w:szCs w:val="23"/>
        </w:rPr>
        <w:t>s</w:t>
      </w:r>
      <w:r w:rsidRPr="008D7F4A">
        <w:rPr>
          <w:szCs w:val="23"/>
        </w:rPr>
        <w:t xml:space="preserve">afety </w:t>
      </w:r>
      <w:r w:rsidR="00B31664">
        <w:rPr>
          <w:szCs w:val="23"/>
        </w:rPr>
        <w:t xml:space="preserve">procedures </w:t>
      </w:r>
      <w:r w:rsidRPr="008D7F4A">
        <w:rPr>
          <w:szCs w:val="23"/>
        </w:rPr>
        <w:t xml:space="preserve">continued to be prioritised with </w:t>
      </w:r>
      <w:r w:rsidR="00180B26" w:rsidRPr="008D7F4A">
        <w:rPr>
          <w:szCs w:val="23"/>
        </w:rPr>
        <w:t xml:space="preserve">quarterly </w:t>
      </w:r>
      <w:r w:rsidR="00180B26">
        <w:rPr>
          <w:szCs w:val="23"/>
        </w:rPr>
        <w:t>s</w:t>
      </w:r>
      <w:r w:rsidR="00180B26" w:rsidRPr="008D7F4A">
        <w:rPr>
          <w:szCs w:val="23"/>
        </w:rPr>
        <w:t xml:space="preserve">afety </w:t>
      </w:r>
      <w:r w:rsidR="00180B26">
        <w:rPr>
          <w:szCs w:val="23"/>
        </w:rPr>
        <w:t>c</w:t>
      </w:r>
      <w:r w:rsidR="00180B26" w:rsidRPr="008D7F4A">
        <w:rPr>
          <w:szCs w:val="23"/>
        </w:rPr>
        <w:t xml:space="preserve">onsultative meetings </w:t>
      </w:r>
      <w:r w:rsidR="00180B26">
        <w:rPr>
          <w:szCs w:val="23"/>
        </w:rPr>
        <w:t xml:space="preserve">and </w:t>
      </w:r>
      <w:r w:rsidRPr="008D7F4A">
        <w:rPr>
          <w:szCs w:val="23"/>
        </w:rPr>
        <w:t xml:space="preserve">390 site inspections across all work </w:t>
      </w:r>
      <w:r w:rsidR="00B31664">
        <w:rPr>
          <w:szCs w:val="23"/>
        </w:rPr>
        <w:t>areas</w:t>
      </w:r>
      <w:r w:rsidRPr="008D7F4A">
        <w:rPr>
          <w:szCs w:val="23"/>
        </w:rPr>
        <w:t xml:space="preserve">. The management team received bi-monthly reports from the Health and Safety Officer on the incidents reported and provided full oversight of the safety management system. </w:t>
      </w:r>
    </w:p>
    <w:p w14:paraId="4A40FD6B" w14:textId="25057E34" w:rsidR="006D7841" w:rsidRPr="008D7F4A" w:rsidRDefault="26FB2A1F" w:rsidP="11DF5C04">
      <w:pPr>
        <w:pStyle w:val="ListParagraph"/>
        <w:numPr>
          <w:ilvl w:val="0"/>
          <w:numId w:val="8"/>
        </w:numPr>
        <w:spacing w:after="0" w:line="276" w:lineRule="auto"/>
        <w:ind w:left="360"/>
      </w:pPr>
      <w:r>
        <w:t xml:space="preserve">Events continued under the Staff Wellbeing Action Plan including Workplace Well Being Day, Breast Cancer Awareness month, </w:t>
      </w:r>
      <w:r w:rsidR="050BD323">
        <w:t>s</w:t>
      </w:r>
      <w:r>
        <w:t xml:space="preserve">taff </w:t>
      </w:r>
      <w:r w:rsidR="050BD323">
        <w:t>s</w:t>
      </w:r>
      <w:r>
        <w:t xml:space="preserve">moking </w:t>
      </w:r>
      <w:r w:rsidR="050BD323">
        <w:t>c</w:t>
      </w:r>
      <w:r>
        <w:t xml:space="preserve">essation </w:t>
      </w:r>
      <w:r w:rsidR="050BD323">
        <w:t>p</w:t>
      </w:r>
      <w:r>
        <w:t xml:space="preserve">rogrammes, </w:t>
      </w:r>
      <w:r w:rsidR="050BD323">
        <w:t>a s</w:t>
      </w:r>
      <w:r>
        <w:t xml:space="preserve">afety and </w:t>
      </w:r>
      <w:r w:rsidR="050BD323">
        <w:t>w</w:t>
      </w:r>
      <w:r>
        <w:t xml:space="preserve">ellbeing Seminar, </w:t>
      </w:r>
      <w:r w:rsidR="050BD323">
        <w:t>emp</w:t>
      </w:r>
      <w:r>
        <w:t xml:space="preserve">loyee </w:t>
      </w:r>
      <w:r w:rsidR="050BD323">
        <w:t>h</w:t>
      </w:r>
      <w:r>
        <w:t xml:space="preserve">ealth checks and </w:t>
      </w:r>
      <w:r w:rsidR="050BD323">
        <w:t xml:space="preserve">the </w:t>
      </w:r>
      <w:r>
        <w:t xml:space="preserve">flu vaccination programme. </w:t>
      </w:r>
    </w:p>
    <w:p w14:paraId="480D81C8" w14:textId="39E832BC" w:rsidR="006D7841" w:rsidRPr="00B31664" w:rsidRDefault="76433100" w:rsidP="11DF5C04">
      <w:pPr>
        <w:pStyle w:val="ListParagraph"/>
        <w:numPr>
          <w:ilvl w:val="0"/>
          <w:numId w:val="8"/>
        </w:numPr>
        <w:spacing w:after="0" w:line="276" w:lineRule="auto"/>
        <w:ind w:left="360"/>
      </w:pPr>
      <w:r>
        <w:t>A n</w:t>
      </w:r>
      <w:r w:rsidR="26FB2A1F">
        <w:t xml:space="preserve">ew Staff Wellbeing Strategy </w:t>
      </w:r>
      <w:r>
        <w:t xml:space="preserve">was </w:t>
      </w:r>
      <w:r w:rsidR="26FB2A1F">
        <w:t xml:space="preserve">launched in November setting out </w:t>
      </w:r>
      <w:r w:rsidR="050BD323">
        <w:t xml:space="preserve">our </w:t>
      </w:r>
      <w:r w:rsidR="26FB2A1F">
        <w:t xml:space="preserve">vision and aims for employee wellbeing up until 2027. </w:t>
      </w:r>
      <w:r w:rsidR="050BD323">
        <w:t xml:space="preserve"> </w:t>
      </w:r>
      <w:r w:rsidR="26FB2A1F">
        <w:t>A Wellbeing Champions Programme was introduced to support the Staff Wellbeing Strategy</w:t>
      </w:r>
      <w:r w:rsidR="3119CDD7">
        <w:t xml:space="preserve"> comprising</w:t>
      </w:r>
      <w:r w:rsidR="3119CDD7" w:rsidRPr="11DF5C04">
        <w:rPr>
          <w:color w:val="auto"/>
        </w:rPr>
        <w:t xml:space="preserve"> </w:t>
      </w:r>
      <w:r w:rsidR="6E726226" w:rsidRPr="11DF5C04">
        <w:rPr>
          <w:color w:val="auto"/>
        </w:rPr>
        <w:t xml:space="preserve">of </w:t>
      </w:r>
      <w:r w:rsidR="26FB2A1F">
        <w:t xml:space="preserve">14 employees in a voluntary capacity </w:t>
      </w:r>
      <w:r w:rsidR="3119CDD7">
        <w:t xml:space="preserve">who </w:t>
      </w:r>
      <w:r w:rsidR="26FB2A1F">
        <w:t>lend a non-judgemental listening ear to colleagues at local level</w:t>
      </w:r>
      <w:r w:rsidR="64AA1D3D">
        <w:t>,</w:t>
      </w:r>
      <w:r w:rsidR="26FB2A1F">
        <w:t xml:space="preserve"> promote self-care</w:t>
      </w:r>
      <w:r w:rsidR="7A4A9953">
        <w:t>,</w:t>
      </w:r>
      <w:r w:rsidR="26FB2A1F">
        <w:t xml:space="preserve"> provide</w:t>
      </w:r>
      <w:r w:rsidR="26FB2A1F" w:rsidRPr="11DF5C04">
        <w:rPr>
          <w:color w:val="auto"/>
        </w:rPr>
        <w:t xml:space="preserve"> emotional support</w:t>
      </w:r>
      <w:r w:rsidR="32E6A6F0" w:rsidRPr="11DF5C04">
        <w:rPr>
          <w:color w:val="auto"/>
        </w:rPr>
        <w:t xml:space="preserve"> and</w:t>
      </w:r>
      <w:r w:rsidR="05F1E582">
        <w:t xml:space="preserve"> </w:t>
      </w:r>
      <w:r w:rsidR="26FB2A1F">
        <w:t xml:space="preserve">promote and increase awareness of the many </w:t>
      </w:r>
      <w:r w:rsidR="47D46860">
        <w:t>h</w:t>
      </w:r>
      <w:r w:rsidR="26FB2A1F">
        <w:t xml:space="preserve">ealth </w:t>
      </w:r>
      <w:r w:rsidR="47D46860">
        <w:t>and</w:t>
      </w:r>
      <w:r w:rsidR="26FB2A1F">
        <w:t xml:space="preserve"> </w:t>
      </w:r>
      <w:r w:rsidR="47D46860">
        <w:t>w</w:t>
      </w:r>
      <w:r w:rsidR="26FB2A1F">
        <w:t>ellbeing initiatives and activities</w:t>
      </w:r>
      <w:r w:rsidR="68853E26">
        <w:t>.</w:t>
      </w:r>
    </w:p>
    <w:p w14:paraId="4938B411" w14:textId="6927497F" w:rsidR="006D7841" w:rsidRPr="008D7F4A" w:rsidRDefault="68853E26" w:rsidP="11DF5C04">
      <w:pPr>
        <w:pStyle w:val="ListParagraph"/>
        <w:numPr>
          <w:ilvl w:val="0"/>
          <w:numId w:val="8"/>
        </w:numPr>
        <w:spacing w:after="0" w:line="276" w:lineRule="auto"/>
        <w:ind w:left="360"/>
      </w:pPr>
      <w:r>
        <w:t>Our</w:t>
      </w:r>
      <w:r w:rsidR="26FB2A1F">
        <w:t xml:space="preserve"> Employee Assistance Program (EAP) provided by Spectrum Life provides </w:t>
      </w:r>
      <w:r>
        <w:t xml:space="preserve">a 24/7/365 service involving </w:t>
      </w:r>
      <w:r w:rsidR="26FB2A1F">
        <w:t xml:space="preserve">confidential counselling and support for </w:t>
      </w:r>
      <w:r w:rsidR="25EFD6B4">
        <w:t>s</w:t>
      </w:r>
      <w:r w:rsidR="26FB2A1F">
        <w:t xml:space="preserve">taff and </w:t>
      </w:r>
      <w:r>
        <w:t xml:space="preserve">councillors </w:t>
      </w:r>
      <w:r w:rsidR="26FB2A1F">
        <w:t>who may be experiencing difficulties</w:t>
      </w:r>
      <w:r w:rsidR="75992CFF">
        <w:t>,</w:t>
      </w:r>
      <w:r>
        <w:t xml:space="preserve"> with t</w:t>
      </w:r>
      <w:r w:rsidR="26FB2A1F">
        <w:t xml:space="preserve">he programme </w:t>
      </w:r>
      <w:r>
        <w:t xml:space="preserve">also </w:t>
      </w:r>
      <w:r w:rsidR="26FB2A1F">
        <w:t>extended to immediate family members</w:t>
      </w:r>
      <w:r>
        <w:t>.</w:t>
      </w:r>
    </w:p>
    <w:p w14:paraId="5E6F55EB" w14:textId="4D605E03" w:rsidR="006D7841" w:rsidRPr="008D7F4A" w:rsidRDefault="26FB2A1F" w:rsidP="11DF5C04">
      <w:pPr>
        <w:pStyle w:val="ListParagraph"/>
        <w:numPr>
          <w:ilvl w:val="0"/>
          <w:numId w:val="8"/>
        </w:numPr>
        <w:spacing w:after="0" w:line="276" w:lineRule="auto"/>
        <w:ind w:left="360"/>
      </w:pPr>
      <w:r>
        <w:t xml:space="preserve">Effective </w:t>
      </w:r>
      <w:r w:rsidR="68853E26">
        <w:t>i</w:t>
      </w:r>
      <w:r>
        <w:t xml:space="preserve">ndustrial </w:t>
      </w:r>
      <w:r w:rsidR="68853E26">
        <w:t>r</w:t>
      </w:r>
      <w:r>
        <w:t xml:space="preserve">elations structures were supported </w:t>
      </w:r>
      <w:r w:rsidR="68853E26">
        <w:t>by</w:t>
      </w:r>
      <w:r>
        <w:t xml:space="preserve"> management and trade union engagement in accordance with the objectives of the Public Services Stability Agreements through monthly meetings, quarterly workforce planning meetings and attendance at the WRC and </w:t>
      </w:r>
      <w:r w:rsidR="34B3FF13">
        <w:t>L</w:t>
      </w:r>
      <w:r>
        <w:t xml:space="preserve">abour </w:t>
      </w:r>
      <w:r w:rsidR="34B3FF13">
        <w:t>C</w:t>
      </w:r>
      <w:r>
        <w:t xml:space="preserve">ourt when agreed local mechanisms are exhausted. </w:t>
      </w:r>
    </w:p>
    <w:p w14:paraId="1B5051A0" w14:textId="1204E35D" w:rsidR="11DF5C04" w:rsidRPr="005B1E59" w:rsidRDefault="004B7F0C" w:rsidP="005B1E59">
      <w:pPr>
        <w:pStyle w:val="ListParagraph"/>
        <w:numPr>
          <w:ilvl w:val="0"/>
          <w:numId w:val="8"/>
        </w:numPr>
        <w:spacing w:after="0" w:line="276" w:lineRule="auto"/>
        <w:ind w:left="360"/>
        <w:rPr>
          <w:szCs w:val="23"/>
        </w:rPr>
      </w:pPr>
      <w:r>
        <w:rPr>
          <w:szCs w:val="23"/>
        </w:rPr>
        <w:lastRenderedPageBreak/>
        <w:t>Our s</w:t>
      </w:r>
      <w:r w:rsidR="006D7841" w:rsidRPr="008D7F4A">
        <w:rPr>
          <w:szCs w:val="23"/>
        </w:rPr>
        <w:t xml:space="preserve">uperannuation </w:t>
      </w:r>
      <w:r w:rsidR="00941F41">
        <w:rPr>
          <w:szCs w:val="23"/>
        </w:rPr>
        <w:t>operations</w:t>
      </w:r>
      <w:r w:rsidR="006D7841" w:rsidRPr="008D7F4A">
        <w:rPr>
          <w:szCs w:val="23"/>
        </w:rPr>
        <w:t xml:space="preserve"> successfully transferred to My Pay Shared Services.</w:t>
      </w:r>
    </w:p>
    <w:p w14:paraId="3EDCCA0B" w14:textId="12669DD6" w:rsidR="11DF5C04" w:rsidRDefault="11DF5C04" w:rsidP="11DF5C04">
      <w:pPr>
        <w:spacing w:after="0" w:line="276" w:lineRule="auto"/>
        <w:ind w:left="0" w:hanging="69"/>
        <w:rPr>
          <w:rFonts w:eastAsia="Times New Roman"/>
          <w:b/>
          <w:bCs/>
          <w:color w:val="auto"/>
          <w:lang w:val="en-GB"/>
        </w:rPr>
      </w:pPr>
    </w:p>
    <w:p w14:paraId="7301380D" w14:textId="77777777" w:rsidR="007931F6" w:rsidRPr="008A4436" w:rsidRDefault="008E4E5E" w:rsidP="007931F6">
      <w:pPr>
        <w:spacing w:after="0" w:line="276" w:lineRule="auto"/>
        <w:ind w:left="0" w:hanging="69"/>
        <w:textAlignment w:val="baseline"/>
        <w:rPr>
          <w:rFonts w:eastAsia="Times New Roman"/>
          <w:b/>
          <w:bCs/>
          <w:color w:val="auto"/>
          <w:kern w:val="0"/>
          <w:szCs w:val="23"/>
          <w:lang w:val="en-GB"/>
          <w14:ligatures w14:val="none"/>
        </w:rPr>
      </w:pPr>
      <w:r w:rsidRPr="008A4436">
        <w:rPr>
          <w:rFonts w:eastAsia="Times New Roman"/>
          <w:b/>
          <w:bCs/>
          <w:color w:val="auto"/>
          <w:kern w:val="0"/>
          <w:szCs w:val="23"/>
          <w:lang w:val="en-GB"/>
          <w14:ligatures w14:val="none"/>
        </w:rPr>
        <w:t xml:space="preserve">Provide robust </w:t>
      </w:r>
      <w:bookmarkStart w:id="6" w:name="_Int_jRHHQVQ7"/>
      <w:r w:rsidRPr="008A4436">
        <w:rPr>
          <w:rFonts w:eastAsia="Times New Roman"/>
          <w:b/>
          <w:bCs/>
          <w:color w:val="auto"/>
          <w:kern w:val="0"/>
          <w:szCs w:val="23"/>
          <w:lang w:val="en-GB"/>
          <w14:ligatures w14:val="none"/>
        </w:rPr>
        <w:t>financial management</w:t>
      </w:r>
      <w:bookmarkEnd w:id="6"/>
      <w:r w:rsidRPr="008A4436">
        <w:rPr>
          <w:rFonts w:eastAsia="Times New Roman"/>
          <w:b/>
          <w:bCs/>
          <w:color w:val="auto"/>
          <w:kern w:val="0"/>
          <w:szCs w:val="23"/>
          <w:lang w:val="en-GB"/>
          <w14:ligatures w14:val="none"/>
        </w:rPr>
        <w:t xml:space="preserve"> and risk management </w:t>
      </w:r>
      <w:r w:rsidR="009D33FD" w:rsidRPr="008A4436">
        <w:rPr>
          <w:rFonts w:eastAsia="Times New Roman"/>
          <w:b/>
          <w:bCs/>
          <w:color w:val="auto"/>
          <w:kern w:val="0"/>
          <w:szCs w:val="23"/>
          <w:lang w:val="en-GB"/>
          <w14:ligatures w14:val="none"/>
        </w:rPr>
        <w:t>systems</w:t>
      </w:r>
    </w:p>
    <w:p w14:paraId="38BB761A" w14:textId="05EA062E" w:rsidR="002A3CE4" w:rsidRPr="008A4436" w:rsidRDefault="3CA4E0E3" w:rsidP="11DF5C04">
      <w:pPr>
        <w:numPr>
          <w:ilvl w:val="0"/>
          <w:numId w:val="18"/>
        </w:numPr>
        <w:spacing w:after="0" w:line="276" w:lineRule="auto"/>
        <w:rPr>
          <w:rFonts w:eastAsia="Aptos"/>
          <w:color w:val="auto"/>
          <w:lang w:val="en-GB" w:eastAsia="en-US"/>
        </w:rPr>
      </w:pPr>
      <w:r w:rsidRPr="11DF5C04">
        <w:rPr>
          <w:rFonts w:eastAsia="Aptos"/>
          <w:color w:val="auto"/>
          <w:lang w:val="en-GB" w:eastAsia="en-US"/>
        </w:rPr>
        <w:t xml:space="preserve">The work </w:t>
      </w:r>
      <w:r w:rsidR="502C8721" w:rsidRPr="11DF5C04">
        <w:rPr>
          <w:rFonts w:eastAsia="Aptos"/>
          <w:color w:val="auto"/>
          <w:lang w:val="en-GB" w:eastAsia="en-US"/>
        </w:rPr>
        <w:t xml:space="preserve">of our </w:t>
      </w:r>
      <w:r w:rsidRPr="11DF5C04">
        <w:rPr>
          <w:rFonts w:eastAsia="Aptos"/>
          <w:color w:val="auto"/>
          <w:lang w:val="en-GB" w:eastAsia="en-US"/>
        </w:rPr>
        <w:t>Debt Management Unit continued</w:t>
      </w:r>
      <w:r w:rsidR="223FDB79" w:rsidRPr="11DF5C04">
        <w:rPr>
          <w:rFonts w:eastAsia="Aptos"/>
          <w:color w:val="auto"/>
          <w:lang w:val="en-GB" w:eastAsia="en-US"/>
        </w:rPr>
        <w:t xml:space="preserve"> </w:t>
      </w:r>
      <w:r w:rsidR="516F0A79" w:rsidRPr="11DF5C04">
        <w:rPr>
          <w:rFonts w:eastAsia="Aptos"/>
          <w:color w:val="auto"/>
          <w:lang w:val="en-GB" w:eastAsia="en-US"/>
        </w:rPr>
        <w:t>with</w:t>
      </w:r>
      <w:r w:rsidR="16A6F55C" w:rsidRPr="11DF5C04">
        <w:rPr>
          <w:rFonts w:eastAsia="Aptos"/>
          <w:color w:val="auto"/>
          <w:lang w:val="en-GB" w:eastAsia="en-US"/>
        </w:rPr>
        <w:t xml:space="preserve"> a</w:t>
      </w:r>
      <w:r w:rsidR="516F0A79" w:rsidRPr="11DF5C04">
        <w:rPr>
          <w:rFonts w:eastAsia="Aptos"/>
          <w:color w:val="auto"/>
          <w:lang w:val="en-GB" w:eastAsia="en-US"/>
        </w:rPr>
        <w:t>n additional €4.5 million collected in commercial r</w:t>
      </w:r>
      <w:r w:rsidRPr="11DF5C04">
        <w:rPr>
          <w:rFonts w:eastAsia="Aptos"/>
          <w:color w:val="auto"/>
          <w:lang w:val="en-GB" w:eastAsia="en-US"/>
        </w:rPr>
        <w:t>ates, bringing the total collected to over €145.7m</w:t>
      </w:r>
      <w:r w:rsidR="12998910" w:rsidRPr="11DF5C04">
        <w:rPr>
          <w:rFonts w:eastAsia="Aptos"/>
          <w:color w:val="auto"/>
          <w:lang w:val="en-GB" w:eastAsia="en-US"/>
        </w:rPr>
        <w:t xml:space="preserve">illion </w:t>
      </w:r>
      <w:r w:rsidR="516F0A79" w:rsidRPr="11DF5C04">
        <w:rPr>
          <w:rFonts w:eastAsia="Aptos"/>
          <w:color w:val="auto"/>
          <w:lang w:val="en-GB" w:eastAsia="en-US"/>
        </w:rPr>
        <w:t>representing</w:t>
      </w:r>
      <w:r w:rsidR="12998910" w:rsidRPr="11DF5C04">
        <w:rPr>
          <w:rFonts w:eastAsia="Aptos"/>
          <w:color w:val="auto"/>
          <w:lang w:val="en-GB" w:eastAsia="en-US"/>
        </w:rPr>
        <w:t xml:space="preserve"> our </w:t>
      </w:r>
      <w:r w:rsidRPr="11DF5C04">
        <w:rPr>
          <w:rFonts w:eastAsia="Aptos"/>
          <w:color w:val="auto"/>
          <w:lang w:val="en-GB" w:eastAsia="en-US"/>
        </w:rPr>
        <w:t>highest amount ever collected</w:t>
      </w:r>
      <w:r w:rsidR="516F0A79" w:rsidRPr="11DF5C04">
        <w:rPr>
          <w:rFonts w:eastAsia="Aptos"/>
          <w:color w:val="auto"/>
          <w:lang w:val="en-GB" w:eastAsia="en-US"/>
        </w:rPr>
        <w:t xml:space="preserve"> </w:t>
      </w:r>
      <w:proofErr w:type="gramStart"/>
      <w:r w:rsidR="12998910" w:rsidRPr="11DF5C04">
        <w:rPr>
          <w:rFonts w:eastAsia="Aptos"/>
          <w:color w:val="auto"/>
          <w:lang w:val="en-GB" w:eastAsia="en-US"/>
        </w:rPr>
        <w:t xml:space="preserve">and </w:t>
      </w:r>
      <w:r w:rsidR="516F0A79" w:rsidRPr="11DF5C04">
        <w:rPr>
          <w:rFonts w:eastAsia="Aptos"/>
          <w:color w:val="auto"/>
          <w:lang w:val="en-GB" w:eastAsia="en-US"/>
        </w:rPr>
        <w:t>also</w:t>
      </w:r>
      <w:proofErr w:type="gramEnd"/>
      <w:r w:rsidR="516F0A79" w:rsidRPr="11DF5C04">
        <w:rPr>
          <w:rFonts w:eastAsia="Aptos"/>
          <w:color w:val="auto"/>
          <w:lang w:val="en-GB" w:eastAsia="en-US"/>
        </w:rPr>
        <w:t xml:space="preserve"> resulting</w:t>
      </w:r>
      <w:r w:rsidR="12998910" w:rsidRPr="11DF5C04">
        <w:rPr>
          <w:rFonts w:eastAsia="Aptos"/>
          <w:color w:val="auto"/>
          <w:lang w:val="en-GB" w:eastAsia="en-US"/>
        </w:rPr>
        <w:t xml:space="preserve"> in </w:t>
      </w:r>
      <w:r w:rsidRPr="11DF5C04">
        <w:rPr>
          <w:rFonts w:eastAsia="Aptos"/>
          <w:color w:val="auto"/>
          <w:lang w:val="en-GB" w:eastAsia="en-US"/>
        </w:rPr>
        <w:t>reducing arrears by over €1</w:t>
      </w:r>
      <w:r w:rsidR="03C6C5F2" w:rsidRPr="11DF5C04">
        <w:rPr>
          <w:rFonts w:eastAsia="Aptos"/>
          <w:color w:val="auto"/>
          <w:lang w:val="en-GB" w:eastAsia="en-US"/>
        </w:rPr>
        <w:t>m to</w:t>
      </w:r>
      <w:r w:rsidRPr="11DF5C04">
        <w:rPr>
          <w:rFonts w:eastAsia="Aptos"/>
          <w:color w:val="auto"/>
          <w:lang w:val="en-GB" w:eastAsia="en-US"/>
        </w:rPr>
        <w:t xml:space="preserve"> </w:t>
      </w:r>
      <w:r w:rsidR="12998910" w:rsidRPr="11DF5C04">
        <w:rPr>
          <w:rFonts w:eastAsia="Aptos"/>
          <w:color w:val="auto"/>
          <w:lang w:val="en-GB" w:eastAsia="en-US"/>
        </w:rPr>
        <w:t xml:space="preserve">approximately </w:t>
      </w:r>
      <w:r w:rsidRPr="11DF5C04">
        <w:rPr>
          <w:rFonts w:eastAsia="Aptos"/>
          <w:color w:val="auto"/>
          <w:lang w:val="en-GB" w:eastAsia="en-US"/>
        </w:rPr>
        <w:t>€13.6</w:t>
      </w:r>
      <w:r w:rsidR="12998910" w:rsidRPr="11DF5C04">
        <w:rPr>
          <w:rFonts w:eastAsia="Aptos"/>
          <w:color w:val="auto"/>
          <w:lang w:val="en-GB" w:eastAsia="en-US"/>
        </w:rPr>
        <w:t xml:space="preserve"> </w:t>
      </w:r>
      <w:r w:rsidRPr="11DF5C04">
        <w:rPr>
          <w:rFonts w:eastAsia="Aptos"/>
          <w:color w:val="auto"/>
          <w:lang w:val="en-GB" w:eastAsia="en-US"/>
        </w:rPr>
        <w:t>m</w:t>
      </w:r>
      <w:r w:rsidR="12998910" w:rsidRPr="11DF5C04">
        <w:rPr>
          <w:rFonts w:eastAsia="Aptos"/>
          <w:color w:val="auto"/>
          <w:lang w:val="en-GB" w:eastAsia="en-US"/>
        </w:rPr>
        <w:t xml:space="preserve">illion which is the lowest figure since </w:t>
      </w:r>
      <w:r w:rsidRPr="11DF5C04">
        <w:rPr>
          <w:rFonts w:eastAsia="Aptos"/>
          <w:color w:val="auto"/>
          <w:lang w:val="en-GB" w:eastAsia="en-US"/>
        </w:rPr>
        <w:t>2008.</w:t>
      </w:r>
    </w:p>
    <w:p w14:paraId="6833A6EC" w14:textId="5F51A04D" w:rsidR="002A3CE4" w:rsidRPr="008A4436" w:rsidRDefault="00204FC5">
      <w:pPr>
        <w:numPr>
          <w:ilvl w:val="0"/>
          <w:numId w:val="18"/>
        </w:numPr>
        <w:spacing w:after="0" w:line="276" w:lineRule="auto"/>
        <w:rPr>
          <w:rFonts w:eastAsia="Aptos"/>
          <w:color w:val="auto"/>
          <w:szCs w:val="23"/>
          <w:lang w:eastAsia="en-US"/>
        </w:rPr>
      </w:pPr>
      <w:r w:rsidRPr="008A4436">
        <w:rPr>
          <w:rFonts w:eastAsia="Aptos"/>
          <w:color w:val="auto"/>
          <w:szCs w:val="23"/>
          <w:lang w:val="en-GB" w:eastAsia="en-US"/>
        </w:rPr>
        <w:t xml:space="preserve">We also increased </w:t>
      </w:r>
      <w:r w:rsidR="006061CD" w:rsidRPr="008A4436">
        <w:rPr>
          <w:rFonts w:eastAsia="Aptos"/>
          <w:color w:val="auto"/>
          <w:szCs w:val="23"/>
          <w:lang w:val="en-GB" w:eastAsia="en-US"/>
        </w:rPr>
        <w:t xml:space="preserve">collection of differential rents </w:t>
      </w:r>
      <w:r w:rsidRPr="008A4436">
        <w:rPr>
          <w:rFonts w:eastAsia="Aptos"/>
          <w:color w:val="auto"/>
          <w:szCs w:val="23"/>
          <w:lang w:val="en-GB" w:eastAsia="en-US"/>
        </w:rPr>
        <w:t xml:space="preserve">by 12% </w:t>
      </w:r>
      <w:r w:rsidR="006061CD" w:rsidRPr="008A4436">
        <w:rPr>
          <w:rFonts w:eastAsia="Aptos"/>
          <w:color w:val="auto"/>
          <w:szCs w:val="23"/>
          <w:lang w:val="en-GB" w:eastAsia="en-US"/>
        </w:rPr>
        <w:t xml:space="preserve">with </w:t>
      </w:r>
      <w:r w:rsidR="002A3CE4" w:rsidRPr="008A4436">
        <w:rPr>
          <w:rFonts w:eastAsia="Aptos"/>
          <w:color w:val="auto"/>
          <w:szCs w:val="23"/>
          <w:lang w:val="en-GB" w:eastAsia="en-US"/>
        </w:rPr>
        <w:t>€34.9</w:t>
      </w:r>
      <w:r w:rsidR="006061CD" w:rsidRPr="008A4436">
        <w:rPr>
          <w:rFonts w:eastAsia="Aptos"/>
          <w:color w:val="auto"/>
          <w:szCs w:val="23"/>
          <w:lang w:val="en-GB" w:eastAsia="en-US"/>
        </w:rPr>
        <w:t xml:space="preserve"> </w:t>
      </w:r>
      <w:r w:rsidR="002A3CE4" w:rsidRPr="008A4436">
        <w:rPr>
          <w:rFonts w:eastAsia="Aptos"/>
          <w:color w:val="auto"/>
          <w:szCs w:val="23"/>
          <w:lang w:val="en-GB" w:eastAsia="en-US"/>
        </w:rPr>
        <w:t>m</w:t>
      </w:r>
      <w:r w:rsidR="006061CD" w:rsidRPr="008A4436">
        <w:rPr>
          <w:rFonts w:eastAsia="Aptos"/>
          <w:color w:val="auto"/>
          <w:szCs w:val="23"/>
          <w:lang w:val="en-GB" w:eastAsia="en-US"/>
        </w:rPr>
        <w:t xml:space="preserve">illion </w:t>
      </w:r>
      <w:r w:rsidRPr="008A4436">
        <w:rPr>
          <w:rFonts w:eastAsia="Aptos"/>
          <w:color w:val="auto"/>
          <w:szCs w:val="23"/>
          <w:lang w:val="en-GB" w:eastAsia="en-US"/>
        </w:rPr>
        <w:t>collected and there was c</w:t>
      </w:r>
      <w:r w:rsidR="00247A7B" w:rsidRPr="008A4436">
        <w:rPr>
          <w:rFonts w:eastAsia="Aptos"/>
          <w:color w:val="auto"/>
          <w:szCs w:val="23"/>
          <w:lang w:val="en-GB" w:eastAsia="en-US"/>
        </w:rPr>
        <w:t>ontinued improvement in the c</w:t>
      </w:r>
      <w:r w:rsidR="002A3CE4" w:rsidRPr="008A4436">
        <w:rPr>
          <w:rFonts w:eastAsia="Aptos"/>
          <w:color w:val="auto"/>
          <w:szCs w:val="23"/>
          <w:lang w:val="en-GB" w:eastAsia="en-US"/>
        </w:rPr>
        <w:t xml:space="preserve">ollection rate for </w:t>
      </w:r>
      <w:r w:rsidR="00247A7B" w:rsidRPr="008A4436">
        <w:rPr>
          <w:rFonts w:eastAsia="Aptos"/>
          <w:color w:val="auto"/>
          <w:szCs w:val="23"/>
          <w:lang w:val="en-GB" w:eastAsia="en-US"/>
        </w:rPr>
        <w:t>h</w:t>
      </w:r>
      <w:r w:rsidR="002A3CE4" w:rsidRPr="008A4436">
        <w:rPr>
          <w:rFonts w:eastAsia="Aptos"/>
          <w:color w:val="auto"/>
          <w:szCs w:val="23"/>
          <w:lang w:val="en-GB" w:eastAsia="en-US"/>
        </w:rPr>
        <w:t>ousing loans with loan arrears reducing from €0.8m to €0.3m.</w:t>
      </w:r>
    </w:p>
    <w:p w14:paraId="20979696" w14:textId="7AB74B05" w:rsidR="002A3CE4" w:rsidRPr="00C13C7D" w:rsidRDefault="00247A7B" w:rsidP="00C90782">
      <w:pPr>
        <w:numPr>
          <w:ilvl w:val="0"/>
          <w:numId w:val="18"/>
        </w:numPr>
        <w:spacing w:after="0" w:line="276" w:lineRule="auto"/>
        <w:rPr>
          <w:rFonts w:eastAsia="Aptos"/>
          <w:color w:val="auto"/>
          <w:szCs w:val="23"/>
          <w:lang w:eastAsia="en-US"/>
        </w:rPr>
      </w:pPr>
      <w:r w:rsidRPr="00C13C7D">
        <w:rPr>
          <w:rFonts w:eastAsia="Aptos"/>
          <w:color w:val="auto"/>
          <w:szCs w:val="23"/>
          <w:lang w:val="en-GB" w:eastAsia="en-US"/>
        </w:rPr>
        <w:t xml:space="preserve">Positive engagement with </w:t>
      </w:r>
      <w:proofErr w:type="spellStart"/>
      <w:r w:rsidR="002A3CE4" w:rsidRPr="00C13C7D">
        <w:rPr>
          <w:rFonts w:eastAsia="Aptos"/>
          <w:color w:val="auto"/>
          <w:szCs w:val="23"/>
          <w:lang w:val="en-GB" w:eastAsia="en-US"/>
        </w:rPr>
        <w:t>Tailte</w:t>
      </w:r>
      <w:proofErr w:type="spellEnd"/>
      <w:r w:rsidR="002A3CE4" w:rsidRPr="00C13C7D">
        <w:rPr>
          <w:rFonts w:eastAsia="Aptos"/>
          <w:color w:val="auto"/>
          <w:szCs w:val="23"/>
          <w:lang w:val="en-GB" w:eastAsia="en-US"/>
        </w:rPr>
        <w:t xml:space="preserve"> </w:t>
      </w:r>
      <w:r w:rsidR="00204FC5" w:rsidRPr="00C13C7D">
        <w:rPr>
          <w:rFonts w:eastAsia="Aptos"/>
          <w:color w:val="auto"/>
          <w:szCs w:val="23"/>
          <w:lang w:val="en-GB" w:eastAsia="en-US"/>
        </w:rPr>
        <w:t>Éi</w:t>
      </w:r>
      <w:r w:rsidR="002A3CE4" w:rsidRPr="00C13C7D">
        <w:rPr>
          <w:rFonts w:eastAsia="Aptos"/>
          <w:color w:val="auto"/>
          <w:szCs w:val="23"/>
          <w:lang w:val="en-GB" w:eastAsia="en-US"/>
        </w:rPr>
        <w:t xml:space="preserve">reann (formally the Valuation Office) </w:t>
      </w:r>
      <w:r w:rsidR="00204FC5" w:rsidRPr="00C13C7D">
        <w:rPr>
          <w:rFonts w:eastAsia="Aptos"/>
          <w:color w:val="auto"/>
          <w:szCs w:val="23"/>
          <w:lang w:val="en-GB" w:eastAsia="en-US"/>
        </w:rPr>
        <w:t>result</w:t>
      </w:r>
      <w:r w:rsidR="006A70F2" w:rsidRPr="00C13C7D">
        <w:rPr>
          <w:rFonts w:eastAsia="Aptos"/>
          <w:color w:val="auto"/>
          <w:szCs w:val="23"/>
          <w:lang w:val="en-GB" w:eastAsia="en-US"/>
        </w:rPr>
        <w:t xml:space="preserve">ed </w:t>
      </w:r>
      <w:r w:rsidR="00204FC5" w:rsidRPr="00C13C7D">
        <w:rPr>
          <w:rFonts w:eastAsia="Aptos"/>
          <w:color w:val="auto"/>
          <w:szCs w:val="23"/>
          <w:lang w:val="en-GB" w:eastAsia="en-US"/>
        </w:rPr>
        <w:t xml:space="preserve">in </w:t>
      </w:r>
      <w:r w:rsidR="002A3CE4" w:rsidRPr="00C13C7D">
        <w:rPr>
          <w:rFonts w:eastAsia="Aptos"/>
          <w:color w:val="auto"/>
          <w:szCs w:val="23"/>
          <w:lang w:val="en-GB" w:eastAsia="en-US"/>
        </w:rPr>
        <w:t xml:space="preserve">109 valuations </w:t>
      </w:r>
      <w:r w:rsidR="00204FC5" w:rsidRPr="00C13C7D">
        <w:rPr>
          <w:rFonts w:eastAsia="Aptos"/>
          <w:color w:val="auto"/>
          <w:szCs w:val="23"/>
          <w:lang w:val="en-GB" w:eastAsia="en-US"/>
        </w:rPr>
        <w:t xml:space="preserve">being processed </w:t>
      </w:r>
      <w:r w:rsidR="002A3CE4" w:rsidRPr="00C13C7D">
        <w:rPr>
          <w:rFonts w:eastAsia="Aptos"/>
          <w:color w:val="auto"/>
          <w:szCs w:val="23"/>
          <w:lang w:val="en-GB" w:eastAsia="en-US"/>
        </w:rPr>
        <w:t>which will provide ongoing additional funding in future.</w:t>
      </w:r>
    </w:p>
    <w:p w14:paraId="1A86D97A" w14:textId="2BFC3423" w:rsidR="002A3CE4" w:rsidRPr="00C13C7D" w:rsidRDefault="002A3CE4">
      <w:pPr>
        <w:numPr>
          <w:ilvl w:val="0"/>
          <w:numId w:val="18"/>
        </w:numPr>
        <w:spacing w:after="0" w:line="276" w:lineRule="auto"/>
        <w:rPr>
          <w:rFonts w:eastAsia="Aptos"/>
          <w:color w:val="auto"/>
          <w:szCs w:val="23"/>
          <w:lang w:eastAsia="en-US"/>
        </w:rPr>
      </w:pPr>
      <w:r w:rsidRPr="00C13C7D">
        <w:rPr>
          <w:rFonts w:eastAsia="Aptos"/>
          <w:color w:val="auto"/>
          <w:szCs w:val="23"/>
          <w:lang w:eastAsia="en-US"/>
        </w:rPr>
        <w:t xml:space="preserve">5,178 </w:t>
      </w:r>
      <w:r w:rsidR="007931F6" w:rsidRPr="00C13C7D">
        <w:rPr>
          <w:rFonts w:eastAsia="Aptos"/>
          <w:color w:val="auto"/>
          <w:szCs w:val="23"/>
          <w:lang w:eastAsia="en-US"/>
        </w:rPr>
        <w:t>Increased</w:t>
      </w:r>
      <w:r w:rsidRPr="00C13C7D">
        <w:rPr>
          <w:rFonts w:eastAsia="Aptos"/>
          <w:color w:val="auto"/>
          <w:szCs w:val="23"/>
          <w:lang w:eastAsia="en-US"/>
        </w:rPr>
        <w:t xml:space="preserve"> Cost </w:t>
      </w:r>
      <w:r w:rsidR="00B20D78" w:rsidRPr="00C13C7D">
        <w:rPr>
          <w:rFonts w:eastAsia="Aptos"/>
          <w:color w:val="auto"/>
          <w:szCs w:val="23"/>
          <w:lang w:eastAsia="en-US"/>
        </w:rPr>
        <w:t>o</w:t>
      </w:r>
      <w:r w:rsidRPr="00C13C7D">
        <w:rPr>
          <w:rFonts w:eastAsia="Aptos"/>
          <w:color w:val="auto"/>
          <w:szCs w:val="23"/>
          <w:lang w:eastAsia="en-US"/>
        </w:rPr>
        <w:t xml:space="preserve">f </w:t>
      </w:r>
      <w:r w:rsidR="007931F6" w:rsidRPr="00C13C7D">
        <w:rPr>
          <w:rFonts w:eastAsia="Aptos"/>
          <w:color w:val="auto"/>
          <w:szCs w:val="23"/>
          <w:lang w:eastAsia="en-US"/>
        </w:rPr>
        <w:t>Business grants</w:t>
      </w:r>
      <w:r w:rsidRPr="00C13C7D">
        <w:rPr>
          <w:rFonts w:eastAsia="Aptos"/>
          <w:color w:val="auto"/>
          <w:szCs w:val="23"/>
          <w:lang w:eastAsia="en-US"/>
        </w:rPr>
        <w:t xml:space="preserve"> </w:t>
      </w:r>
      <w:r w:rsidR="00B21147" w:rsidRPr="00C13C7D">
        <w:rPr>
          <w:rFonts w:eastAsia="Aptos"/>
          <w:color w:val="auto"/>
          <w:szCs w:val="23"/>
          <w:lang w:eastAsia="en-US"/>
        </w:rPr>
        <w:t xml:space="preserve">were processed </w:t>
      </w:r>
      <w:r w:rsidRPr="00C13C7D">
        <w:rPr>
          <w:rFonts w:eastAsia="Aptos"/>
          <w:color w:val="auto"/>
          <w:szCs w:val="23"/>
          <w:lang w:eastAsia="en-US"/>
        </w:rPr>
        <w:t>to support small and medium businesses with a value of over €13.6m</w:t>
      </w:r>
      <w:r w:rsidR="00B21147" w:rsidRPr="00C13C7D">
        <w:rPr>
          <w:rFonts w:eastAsia="Aptos"/>
          <w:color w:val="auto"/>
          <w:szCs w:val="23"/>
          <w:lang w:eastAsia="en-US"/>
        </w:rPr>
        <w:t xml:space="preserve"> </w:t>
      </w:r>
      <w:r w:rsidR="008A4436" w:rsidRPr="00C13C7D">
        <w:rPr>
          <w:rFonts w:eastAsia="Aptos"/>
          <w:color w:val="auto"/>
          <w:szCs w:val="23"/>
          <w:lang w:eastAsia="en-US"/>
        </w:rPr>
        <w:t>while we also c</w:t>
      </w:r>
      <w:r w:rsidRPr="00C13C7D">
        <w:rPr>
          <w:rFonts w:eastAsia="Aptos"/>
          <w:color w:val="auto"/>
          <w:szCs w:val="23"/>
          <w:lang w:eastAsia="en-US"/>
        </w:rPr>
        <w:t>ommenced processing the new Power Up Grant</w:t>
      </w:r>
      <w:r w:rsidR="008A4436" w:rsidRPr="00C13C7D">
        <w:rPr>
          <w:rFonts w:eastAsia="Aptos"/>
          <w:color w:val="auto"/>
          <w:szCs w:val="23"/>
          <w:lang w:eastAsia="en-US"/>
        </w:rPr>
        <w:t xml:space="preserve"> (PUG) by year end</w:t>
      </w:r>
      <w:r w:rsidRPr="00C13C7D">
        <w:rPr>
          <w:rFonts w:eastAsia="Aptos"/>
          <w:color w:val="auto"/>
          <w:szCs w:val="23"/>
          <w:lang w:eastAsia="en-US"/>
        </w:rPr>
        <w:t>.</w:t>
      </w:r>
    </w:p>
    <w:p w14:paraId="4251CD80" w14:textId="7665E520" w:rsidR="002A3CE4" w:rsidRPr="00C13C7D" w:rsidRDefault="008A4436" w:rsidP="00C90782">
      <w:pPr>
        <w:numPr>
          <w:ilvl w:val="0"/>
          <w:numId w:val="18"/>
        </w:numPr>
        <w:spacing w:after="0" w:line="276" w:lineRule="auto"/>
        <w:rPr>
          <w:rFonts w:eastAsia="Aptos"/>
          <w:color w:val="auto"/>
          <w:szCs w:val="23"/>
          <w:lang w:eastAsia="en-US"/>
        </w:rPr>
      </w:pPr>
      <w:r w:rsidRPr="00C13C7D">
        <w:rPr>
          <w:rFonts w:eastAsia="Aptos"/>
          <w:color w:val="auto"/>
          <w:szCs w:val="23"/>
          <w:lang w:val="en-GB" w:eastAsia="en-US"/>
        </w:rPr>
        <w:t>In November</w:t>
      </w:r>
      <w:r w:rsidR="000C5B2C" w:rsidRPr="00C13C7D">
        <w:rPr>
          <w:rFonts w:eastAsia="Aptos"/>
          <w:color w:val="auto"/>
          <w:szCs w:val="23"/>
          <w:lang w:val="en-GB" w:eastAsia="en-US"/>
        </w:rPr>
        <w:t>,</w:t>
      </w:r>
      <w:r w:rsidR="002A3CE4" w:rsidRPr="00C13C7D">
        <w:rPr>
          <w:rFonts w:eastAsia="Aptos"/>
          <w:color w:val="auto"/>
          <w:szCs w:val="23"/>
          <w:lang w:val="en-GB" w:eastAsia="en-US"/>
        </w:rPr>
        <w:t xml:space="preserve"> the Council adopted the Revenue Budget for 2025 </w:t>
      </w:r>
      <w:r w:rsidRPr="00C13C7D">
        <w:rPr>
          <w:rFonts w:eastAsia="Aptos"/>
          <w:color w:val="auto"/>
          <w:szCs w:val="23"/>
          <w:lang w:val="en-GB" w:eastAsia="en-US"/>
        </w:rPr>
        <w:t xml:space="preserve">with proposed expenditure </w:t>
      </w:r>
      <w:r w:rsidR="002A3CE4" w:rsidRPr="00C13C7D">
        <w:rPr>
          <w:rFonts w:eastAsia="Aptos"/>
          <w:color w:val="auto"/>
          <w:szCs w:val="23"/>
          <w:lang w:val="en-GB" w:eastAsia="en-US"/>
        </w:rPr>
        <w:t>totalling €391,942,200</w:t>
      </w:r>
      <w:r w:rsidR="00EF5E62" w:rsidRPr="00C13C7D">
        <w:rPr>
          <w:rFonts w:eastAsia="Aptos"/>
          <w:color w:val="auto"/>
          <w:szCs w:val="23"/>
          <w:lang w:val="en-GB" w:eastAsia="en-US"/>
        </w:rPr>
        <w:t>, representing a</w:t>
      </w:r>
      <w:r w:rsidR="002A3CE4" w:rsidRPr="00C13C7D">
        <w:rPr>
          <w:rFonts w:eastAsia="Aptos"/>
          <w:color w:val="auto"/>
          <w:szCs w:val="23"/>
          <w:lang w:val="en-GB" w:eastAsia="en-US"/>
        </w:rPr>
        <w:t xml:space="preserve"> 17.5% increase on the previous year.</w:t>
      </w:r>
    </w:p>
    <w:p w14:paraId="57457978" w14:textId="0F93A066" w:rsidR="002A3CE4" w:rsidRPr="00C13C7D" w:rsidRDefault="7ADA8F7E" w:rsidP="11DF5C04">
      <w:pPr>
        <w:numPr>
          <w:ilvl w:val="0"/>
          <w:numId w:val="18"/>
        </w:numPr>
        <w:spacing w:after="0" w:line="276" w:lineRule="auto"/>
        <w:rPr>
          <w:rFonts w:eastAsia="Aptos"/>
          <w:color w:val="auto"/>
          <w:lang w:eastAsia="en-US"/>
        </w:rPr>
      </w:pPr>
      <w:r w:rsidRPr="11DF5C04">
        <w:rPr>
          <w:rFonts w:eastAsia="Aptos"/>
          <w:color w:val="auto"/>
          <w:lang w:val="en-GB" w:eastAsia="en-US"/>
        </w:rPr>
        <w:t xml:space="preserve">A </w:t>
      </w:r>
      <w:r w:rsidR="34BACFC0" w:rsidRPr="11DF5C04">
        <w:rPr>
          <w:rFonts w:eastAsia="Aptos"/>
          <w:color w:val="auto"/>
          <w:lang w:val="en-GB" w:eastAsia="en-US"/>
        </w:rPr>
        <w:t xml:space="preserve">new </w:t>
      </w:r>
      <w:r w:rsidR="2DC60082" w:rsidRPr="11DF5C04">
        <w:rPr>
          <w:rFonts w:eastAsia="Aptos"/>
          <w:color w:val="auto"/>
          <w:lang w:val="en-GB" w:eastAsia="en-US"/>
        </w:rPr>
        <w:t>T</w:t>
      </w:r>
      <w:r w:rsidR="34BACFC0" w:rsidRPr="11DF5C04">
        <w:rPr>
          <w:rFonts w:eastAsia="Aptos"/>
          <w:color w:val="auto"/>
          <w:lang w:val="en-GB" w:eastAsia="en-US"/>
        </w:rPr>
        <w:t>hree-</w:t>
      </w:r>
      <w:r w:rsidR="2DC60082" w:rsidRPr="11DF5C04">
        <w:rPr>
          <w:rFonts w:eastAsia="Aptos"/>
          <w:color w:val="auto"/>
          <w:lang w:val="en-GB" w:eastAsia="en-US"/>
        </w:rPr>
        <w:t>Y</w:t>
      </w:r>
      <w:r w:rsidR="34BACFC0" w:rsidRPr="11DF5C04">
        <w:rPr>
          <w:rFonts w:eastAsia="Aptos"/>
          <w:color w:val="auto"/>
          <w:lang w:val="en-GB" w:eastAsia="en-US"/>
        </w:rPr>
        <w:t>ear</w:t>
      </w:r>
      <w:r w:rsidR="2DC60082" w:rsidRPr="11DF5C04">
        <w:rPr>
          <w:rFonts w:eastAsia="Aptos"/>
          <w:color w:val="auto"/>
          <w:lang w:val="en-GB" w:eastAsia="en-US"/>
        </w:rPr>
        <w:t xml:space="preserve"> Capital Programme for </w:t>
      </w:r>
      <w:r w:rsidR="3CA4E0E3" w:rsidRPr="11DF5C04">
        <w:rPr>
          <w:rFonts w:eastAsia="Aptos"/>
          <w:color w:val="auto"/>
          <w:lang w:val="en-GB" w:eastAsia="en-US"/>
        </w:rPr>
        <w:t>2025</w:t>
      </w:r>
      <w:r w:rsidR="2DC60082" w:rsidRPr="11DF5C04">
        <w:rPr>
          <w:rFonts w:eastAsia="Aptos"/>
          <w:color w:val="auto"/>
          <w:lang w:val="en-GB" w:eastAsia="en-US"/>
        </w:rPr>
        <w:t xml:space="preserve"> to </w:t>
      </w:r>
      <w:r w:rsidR="3CA4E0E3" w:rsidRPr="11DF5C04">
        <w:rPr>
          <w:rFonts w:eastAsia="Aptos"/>
          <w:color w:val="auto"/>
          <w:lang w:val="en-GB" w:eastAsia="en-US"/>
        </w:rPr>
        <w:t xml:space="preserve">2027 with </w:t>
      </w:r>
      <w:r w:rsidRPr="11DF5C04">
        <w:rPr>
          <w:rFonts w:eastAsia="Aptos"/>
          <w:color w:val="auto"/>
          <w:lang w:val="en-GB" w:eastAsia="en-US"/>
        </w:rPr>
        <w:t xml:space="preserve">proposed investment of </w:t>
      </w:r>
      <w:r w:rsidR="3CA4E0E3" w:rsidRPr="11DF5C04">
        <w:rPr>
          <w:rFonts w:eastAsia="Aptos"/>
          <w:color w:val="auto"/>
          <w:lang w:val="en-GB" w:eastAsia="en-US"/>
        </w:rPr>
        <w:t>€1,746,733,00</w:t>
      </w:r>
      <w:r w:rsidRPr="11DF5C04">
        <w:rPr>
          <w:rFonts w:eastAsia="Aptos"/>
          <w:color w:val="auto"/>
          <w:lang w:val="en-GB" w:eastAsia="en-US"/>
        </w:rPr>
        <w:t xml:space="preserve"> in housing, infrastructure and facilities was presented to the Council in December.</w:t>
      </w:r>
    </w:p>
    <w:p w14:paraId="14E88077" w14:textId="746E6CA6" w:rsidR="007A4FAF" w:rsidRPr="00C13C7D" w:rsidRDefault="007A4FAF">
      <w:pPr>
        <w:numPr>
          <w:ilvl w:val="0"/>
          <w:numId w:val="18"/>
        </w:numPr>
        <w:spacing w:after="0" w:line="276" w:lineRule="auto"/>
        <w:rPr>
          <w:rFonts w:eastAsia="Aptos"/>
          <w:color w:val="auto"/>
          <w:szCs w:val="23"/>
          <w:lang w:eastAsia="en-US"/>
        </w:rPr>
      </w:pPr>
      <w:r w:rsidRPr="00C13C7D">
        <w:rPr>
          <w:rFonts w:eastAsia="Aptos"/>
          <w:color w:val="auto"/>
          <w:szCs w:val="23"/>
          <w:lang w:val="en-US" w:eastAsia="en-US"/>
        </w:rPr>
        <w:t xml:space="preserve">The Annual Financial Statement for 2023 was prepared </w:t>
      </w:r>
      <w:r w:rsidR="001E354D" w:rsidRPr="00C13C7D">
        <w:rPr>
          <w:rFonts w:eastAsia="Aptos"/>
          <w:color w:val="auto"/>
          <w:szCs w:val="23"/>
          <w:lang w:val="en-US" w:eastAsia="en-US"/>
        </w:rPr>
        <w:t xml:space="preserve">within </w:t>
      </w:r>
      <w:r w:rsidR="00E00612" w:rsidRPr="00C13C7D">
        <w:rPr>
          <w:rFonts w:eastAsia="Aptos"/>
          <w:color w:val="auto"/>
          <w:szCs w:val="23"/>
          <w:lang w:val="en-US" w:eastAsia="en-US"/>
        </w:rPr>
        <w:t xml:space="preserve">the required </w:t>
      </w:r>
      <w:r w:rsidR="008E6DEA" w:rsidRPr="00C13C7D">
        <w:rPr>
          <w:rFonts w:eastAsia="Aptos"/>
          <w:color w:val="auto"/>
          <w:szCs w:val="23"/>
          <w:lang w:val="en-US" w:eastAsia="en-US"/>
        </w:rPr>
        <w:t xml:space="preserve">deadline of </w:t>
      </w:r>
      <w:r w:rsidRPr="00C13C7D">
        <w:rPr>
          <w:rFonts w:eastAsia="Aptos"/>
          <w:color w:val="auto"/>
          <w:szCs w:val="23"/>
          <w:lang w:val="en-US" w:eastAsia="en-US"/>
        </w:rPr>
        <w:t xml:space="preserve">31st March 2024 </w:t>
      </w:r>
      <w:r w:rsidR="008E6DEA" w:rsidRPr="00C13C7D">
        <w:rPr>
          <w:rFonts w:eastAsia="Aptos"/>
          <w:color w:val="auto"/>
          <w:szCs w:val="23"/>
          <w:lang w:val="en-US" w:eastAsia="en-US"/>
        </w:rPr>
        <w:t xml:space="preserve">and the </w:t>
      </w:r>
      <w:r w:rsidRPr="00C13C7D">
        <w:rPr>
          <w:rFonts w:eastAsia="Aptos"/>
          <w:color w:val="auto"/>
          <w:szCs w:val="23"/>
          <w:lang w:val="en-US" w:eastAsia="en-US"/>
        </w:rPr>
        <w:t xml:space="preserve">subsequent audited accounts and audit report </w:t>
      </w:r>
      <w:r w:rsidR="008E6DEA" w:rsidRPr="00C13C7D">
        <w:rPr>
          <w:rFonts w:eastAsia="Aptos"/>
          <w:color w:val="auto"/>
          <w:szCs w:val="23"/>
          <w:lang w:val="en-US" w:eastAsia="en-US"/>
        </w:rPr>
        <w:t xml:space="preserve">were </w:t>
      </w:r>
      <w:r w:rsidRPr="00C13C7D">
        <w:rPr>
          <w:rFonts w:eastAsia="Aptos"/>
          <w:color w:val="auto"/>
          <w:szCs w:val="23"/>
          <w:lang w:val="en-US" w:eastAsia="en-US"/>
        </w:rPr>
        <w:t xml:space="preserve">submitted to </w:t>
      </w:r>
      <w:r w:rsidR="0050330D" w:rsidRPr="00C13C7D">
        <w:rPr>
          <w:rFonts w:eastAsia="Aptos"/>
          <w:color w:val="auto"/>
          <w:szCs w:val="23"/>
          <w:lang w:val="en-US" w:eastAsia="en-US"/>
        </w:rPr>
        <w:t>the Council and A</w:t>
      </w:r>
      <w:r w:rsidRPr="00C13C7D">
        <w:rPr>
          <w:rFonts w:eastAsia="Aptos"/>
          <w:color w:val="auto"/>
          <w:szCs w:val="23"/>
          <w:lang w:val="en-US" w:eastAsia="en-US"/>
        </w:rPr>
        <w:t xml:space="preserve">udit </w:t>
      </w:r>
      <w:r w:rsidR="0050330D" w:rsidRPr="00C13C7D">
        <w:rPr>
          <w:rFonts w:eastAsia="Aptos"/>
          <w:color w:val="auto"/>
          <w:szCs w:val="23"/>
          <w:lang w:val="en-US" w:eastAsia="en-US"/>
        </w:rPr>
        <w:t>C</w:t>
      </w:r>
      <w:r w:rsidRPr="00C13C7D">
        <w:rPr>
          <w:rFonts w:eastAsia="Aptos"/>
          <w:color w:val="auto"/>
          <w:szCs w:val="23"/>
          <w:lang w:val="en-US" w:eastAsia="en-US"/>
        </w:rPr>
        <w:t>ommittee.</w:t>
      </w:r>
    </w:p>
    <w:p w14:paraId="01A21A5D" w14:textId="7E2B8565" w:rsidR="007A4FAF" w:rsidRPr="00C13C7D" w:rsidRDefault="0050330D" w:rsidP="007A4FAF">
      <w:pPr>
        <w:numPr>
          <w:ilvl w:val="0"/>
          <w:numId w:val="18"/>
        </w:numPr>
        <w:spacing w:after="0" w:line="276" w:lineRule="auto"/>
        <w:rPr>
          <w:rFonts w:eastAsia="Aptos"/>
          <w:color w:val="auto"/>
          <w:szCs w:val="23"/>
          <w:lang w:eastAsia="en-US"/>
        </w:rPr>
      </w:pPr>
      <w:r w:rsidRPr="00C13C7D">
        <w:rPr>
          <w:rFonts w:eastAsia="Aptos"/>
          <w:color w:val="auto"/>
          <w:szCs w:val="23"/>
          <w:lang w:val="en-GB" w:eastAsia="en-US"/>
        </w:rPr>
        <w:t>Our p</w:t>
      </w:r>
      <w:r w:rsidR="007A4FAF" w:rsidRPr="00C13C7D">
        <w:rPr>
          <w:rFonts w:eastAsia="Aptos"/>
          <w:color w:val="auto"/>
          <w:szCs w:val="23"/>
          <w:lang w:val="en-GB" w:eastAsia="en-US"/>
        </w:rPr>
        <w:t xml:space="preserve">ayments to suppliers </w:t>
      </w:r>
      <w:r w:rsidRPr="00C13C7D">
        <w:rPr>
          <w:rFonts w:eastAsia="Aptos"/>
          <w:color w:val="auto"/>
          <w:szCs w:val="23"/>
          <w:lang w:val="en-GB" w:eastAsia="en-US"/>
        </w:rPr>
        <w:t>for the year amounted to €380 million, an annual increase of 34%.</w:t>
      </w:r>
    </w:p>
    <w:p w14:paraId="1F51E5DC" w14:textId="14C49D63" w:rsidR="002A3CE4" w:rsidRPr="00C13C7D" w:rsidRDefault="0050330D" w:rsidP="00C90782">
      <w:pPr>
        <w:numPr>
          <w:ilvl w:val="0"/>
          <w:numId w:val="18"/>
        </w:numPr>
        <w:spacing w:after="0" w:line="276" w:lineRule="auto"/>
        <w:rPr>
          <w:rFonts w:eastAsia="Aptos"/>
          <w:color w:val="auto"/>
          <w:szCs w:val="23"/>
          <w:lang w:eastAsia="en-US"/>
        </w:rPr>
      </w:pPr>
      <w:r w:rsidRPr="00C13C7D">
        <w:rPr>
          <w:rFonts w:eastAsia="Aptos"/>
          <w:color w:val="auto"/>
          <w:szCs w:val="23"/>
          <w:lang w:val="en-GB" w:eastAsia="en-US"/>
        </w:rPr>
        <w:t xml:space="preserve">A range </w:t>
      </w:r>
      <w:r w:rsidR="00C13C7D" w:rsidRPr="00C13C7D">
        <w:rPr>
          <w:rFonts w:eastAsia="Aptos"/>
          <w:color w:val="auto"/>
          <w:szCs w:val="23"/>
          <w:lang w:val="en-GB" w:eastAsia="en-US"/>
        </w:rPr>
        <w:t>of</w:t>
      </w:r>
      <w:r w:rsidRPr="00C13C7D">
        <w:rPr>
          <w:rFonts w:eastAsia="Aptos"/>
          <w:color w:val="auto"/>
          <w:szCs w:val="23"/>
          <w:lang w:val="en-GB" w:eastAsia="en-US"/>
        </w:rPr>
        <w:t xml:space="preserve"> training was provided to staff across the organisation to enhance financial </w:t>
      </w:r>
      <w:r w:rsidR="00C13C7D" w:rsidRPr="00C13C7D">
        <w:rPr>
          <w:rFonts w:eastAsia="Aptos"/>
          <w:color w:val="auto"/>
          <w:szCs w:val="23"/>
          <w:lang w:val="en-GB" w:eastAsia="en-US"/>
        </w:rPr>
        <w:t>management and understanding.</w:t>
      </w:r>
    </w:p>
    <w:p w14:paraId="15CD3FC1" w14:textId="6B83A324" w:rsidR="0019354D" w:rsidRPr="002A3CE4" w:rsidRDefault="0019354D" w:rsidP="11DF5C04">
      <w:pPr>
        <w:spacing w:after="0" w:line="276" w:lineRule="auto"/>
        <w:ind w:left="0" w:firstLine="0"/>
        <w:textAlignment w:val="baseline"/>
        <w:rPr>
          <w:rFonts w:eastAsia="Times New Roman"/>
          <w:color w:val="auto"/>
          <w:kern w:val="0"/>
          <w14:ligatures w14:val="none"/>
        </w:rPr>
      </w:pPr>
    </w:p>
    <w:p w14:paraId="0A906E7B" w14:textId="4CA32482" w:rsidR="008E4E5E" w:rsidRPr="008D7F4A" w:rsidRDefault="008E4E5E" w:rsidP="000D6A26">
      <w:pPr>
        <w:spacing w:after="0" w:line="276" w:lineRule="auto"/>
        <w:ind w:left="0" w:firstLine="0"/>
        <w:textAlignment w:val="baseline"/>
        <w:rPr>
          <w:rFonts w:eastAsia="Times New Roman"/>
          <w:b/>
          <w:bCs/>
          <w:color w:val="auto"/>
          <w:kern w:val="0"/>
          <w:szCs w:val="23"/>
          <w:lang w:val="en-GB"/>
          <w14:ligatures w14:val="none"/>
        </w:rPr>
      </w:pPr>
      <w:r w:rsidRPr="008D7F4A">
        <w:rPr>
          <w:rFonts w:eastAsia="Times New Roman"/>
          <w:b/>
          <w:bCs/>
          <w:color w:val="auto"/>
          <w:kern w:val="0"/>
          <w:szCs w:val="23"/>
          <w:lang w:val="en-GB"/>
          <w14:ligatures w14:val="none"/>
        </w:rPr>
        <w:t xml:space="preserve">Advance </w:t>
      </w:r>
      <w:r w:rsidR="00897BA1" w:rsidRPr="008D7F4A">
        <w:rPr>
          <w:rFonts w:eastAsia="Times New Roman"/>
          <w:b/>
          <w:bCs/>
          <w:color w:val="auto"/>
          <w:kern w:val="0"/>
          <w:szCs w:val="23"/>
          <w:lang w:val="en-GB"/>
          <w14:ligatures w14:val="none"/>
        </w:rPr>
        <w:t>our</w:t>
      </w:r>
      <w:r w:rsidRPr="008D7F4A">
        <w:rPr>
          <w:rFonts w:eastAsia="Times New Roman"/>
          <w:b/>
          <w:bCs/>
          <w:color w:val="auto"/>
          <w:kern w:val="0"/>
          <w:szCs w:val="23"/>
          <w:lang w:val="en-GB"/>
          <w14:ligatures w14:val="none"/>
        </w:rPr>
        <w:t xml:space="preserve"> use of information and communication technology through secure, modern, and intelligent initiatives enabling better experiences and outcomes in service </w:t>
      </w:r>
      <w:r w:rsidR="009D33FD" w:rsidRPr="008D7F4A">
        <w:rPr>
          <w:rFonts w:eastAsia="Times New Roman"/>
          <w:b/>
          <w:bCs/>
          <w:color w:val="auto"/>
          <w:kern w:val="0"/>
          <w:szCs w:val="23"/>
          <w:lang w:val="en-GB"/>
          <w14:ligatures w14:val="none"/>
        </w:rPr>
        <w:t>delivery</w:t>
      </w:r>
    </w:p>
    <w:p w14:paraId="601974E6" w14:textId="21FB8CE7" w:rsidR="00921477" w:rsidRPr="000C0B92" w:rsidRDefault="000C0B92">
      <w:pPr>
        <w:pStyle w:val="ListParagraph"/>
        <w:numPr>
          <w:ilvl w:val="0"/>
          <w:numId w:val="1"/>
        </w:numPr>
        <w:spacing w:after="0" w:line="276" w:lineRule="auto"/>
        <w:ind w:left="357" w:hanging="357"/>
        <w:rPr>
          <w:szCs w:val="23"/>
          <w:lang w:val="en-GB"/>
        </w:rPr>
      </w:pPr>
      <w:r w:rsidRPr="000C0B92">
        <w:rPr>
          <w:szCs w:val="23"/>
          <w:lang w:val="en-GB"/>
        </w:rPr>
        <w:t>We c</w:t>
      </w:r>
      <w:r w:rsidR="00921477" w:rsidRPr="000C0B92">
        <w:rPr>
          <w:szCs w:val="23"/>
          <w:lang w:val="en-GB"/>
        </w:rPr>
        <w:t>ontinued to execute strategic operations focusing on remote working support, infrastructure upgrades, and security enhancements</w:t>
      </w:r>
      <w:r w:rsidRPr="000C0B92">
        <w:rPr>
          <w:szCs w:val="23"/>
          <w:lang w:val="en-GB"/>
        </w:rPr>
        <w:t>, including c</w:t>
      </w:r>
      <w:r w:rsidR="00921477" w:rsidRPr="000C0B92">
        <w:rPr>
          <w:szCs w:val="23"/>
          <w:lang w:val="en-GB"/>
        </w:rPr>
        <w:t>onducted continuous monitoring, remediation of security issues, synchronisation with security incident and event management systems, internal and perimeter penetration tests, and ransomware readiness assessments.</w:t>
      </w:r>
    </w:p>
    <w:p w14:paraId="4DDDFF3F" w14:textId="39BDEFC3" w:rsidR="00921477" w:rsidRPr="00993115" w:rsidRDefault="000C0B92">
      <w:pPr>
        <w:pStyle w:val="ListParagraph"/>
        <w:numPr>
          <w:ilvl w:val="0"/>
          <w:numId w:val="1"/>
        </w:numPr>
        <w:spacing w:after="0" w:line="276" w:lineRule="auto"/>
        <w:ind w:left="357" w:hanging="357"/>
        <w:rPr>
          <w:szCs w:val="23"/>
          <w:lang w:val="en-GB"/>
        </w:rPr>
      </w:pPr>
      <w:r w:rsidRPr="00993115">
        <w:rPr>
          <w:szCs w:val="23"/>
          <w:lang w:val="en-GB"/>
        </w:rPr>
        <w:t>We d</w:t>
      </w:r>
      <w:r w:rsidR="00921477" w:rsidRPr="00993115">
        <w:rPr>
          <w:szCs w:val="23"/>
          <w:lang w:val="en-GB"/>
        </w:rPr>
        <w:t>ecommissioned outdated servers, upgraded domain controllers, optimized device management systems, improved virtualization environments, and transitioned to newer storage solutions</w:t>
      </w:r>
      <w:r w:rsidR="00993115" w:rsidRPr="00993115">
        <w:rPr>
          <w:szCs w:val="23"/>
          <w:lang w:val="en-GB"/>
        </w:rPr>
        <w:t xml:space="preserve"> while also a</w:t>
      </w:r>
      <w:r w:rsidR="00921477" w:rsidRPr="00993115">
        <w:rPr>
          <w:szCs w:val="23"/>
          <w:lang w:val="en-GB"/>
        </w:rPr>
        <w:t>ctivat</w:t>
      </w:r>
      <w:r w:rsidR="00993115">
        <w:rPr>
          <w:szCs w:val="23"/>
          <w:lang w:val="en-GB"/>
        </w:rPr>
        <w:t>ing</w:t>
      </w:r>
      <w:r w:rsidR="00921477" w:rsidRPr="00993115">
        <w:rPr>
          <w:szCs w:val="23"/>
          <w:lang w:val="en-GB"/>
        </w:rPr>
        <w:t xml:space="preserve"> cloud-based backups, transition</w:t>
      </w:r>
      <w:r w:rsidR="00993115">
        <w:rPr>
          <w:szCs w:val="23"/>
          <w:lang w:val="en-GB"/>
        </w:rPr>
        <w:t xml:space="preserve">ing </w:t>
      </w:r>
      <w:r w:rsidR="00921477" w:rsidRPr="00993115">
        <w:rPr>
          <w:szCs w:val="23"/>
          <w:lang w:val="en-GB"/>
        </w:rPr>
        <w:t>database backups to a new solution, implement</w:t>
      </w:r>
      <w:r w:rsidR="00993115">
        <w:rPr>
          <w:szCs w:val="23"/>
          <w:lang w:val="en-GB"/>
        </w:rPr>
        <w:t xml:space="preserve">ing </w:t>
      </w:r>
      <w:r w:rsidR="00921477" w:rsidRPr="00993115">
        <w:rPr>
          <w:szCs w:val="23"/>
          <w:lang w:val="en-GB"/>
        </w:rPr>
        <w:t>and test</w:t>
      </w:r>
      <w:r w:rsidR="00993115">
        <w:rPr>
          <w:szCs w:val="23"/>
          <w:lang w:val="en-GB"/>
        </w:rPr>
        <w:t>ing</w:t>
      </w:r>
      <w:r w:rsidR="00921477" w:rsidRPr="00993115">
        <w:rPr>
          <w:szCs w:val="23"/>
          <w:lang w:val="en-GB"/>
        </w:rPr>
        <w:t xml:space="preserve"> cloud-native backup solutions.</w:t>
      </w:r>
    </w:p>
    <w:p w14:paraId="5896057A" w14:textId="200E9BC4" w:rsidR="00921477" w:rsidRPr="008D7F4A" w:rsidRDefault="000C0B92" w:rsidP="00233E0D">
      <w:pPr>
        <w:pStyle w:val="ListParagraph"/>
        <w:numPr>
          <w:ilvl w:val="0"/>
          <w:numId w:val="1"/>
        </w:numPr>
        <w:spacing w:after="0" w:line="276" w:lineRule="auto"/>
        <w:ind w:left="357" w:hanging="357"/>
        <w:rPr>
          <w:szCs w:val="23"/>
          <w:lang w:val="en-GB"/>
        </w:rPr>
      </w:pPr>
      <w:r>
        <w:rPr>
          <w:szCs w:val="23"/>
          <w:lang w:val="en-GB"/>
        </w:rPr>
        <w:t>A</w:t>
      </w:r>
      <w:r w:rsidR="00921477" w:rsidRPr="008D7F4A">
        <w:rPr>
          <w:szCs w:val="23"/>
          <w:lang w:val="en-GB"/>
        </w:rPr>
        <w:t xml:space="preserve"> tender for design software</w:t>
      </w:r>
      <w:r>
        <w:rPr>
          <w:szCs w:val="23"/>
          <w:lang w:val="en-GB"/>
        </w:rPr>
        <w:t xml:space="preserve"> was published and we</w:t>
      </w:r>
      <w:r w:rsidR="00921477" w:rsidRPr="008D7F4A">
        <w:rPr>
          <w:szCs w:val="23"/>
          <w:lang w:val="en-GB"/>
        </w:rPr>
        <w:t xml:space="preserve"> launched public and internal geographical information systems, supported the DURL project, and managed GDPR risks within the geographical information system environment.</w:t>
      </w:r>
    </w:p>
    <w:p w14:paraId="0E5D0140" w14:textId="53C4C3AE" w:rsidR="00921477" w:rsidRPr="008D7F4A" w:rsidRDefault="00A928A8" w:rsidP="00233E0D">
      <w:pPr>
        <w:pStyle w:val="ListParagraph"/>
        <w:numPr>
          <w:ilvl w:val="0"/>
          <w:numId w:val="1"/>
        </w:numPr>
        <w:spacing w:after="0" w:line="276" w:lineRule="auto"/>
        <w:ind w:left="357" w:hanging="357"/>
        <w:rPr>
          <w:szCs w:val="23"/>
          <w:lang w:val="en-GB"/>
        </w:rPr>
      </w:pPr>
      <w:r>
        <w:rPr>
          <w:szCs w:val="23"/>
          <w:lang w:val="en-GB"/>
        </w:rPr>
        <w:t xml:space="preserve">We changed </w:t>
      </w:r>
      <w:r w:rsidR="00921477" w:rsidRPr="008D7F4A">
        <w:rPr>
          <w:szCs w:val="23"/>
          <w:lang w:val="en-GB"/>
        </w:rPr>
        <w:t>remote support tool</w:t>
      </w:r>
      <w:r>
        <w:rPr>
          <w:szCs w:val="23"/>
          <w:lang w:val="en-GB"/>
        </w:rPr>
        <w:t>s</w:t>
      </w:r>
      <w:r w:rsidR="00921477" w:rsidRPr="008D7F4A">
        <w:rPr>
          <w:szCs w:val="23"/>
          <w:lang w:val="en-GB"/>
        </w:rPr>
        <w:t>, migrated from traditional phone systems to internet-based phone systems, and removed admin rights on staff laptops/PCs.</w:t>
      </w:r>
    </w:p>
    <w:p w14:paraId="70A18082" w14:textId="5DD2FA28" w:rsidR="00921477" w:rsidRPr="00A928A8" w:rsidRDefault="00A928A8">
      <w:pPr>
        <w:pStyle w:val="ListParagraph"/>
        <w:numPr>
          <w:ilvl w:val="0"/>
          <w:numId w:val="1"/>
        </w:numPr>
        <w:spacing w:after="0" w:line="276" w:lineRule="auto"/>
        <w:ind w:left="357" w:hanging="357"/>
        <w:rPr>
          <w:szCs w:val="23"/>
          <w:lang w:val="en-GB"/>
        </w:rPr>
      </w:pPr>
      <w:r w:rsidRPr="00A928A8">
        <w:rPr>
          <w:szCs w:val="23"/>
          <w:lang w:val="en-GB"/>
        </w:rPr>
        <w:t>We e</w:t>
      </w:r>
      <w:r w:rsidR="00921477" w:rsidRPr="00A928A8">
        <w:rPr>
          <w:szCs w:val="23"/>
          <w:lang w:val="en-GB"/>
        </w:rPr>
        <w:t>nhanced the helpdesk system and supported a variety of public-facing projects</w:t>
      </w:r>
      <w:r w:rsidRPr="00A928A8">
        <w:rPr>
          <w:szCs w:val="23"/>
          <w:lang w:val="en-GB"/>
        </w:rPr>
        <w:t xml:space="preserve"> as well as advancing our </w:t>
      </w:r>
      <w:r>
        <w:rPr>
          <w:szCs w:val="23"/>
          <w:lang w:val="en-GB"/>
        </w:rPr>
        <w:t>p</w:t>
      </w:r>
      <w:r w:rsidR="00921477" w:rsidRPr="00A928A8">
        <w:rPr>
          <w:szCs w:val="23"/>
          <w:lang w:val="en-GB"/>
        </w:rPr>
        <w:t>roject monitoring system and initiat</w:t>
      </w:r>
      <w:r>
        <w:rPr>
          <w:szCs w:val="23"/>
          <w:lang w:val="en-GB"/>
        </w:rPr>
        <w:t>ing an</w:t>
      </w:r>
      <w:r w:rsidR="00921477" w:rsidRPr="00A928A8">
        <w:rPr>
          <w:szCs w:val="23"/>
          <w:lang w:val="en-GB"/>
        </w:rPr>
        <w:t xml:space="preserve"> organizational-wide governance project for data analytics.</w:t>
      </w:r>
    </w:p>
    <w:p w14:paraId="7ECBE984" w14:textId="7C1F2115" w:rsidR="00921477" w:rsidRPr="008D7F4A" w:rsidRDefault="00A928A8" w:rsidP="00233E0D">
      <w:pPr>
        <w:pStyle w:val="ListParagraph"/>
        <w:numPr>
          <w:ilvl w:val="0"/>
          <w:numId w:val="1"/>
        </w:numPr>
        <w:spacing w:after="0" w:line="276" w:lineRule="auto"/>
        <w:ind w:left="357" w:hanging="357"/>
        <w:rPr>
          <w:szCs w:val="23"/>
          <w:lang w:val="en-GB"/>
        </w:rPr>
      </w:pPr>
      <w:r>
        <w:rPr>
          <w:szCs w:val="23"/>
          <w:lang w:val="en-GB"/>
        </w:rPr>
        <w:t>We c</w:t>
      </w:r>
      <w:r w:rsidR="00921477" w:rsidRPr="008D7F4A">
        <w:rPr>
          <w:szCs w:val="23"/>
          <w:lang w:val="en-GB"/>
        </w:rPr>
        <w:t>onducted housing surveys, continued database version migration, decommissioned older database servers, and upgraded staff devices to a newer operating system.</w:t>
      </w:r>
    </w:p>
    <w:p w14:paraId="6FCA7B8A" w14:textId="09A18B85" w:rsidR="00921477" w:rsidRPr="00CB7697" w:rsidRDefault="00A928A8" w:rsidP="00233E0D">
      <w:pPr>
        <w:pStyle w:val="ListParagraph"/>
        <w:numPr>
          <w:ilvl w:val="0"/>
          <w:numId w:val="1"/>
        </w:numPr>
        <w:spacing w:after="0" w:line="276" w:lineRule="auto"/>
        <w:ind w:left="357" w:hanging="357"/>
        <w:rPr>
          <w:lang w:val="en-GB"/>
        </w:rPr>
      </w:pPr>
      <w:r>
        <w:rPr>
          <w:szCs w:val="23"/>
          <w:lang w:val="en-GB"/>
        </w:rPr>
        <w:t>We i</w:t>
      </w:r>
      <w:r w:rsidR="00921477" w:rsidRPr="008D7F4A">
        <w:rPr>
          <w:szCs w:val="23"/>
          <w:lang w:val="en-GB"/>
        </w:rPr>
        <w:t xml:space="preserve">nitiated </w:t>
      </w:r>
      <w:r>
        <w:rPr>
          <w:szCs w:val="23"/>
          <w:lang w:val="en-GB"/>
        </w:rPr>
        <w:t xml:space="preserve">a CE </w:t>
      </w:r>
      <w:r w:rsidR="00921477" w:rsidRPr="008D7F4A">
        <w:rPr>
          <w:szCs w:val="23"/>
          <w:lang w:val="en-GB"/>
        </w:rPr>
        <w:t xml:space="preserve">orders replacement project, supported the </w:t>
      </w:r>
      <w:r>
        <w:rPr>
          <w:szCs w:val="23"/>
          <w:lang w:val="en-GB"/>
        </w:rPr>
        <w:t>c</w:t>
      </w:r>
      <w:r w:rsidR="00921477" w:rsidRPr="008D7F4A">
        <w:rPr>
          <w:szCs w:val="23"/>
          <w:lang w:val="en-GB"/>
        </w:rPr>
        <w:t>o-</w:t>
      </w:r>
      <w:r>
        <w:rPr>
          <w:szCs w:val="23"/>
          <w:lang w:val="en-GB"/>
        </w:rPr>
        <w:t>p</w:t>
      </w:r>
      <w:r w:rsidR="00921477" w:rsidRPr="008D7F4A">
        <w:rPr>
          <w:szCs w:val="23"/>
          <w:lang w:val="en-GB"/>
        </w:rPr>
        <w:t>ilot initiative, and provided support for major emergency management and local coordination centres.</w:t>
      </w:r>
    </w:p>
    <w:p w14:paraId="3CB83A35" w14:textId="77777777" w:rsidR="0001549A" w:rsidRDefault="0001549A" w:rsidP="000D6A26">
      <w:pPr>
        <w:spacing w:after="0" w:line="276" w:lineRule="auto"/>
        <w:ind w:left="0"/>
      </w:pPr>
    </w:p>
    <w:p w14:paraId="1A511E79" w14:textId="19ACF5B9" w:rsidR="11DF5C04" w:rsidRDefault="11DF5C04" w:rsidP="11DF5C04">
      <w:pPr>
        <w:spacing w:after="0" w:line="276" w:lineRule="auto"/>
        <w:ind w:left="0"/>
      </w:pPr>
    </w:p>
    <w:p w14:paraId="1751C136" w14:textId="77777777" w:rsidR="0019354D" w:rsidRDefault="0019354D" w:rsidP="000D6A26">
      <w:pPr>
        <w:spacing w:after="0" w:line="276" w:lineRule="auto"/>
        <w:ind w:left="0"/>
      </w:pPr>
    </w:p>
    <w:tbl>
      <w:tblPr>
        <w:tblW w:w="0" w:type="auto"/>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44"/>
        <w:gridCol w:w="1817"/>
      </w:tblGrid>
      <w:tr w:rsidR="004C46F0" w14:paraId="5075C70B" w14:textId="77777777" w:rsidTr="009D1A76">
        <w:trPr>
          <w:trHeight w:val="284"/>
        </w:trPr>
        <w:tc>
          <w:tcPr>
            <w:tcW w:w="7344" w:type="dxa"/>
          </w:tcPr>
          <w:p w14:paraId="18EAA0C1" w14:textId="145C5D82" w:rsidR="004C46F0" w:rsidRDefault="004C46F0" w:rsidP="009D1A76">
            <w:pPr>
              <w:pStyle w:val="TableParagraph"/>
              <w:spacing w:before="0" w:line="276" w:lineRule="auto"/>
              <w:ind w:left="273" w:right="258"/>
              <w:jc w:val="center"/>
              <w:rPr>
                <w:b/>
              </w:rPr>
            </w:pPr>
            <w:bookmarkStart w:id="7" w:name="Sheet1"/>
            <w:bookmarkEnd w:id="7"/>
            <w:r>
              <w:rPr>
                <w:b/>
              </w:rPr>
              <w:t>Corporate</w:t>
            </w:r>
            <w:r>
              <w:rPr>
                <w:b/>
                <w:spacing w:val="-5"/>
              </w:rPr>
              <w:t xml:space="preserve"> </w:t>
            </w:r>
            <w:r>
              <w:rPr>
                <w:b/>
              </w:rPr>
              <w:t>Performance</w:t>
            </w:r>
            <w:r>
              <w:rPr>
                <w:b/>
                <w:spacing w:val="-5"/>
              </w:rPr>
              <w:t xml:space="preserve"> </w:t>
            </w:r>
            <w:r>
              <w:rPr>
                <w:b/>
              </w:rPr>
              <w:t>and</w:t>
            </w:r>
            <w:r>
              <w:rPr>
                <w:b/>
                <w:spacing w:val="-5"/>
              </w:rPr>
              <w:t xml:space="preserve"> </w:t>
            </w:r>
            <w:r>
              <w:rPr>
                <w:b/>
              </w:rPr>
              <w:t>Change</w:t>
            </w:r>
            <w:r>
              <w:rPr>
                <w:b/>
                <w:spacing w:val="-5"/>
              </w:rPr>
              <w:t xml:space="preserve"> </w:t>
            </w:r>
            <w:r>
              <w:rPr>
                <w:b/>
                <w:spacing w:val="-2"/>
              </w:rPr>
              <w:t>Management</w:t>
            </w:r>
            <w:r w:rsidR="009D1A76">
              <w:rPr>
                <w:b/>
                <w:spacing w:val="-2"/>
              </w:rPr>
              <w:t xml:space="preserve"> Key Statistics</w:t>
            </w:r>
          </w:p>
        </w:tc>
        <w:tc>
          <w:tcPr>
            <w:tcW w:w="1817" w:type="dxa"/>
          </w:tcPr>
          <w:p w14:paraId="7C25C7FA" w14:textId="28674CCD" w:rsidR="004C46F0" w:rsidRDefault="009D1A76" w:rsidP="009D1A76">
            <w:pPr>
              <w:pStyle w:val="TableParagraph"/>
              <w:spacing w:before="0" w:line="276" w:lineRule="auto"/>
              <w:jc w:val="center"/>
              <w:rPr>
                <w:rFonts w:ascii="Times New Roman"/>
                <w:sz w:val="20"/>
              </w:rPr>
            </w:pPr>
            <w:r>
              <w:rPr>
                <w:b/>
              </w:rPr>
              <w:t>2024</w:t>
            </w:r>
            <w:r>
              <w:rPr>
                <w:b/>
                <w:spacing w:val="-1"/>
              </w:rPr>
              <w:t xml:space="preserve"> </w:t>
            </w:r>
            <w:r>
              <w:rPr>
                <w:b/>
                <w:spacing w:val="-2"/>
              </w:rPr>
              <w:t>Totals</w:t>
            </w:r>
          </w:p>
        </w:tc>
      </w:tr>
      <w:tr w:rsidR="009D1A76" w14:paraId="54868715" w14:textId="77777777" w:rsidTr="009D1A76">
        <w:trPr>
          <w:trHeight w:val="213"/>
        </w:trPr>
        <w:tc>
          <w:tcPr>
            <w:tcW w:w="7344" w:type="dxa"/>
          </w:tcPr>
          <w:p w14:paraId="5161C956" w14:textId="18F88ED1" w:rsidR="009D1A76" w:rsidRDefault="00C13C7D" w:rsidP="009D1A76">
            <w:pPr>
              <w:pStyle w:val="TableParagraph"/>
              <w:spacing w:before="0" w:line="276" w:lineRule="auto"/>
              <w:ind w:left="273" w:right="258"/>
              <w:jc w:val="both"/>
              <w:rPr>
                <w:b/>
              </w:rPr>
            </w:pPr>
            <w:r>
              <w:rPr>
                <w:spacing w:val="-2"/>
              </w:rPr>
              <w:t>C</w:t>
            </w:r>
            <w:r w:rsidR="009D1A76">
              <w:rPr>
                <w:spacing w:val="-2"/>
              </w:rPr>
              <w:t>ustomer</w:t>
            </w:r>
            <w:r w:rsidR="009D1A76">
              <w:rPr>
                <w:spacing w:val="-10"/>
              </w:rPr>
              <w:t xml:space="preserve"> </w:t>
            </w:r>
            <w:r w:rsidR="009D1A76">
              <w:rPr>
                <w:spacing w:val="-2"/>
              </w:rPr>
              <w:t>queries</w:t>
            </w:r>
            <w:r w:rsidR="009D1A76">
              <w:rPr>
                <w:spacing w:val="-9"/>
              </w:rPr>
              <w:t xml:space="preserve"> </w:t>
            </w:r>
            <w:proofErr w:type="gramStart"/>
            <w:r w:rsidR="009D1A76">
              <w:rPr>
                <w:spacing w:val="-2"/>
              </w:rPr>
              <w:t>closed</w:t>
            </w:r>
            <w:proofErr w:type="gramEnd"/>
            <w:r w:rsidR="009D1A76">
              <w:rPr>
                <w:spacing w:val="-10"/>
              </w:rPr>
              <w:t xml:space="preserve"> </w:t>
            </w:r>
            <w:r w:rsidR="009D1A76">
              <w:rPr>
                <w:spacing w:val="-2"/>
              </w:rPr>
              <w:t>within</w:t>
            </w:r>
            <w:r w:rsidR="009D1A76">
              <w:rPr>
                <w:spacing w:val="-8"/>
              </w:rPr>
              <w:t xml:space="preserve"> </w:t>
            </w:r>
            <w:r w:rsidR="009D1A76">
              <w:rPr>
                <w:spacing w:val="-2"/>
              </w:rPr>
              <w:t>deadline</w:t>
            </w:r>
          </w:p>
        </w:tc>
        <w:tc>
          <w:tcPr>
            <w:tcW w:w="1817" w:type="dxa"/>
          </w:tcPr>
          <w:p w14:paraId="2F75C800" w14:textId="5B3F056A" w:rsidR="009D1A76" w:rsidRDefault="009D1A76" w:rsidP="00C175BB">
            <w:pPr>
              <w:pStyle w:val="TableParagraph"/>
              <w:spacing w:before="0" w:line="276" w:lineRule="auto"/>
              <w:jc w:val="center"/>
              <w:rPr>
                <w:b/>
              </w:rPr>
            </w:pPr>
            <w:r>
              <w:t>17,312</w:t>
            </w:r>
          </w:p>
        </w:tc>
      </w:tr>
      <w:tr w:rsidR="009D1A76" w14:paraId="1150AAFF" w14:textId="77777777" w:rsidTr="009D1A76">
        <w:trPr>
          <w:trHeight w:val="284"/>
        </w:trPr>
        <w:tc>
          <w:tcPr>
            <w:tcW w:w="7344" w:type="dxa"/>
          </w:tcPr>
          <w:p w14:paraId="47F91DB9" w14:textId="0FBA0B50" w:rsidR="009D1A76" w:rsidRDefault="00C13C7D" w:rsidP="009D1A76">
            <w:pPr>
              <w:pStyle w:val="TableParagraph"/>
              <w:spacing w:before="0" w:line="276" w:lineRule="auto"/>
              <w:ind w:left="273" w:right="258"/>
              <w:jc w:val="both"/>
            </w:pPr>
            <w:r>
              <w:rPr>
                <w:spacing w:val="-4"/>
              </w:rPr>
              <w:t>Members</w:t>
            </w:r>
            <w:r w:rsidR="009D1A76">
              <w:rPr>
                <w:spacing w:val="-4"/>
              </w:rPr>
              <w:t xml:space="preserve">’ </w:t>
            </w:r>
            <w:proofErr w:type="gramStart"/>
            <w:r w:rsidR="009D1A76">
              <w:rPr>
                <w:spacing w:val="-4"/>
              </w:rPr>
              <w:t>representations</w:t>
            </w:r>
            <w:proofErr w:type="gramEnd"/>
            <w:r w:rsidR="009D1A76">
              <w:rPr>
                <w:spacing w:val="-4"/>
              </w:rPr>
              <w:t xml:space="preserve"> closed</w:t>
            </w:r>
            <w:r w:rsidR="009D1A76">
              <w:rPr>
                <w:spacing w:val="-5"/>
              </w:rPr>
              <w:t xml:space="preserve"> </w:t>
            </w:r>
            <w:r w:rsidR="009D1A76">
              <w:rPr>
                <w:spacing w:val="-4"/>
              </w:rPr>
              <w:t>within</w:t>
            </w:r>
            <w:r w:rsidR="009D1A76">
              <w:rPr>
                <w:spacing w:val="-2"/>
              </w:rPr>
              <w:t xml:space="preserve"> </w:t>
            </w:r>
            <w:r w:rsidR="009D1A76">
              <w:rPr>
                <w:spacing w:val="-4"/>
              </w:rPr>
              <w:t>deadline</w:t>
            </w:r>
          </w:p>
        </w:tc>
        <w:tc>
          <w:tcPr>
            <w:tcW w:w="1817" w:type="dxa"/>
          </w:tcPr>
          <w:p w14:paraId="3AF62E08" w14:textId="7E231285" w:rsidR="009D1A76" w:rsidRDefault="009D1A76" w:rsidP="00C175BB">
            <w:pPr>
              <w:pStyle w:val="TableParagraph"/>
              <w:spacing w:before="0" w:line="276" w:lineRule="auto"/>
              <w:jc w:val="center"/>
            </w:pPr>
            <w:r>
              <w:t>5,332</w:t>
            </w:r>
          </w:p>
        </w:tc>
      </w:tr>
      <w:tr w:rsidR="009D1A76" w14:paraId="26D3F10E" w14:textId="77777777" w:rsidTr="009D1A76">
        <w:trPr>
          <w:trHeight w:val="284"/>
        </w:trPr>
        <w:tc>
          <w:tcPr>
            <w:tcW w:w="7344" w:type="dxa"/>
          </w:tcPr>
          <w:p w14:paraId="5EBCB40E" w14:textId="0ED8621B" w:rsidR="009D1A76" w:rsidRDefault="009D1A76" w:rsidP="009D1A76">
            <w:pPr>
              <w:pStyle w:val="TableParagraph"/>
              <w:spacing w:before="0" w:line="276" w:lineRule="auto"/>
              <w:ind w:left="273" w:right="258"/>
              <w:jc w:val="both"/>
            </w:pPr>
            <w:r>
              <w:rPr>
                <w:spacing w:val="-4"/>
              </w:rPr>
              <w:t>Freedom</w:t>
            </w:r>
            <w:r>
              <w:t xml:space="preserve"> </w:t>
            </w:r>
            <w:r>
              <w:rPr>
                <w:spacing w:val="-4"/>
              </w:rPr>
              <w:t>of</w:t>
            </w:r>
            <w:r>
              <w:rPr>
                <w:spacing w:val="2"/>
              </w:rPr>
              <w:t xml:space="preserve"> </w:t>
            </w:r>
            <w:r w:rsidR="00C13C7D">
              <w:rPr>
                <w:spacing w:val="-4"/>
              </w:rPr>
              <w:t>i</w:t>
            </w:r>
            <w:r>
              <w:rPr>
                <w:spacing w:val="-4"/>
              </w:rPr>
              <w:t>nformation/</w:t>
            </w:r>
            <w:r w:rsidR="00C13C7D">
              <w:rPr>
                <w:spacing w:val="-4"/>
              </w:rPr>
              <w:t>d</w:t>
            </w:r>
            <w:r>
              <w:rPr>
                <w:spacing w:val="-4"/>
              </w:rPr>
              <w:t>ata</w:t>
            </w:r>
            <w:r>
              <w:rPr>
                <w:spacing w:val="1"/>
              </w:rPr>
              <w:t xml:space="preserve"> </w:t>
            </w:r>
            <w:r w:rsidR="00C13C7D">
              <w:rPr>
                <w:spacing w:val="-4"/>
              </w:rPr>
              <w:t>a</w:t>
            </w:r>
            <w:r>
              <w:rPr>
                <w:spacing w:val="-4"/>
              </w:rPr>
              <w:t>ccess</w:t>
            </w:r>
            <w:r>
              <w:rPr>
                <w:spacing w:val="1"/>
              </w:rPr>
              <w:t xml:space="preserve"> </w:t>
            </w:r>
            <w:r w:rsidR="00C13C7D">
              <w:rPr>
                <w:spacing w:val="-4"/>
              </w:rPr>
              <w:t>r</w:t>
            </w:r>
            <w:r>
              <w:rPr>
                <w:spacing w:val="-4"/>
              </w:rPr>
              <w:t>equests</w:t>
            </w:r>
            <w:r>
              <w:rPr>
                <w:spacing w:val="1"/>
              </w:rPr>
              <w:t xml:space="preserve"> </w:t>
            </w:r>
            <w:r>
              <w:rPr>
                <w:spacing w:val="-4"/>
              </w:rPr>
              <w:t>responded</w:t>
            </w:r>
            <w:r>
              <w:t xml:space="preserve"> </w:t>
            </w:r>
            <w:r>
              <w:rPr>
                <w:spacing w:val="-5"/>
              </w:rPr>
              <w:t>to</w:t>
            </w:r>
          </w:p>
        </w:tc>
        <w:tc>
          <w:tcPr>
            <w:tcW w:w="1817" w:type="dxa"/>
          </w:tcPr>
          <w:p w14:paraId="08545881" w14:textId="48D4F4CD" w:rsidR="009D1A76" w:rsidRDefault="009D1A76" w:rsidP="00C175BB">
            <w:pPr>
              <w:pStyle w:val="TableParagraph"/>
              <w:spacing w:before="0" w:line="276" w:lineRule="auto"/>
              <w:jc w:val="center"/>
            </w:pPr>
            <w:r>
              <w:t>337</w:t>
            </w:r>
          </w:p>
        </w:tc>
      </w:tr>
      <w:tr w:rsidR="009D1A76" w14:paraId="737A4BEF" w14:textId="77777777" w:rsidTr="009D1A76">
        <w:trPr>
          <w:trHeight w:val="284"/>
        </w:trPr>
        <w:tc>
          <w:tcPr>
            <w:tcW w:w="7344" w:type="dxa"/>
          </w:tcPr>
          <w:p w14:paraId="2BD375A9" w14:textId="17502759" w:rsidR="009D1A76" w:rsidRDefault="009D1A76" w:rsidP="009D1A76">
            <w:pPr>
              <w:pStyle w:val="TableParagraph"/>
              <w:spacing w:before="0" w:line="276" w:lineRule="auto"/>
              <w:ind w:left="273" w:right="258"/>
              <w:jc w:val="both"/>
            </w:pPr>
            <w:r>
              <w:rPr>
                <w:spacing w:val="-2"/>
              </w:rPr>
              <w:t>Number</w:t>
            </w:r>
            <w:r>
              <w:rPr>
                <w:spacing w:val="-7"/>
              </w:rPr>
              <w:t xml:space="preserve"> </w:t>
            </w:r>
            <w:r>
              <w:rPr>
                <w:spacing w:val="-2"/>
              </w:rPr>
              <w:t>of</w:t>
            </w:r>
            <w:r>
              <w:rPr>
                <w:spacing w:val="-4"/>
              </w:rPr>
              <w:t xml:space="preserve"> </w:t>
            </w:r>
            <w:r>
              <w:rPr>
                <w:spacing w:val="-2"/>
              </w:rPr>
              <w:t>citizens</w:t>
            </w:r>
            <w:r>
              <w:rPr>
                <w:spacing w:val="-5"/>
              </w:rPr>
              <w:t xml:space="preserve"> </w:t>
            </w:r>
            <w:r>
              <w:rPr>
                <w:spacing w:val="-2"/>
              </w:rPr>
              <w:t>who</w:t>
            </w:r>
            <w:r>
              <w:rPr>
                <w:spacing w:val="-6"/>
              </w:rPr>
              <w:t xml:space="preserve"> </w:t>
            </w:r>
            <w:r>
              <w:rPr>
                <w:spacing w:val="-2"/>
              </w:rPr>
              <w:t>actively</w:t>
            </w:r>
            <w:r>
              <w:rPr>
                <w:spacing w:val="-6"/>
              </w:rPr>
              <w:t xml:space="preserve"> </w:t>
            </w:r>
            <w:proofErr w:type="gramStart"/>
            <w:r>
              <w:rPr>
                <w:spacing w:val="-2"/>
              </w:rPr>
              <w:t>engaged</w:t>
            </w:r>
            <w:proofErr w:type="gramEnd"/>
            <w:r>
              <w:rPr>
                <w:spacing w:val="-6"/>
              </w:rPr>
              <w:t xml:space="preserve"> </w:t>
            </w:r>
            <w:r>
              <w:rPr>
                <w:spacing w:val="-2"/>
              </w:rPr>
              <w:t>in</w:t>
            </w:r>
            <w:r>
              <w:rPr>
                <w:spacing w:val="-4"/>
              </w:rPr>
              <w:t xml:space="preserve"> </w:t>
            </w:r>
            <w:r>
              <w:rPr>
                <w:spacing w:val="-2"/>
              </w:rPr>
              <w:t>council</w:t>
            </w:r>
            <w:r>
              <w:rPr>
                <w:spacing w:val="-6"/>
              </w:rPr>
              <w:t xml:space="preserve"> </w:t>
            </w:r>
            <w:r>
              <w:rPr>
                <w:spacing w:val="-2"/>
              </w:rPr>
              <w:t>consultations</w:t>
            </w:r>
            <w:r>
              <w:rPr>
                <w:spacing w:val="-5"/>
              </w:rPr>
              <w:t xml:space="preserve"> </w:t>
            </w:r>
            <w:r>
              <w:rPr>
                <w:spacing w:val="-2"/>
              </w:rPr>
              <w:t>(including consultation</w:t>
            </w:r>
            <w:r>
              <w:rPr>
                <w:spacing w:val="-6"/>
              </w:rPr>
              <w:t xml:space="preserve"> </w:t>
            </w:r>
            <w:r>
              <w:rPr>
                <w:spacing w:val="-2"/>
              </w:rPr>
              <w:t>portal,</w:t>
            </w:r>
            <w:r>
              <w:rPr>
                <w:spacing w:val="-7"/>
              </w:rPr>
              <w:t xml:space="preserve"> </w:t>
            </w:r>
            <w:r>
              <w:rPr>
                <w:spacing w:val="-2"/>
              </w:rPr>
              <w:t>citizen</w:t>
            </w:r>
            <w:r>
              <w:rPr>
                <w:spacing w:val="-6"/>
              </w:rPr>
              <w:t xml:space="preserve"> </w:t>
            </w:r>
            <w:r>
              <w:rPr>
                <w:spacing w:val="-2"/>
              </w:rPr>
              <w:t>surveys</w:t>
            </w:r>
            <w:r>
              <w:rPr>
                <w:spacing w:val="-7"/>
              </w:rPr>
              <w:t xml:space="preserve"> </w:t>
            </w:r>
            <w:r>
              <w:rPr>
                <w:spacing w:val="-2"/>
              </w:rPr>
              <w:t>and</w:t>
            </w:r>
            <w:r>
              <w:rPr>
                <w:spacing w:val="-8"/>
              </w:rPr>
              <w:t xml:space="preserve"> </w:t>
            </w:r>
            <w:r>
              <w:rPr>
                <w:spacing w:val="-2"/>
              </w:rPr>
              <w:t>PB</w:t>
            </w:r>
            <w:r>
              <w:rPr>
                <w:spacing w:val="-7"/>
              </w:rPr>
              <w:t xml:space="preserve"> </w:t>
            </w:r>
            <w:r>
              <w:rPr>
                <w:spacing w:val="-2"/>
              </w:rPr>
              <w:t>votes)</w:t>
            </w:r>
          </w:p>
        </w:tc>
        <w:tc>
          <w:tcPr>
            <w:tcW w:w="1817" w:type="dxa"/>
          </w:tcPr>
          <w:p w14:paraId="6A55AA7C" w14:textId="6496C921" w:rsidR="009D1A76" w:rsidRDefault="009D1A76" w:rsidP="00C175BB">
            <w:pPr>
              <w:pStyle w:val="TableParagraph"/>
              <w:spacing w:before="0" w:line="276" w:lineRule="auto"/>
              <w:jc w:val="center"/>
            </w:pPr>
            <w:r>
              <w:t>3,094</w:t>
            </w:r>
          </w:p>
        </w:tc>
      </w:tr>
      <w:tr w:rsidR="009D1A76" w14:paraId="7A2C9495" w14:textId="77777777" w:rsidTr="009D1A76">
        <w:trPr>
          <w:trHeight w:val="151"/>
        </w:trPr>
        <w:tc>
          <w:tcPr>
            <w:tcW w:w="7344" w:type="dxa"/>
          </w:tcPr>
          <w:p w14:paraId="2084D8B6" w14:textId="5BC161D4" w:rsidR="009D1A76" w:rsidRDefault="009D1A76" w:rsidP="009D1A76">
            <w:pPr>
              <w:pStyle w:val="TableParagraph"/>
              <w:spacing w:before="0" w:line="276" w:lineRule="auto"/>
              <w:ind w:left="273" w:right="258"/>
              <w:jc w:val="both"/>
            </w:pPr>
            <w:r>
              <w:rPr>
                <w:spacing w:val="-2"/>
              </w:rPr>
              <w:t>Telephone</w:t>
            </w:r>
            <w:r>
              <w:t xml:space="preserve"> </w:t>
            </w:r>
            <w:r>
              <w:rPr>
                <w:spacing w:val="-2"/>
              </w:rPr>
              <w:t>calls</w:t>
            </w:r>
            <w:r>
              <w:rPr>
                <w:spacing w:val="1"/>
              </w:rPr>
              <w:t xml:space="preserve"> </w:t>
            </w:r>
            <w:r>
              <w:rPr>
                <w:spacing w:val="-2"/>
              </w:rPr>
              <w:t>answered</w:t>
            </w:r>
          </w:p>
        </w:tc>
        <w:tc>
          <w:tcPr>
            <w:tcW w:w="1817" w:type="dxa"/>
          </w:tcPr>
          <w:p w14:paraId="2DB7AB1F" w14:textId="4A6E3987" w:rsidR="009D1A76" w:rsidRDefault="009D1A76" w:rsidP="00C175BB">
            <w:pPr>
              <w:pStyle w:val="TableParagraph"/>
              <w:spacing w:before="0" w:line="276" w:lineRule="auto"/>
              <w:jc w:val="center"/>
            </w:pPr>
            <w:r>
              <w:t>147,460</w:t>
            </w:r>
          </w:p>
        </w:tc>
      </w:tr>
      <w:tr w:rsidR="009D1A76" w14:paraId="7925B839" w14:textId="77777777" w:rsidTr="009D1A76">
        <w:trPr>
          <w:trHeight w:val="284"/>
        </w:trPr>
        <w:tc>
          <w:tcPr>
            <w:tcW w:w="7344" w:type="dxa"/>
          </w:tcPr>
          <w:p w14:paraId="1B4D0D8B" w14:textId="7AF1F8EC" w:rsidR="009D1A76" w:rsidRDefault="009D1A76" w:rsidP="009D1A76">
            <w:pPr>
              <w:pStyle w:val="TableParagraph"/>
              <w:spacing w:before="0" w:line="276" w:lineRule="auto"/>
              <w:ind w:left="273" w:right="258"/>
              <w:jc w:val="both"/>
            </w:pPr>
            <w:r>
              <w:rPr>
                <w:spacing w:val="-2"/>
              </w:rPr>
              <w:t>Social</w:t>
            </w:r>
            <w:r>
              <w:rPr>
                <w:spacing w:val="-8"/>
              </w:rPr>
              <w:t xml:space="preserve"> </w:t>
            </w:r>
            <w:r>
              <w:rPr>
                <w:spacing w:val="-2"/>
              </w:rPr>
              <w:t>media</w:t>
            </w:r>
            <w:r>
              <w:rPr>
                <w:spacing w:val="-6"/>
              </w:rPr>
              <w:t xml:space="preserve"> </w:t>
            </w:r>
            <w:r>
              <w:rPr>
                <w:spacing w:val="-2"/>
              </w:rPr>
              <w:t>engagement</w:t>
            </w:r>
          </w:p>
        </w:tc>
        <w:tc>
          <w:tcPr>
            <w:tcW w:w="1817" w:type="dxa"/>
          </w:tcPr>
          <w:p w14:paraId="760D593F" w14:textId="5C2C4958" w:rsidR="009D1A76" w:rsidRDefault="009D1A76" w:rsidP="00C175BB">
            <w:pPr>
              <w:pStyle w:val="TableParagraph"/>
              <w:spacing w:before="0" w:line="276" w:lineRule="auto"/>
              <w:jc w:val="center"/>
            </w:pPr>
            <w:r>
              <w:t>1,649,582</w:t>
            </w:r>
          </w:p>
        </w:tc>
      </w:tr>
      <w:tr w:rsidR="009D1A76" w14:paraId="0A0AD031" w14:textId="77777777" w:rsidTr="009D1A76">
        <w:trPr>
          <w:trHeight w:val="284"/>
        </w:trPr>
        <w:tc>
          <w:tcPr>
            <w:tcW w:w="7344" w:type="dxa"/>
          </w:tcPr>
          <w:p w14:paraId="37196A1A" w14:textId="5A5C18F4" w:rsidR="009D1A76" w:rsidRDefault="009D1A76" w:rsidP="009D1A76">
            <w:pPr>
              <w:pStyle w:val="TableParagraph"/>
              <w:spacing w:before="0" w:line="276" w:lineRule="auto"/>
              <w:ind w:left="273" w:right="258"/>
              <w:jc w:val="both"/>
            </w:pPr>
            <w:r>
              <w:rPr>
                <w:spacing w:val="-4"/>
              </w:rPr>
              <w:t>Web</w:t>
            </w:r>
            <w:r>
              <w:rPr>
                <w:spacing w:val="-5"/>
              </w:rPr>
              <w:t xml:space="preserve"> </w:t>
            </w:r>
            <w:r>
              <w:rPr>
                <w:spacing w:val="-4"/>
              </w:rPr>
              <w:t>pages opened</w:t>
            </w:r>
          </w:p>
        </w:tc>
        <w:tc>
          <w:tcPr>
            <w:tcW w:w="1817" w:type="dxa"/>
          </w:tcPr>
          <w:p w14:paraId="650849F9" w14:textId="2C64FCDF" w:rsidR="009D1A76" w:rsidRDefault="009D1A76" w:rsidP="00C175BB">
            <w:pPr>
              <w:pStyle w:val="TableParagraph"/>
              <w:spacing w:before="0" w:line="276" w:lineRule="auto"/>
              <w:jc w:val="center"/>
            </w:pPr>
            <w:r>
              <w:t>1,713,463</w:t>
            </w:r>
          </w:p>
        </w:tc>
      </w:tr>
      <w:tr w:rsidR="009D1A76" w14:paraId="14D7911A" w14:textId="77777777" w:rsidTr="009D1A76">
        <w:trPr>
          <w:trHeight w:val="284"/>
        </w:trPr>
        <w:tc>
          <w:tcPr>
            <w:tcW w:w="7344" w:type="dxa"/>
          </w:tcPr>
          <w:p w14:paraId="5BE1AF81" w14:textId="43846E3C" w:rsidR="009D1A76" w:rsidRDefault="009D1A76" w:rsidP="009D1A76">
            <w:pPr>
              <w:pStyle w:val="TableParagraph"/>
              <w:spacing w:before="0" w:line="276" w:lineRule="auto"/>
              <w:ind w:left="273" w:right="258"/>
              <w:jc w:val="both"/>
            </w:pPr>
            <w:r>
              <w:t>Social</w:t>
            </w:r>
            <w:r>
              <w:rPr>
                <w:spacing w:val="-5"/>
              </w:rPr>
              <w:t xml:space="preserve"> </w:t>
            </w:r>
            <w:r>
              <w:t>media</w:t>
            </w:r>
            <w:r>
              <w:rPr>
                <w:spacing w:val="-4"/>
              </w:rPr>
              <w:t xml:space="preserve"> </w:t>
            </w:r>
            <w:r>
              <w:rPr>
                <w:spacing w:val="-2"/>
              </w:rPr>
              <w:t>followers</w:t>
            </w:r>
          </w:p>
        </w:tc>
        <w:tc>
          <w:tcPr>
            <w:tcW w:w="1817" w:type="dxa"/>
          </w:tcPr>
          <w:p w14:paraId="7C16E18B" w14:textId="0879CB8C" w:rsidR="009D1A76" w:rsidRDefault="009D1A76" w:rsidP="00C175BB">
            <w:pPr>
              <w:pStyle w:val="TableParagraph"/>
              <w:spacing w:before="0" w:line="276" w:lineRule="auto"/>
              <w:jc w:val="center"/>
            </w:pPr>
            <w:r>
              <w:t>158,719</w:t>
            </w:r>
          </w:p>
        </w:tc>
      </w:tr>
      <w:tr w:rsidR="009D1A76" w14:paraId="76A3D45D" w14:textId="77777777" w:rsidTr="009D1A76">
        <w:trPr>
          <w:trHeight w:val="284"/>
        </w:trPr>
        <w:tc>
          <w:tcPr>
            <w:tcW w:w="7344" w:type="dxa"/>
          </w:tcPr>
          <w:p w14:paraId="2CE652CF" w14:textId="7F7AF8F6" w:rsidR="009D1A76" w:rsidRDefault="009D1A76" w:rsidP="009D1A76">
            <w:pPr>
              <w:pStyle w:val="TableParagraph"/>
              <w:spacing w:before="0" w:line="276" w:lineRule="auto"/>
              <w:ind w:left="273" w:right="258"/>
              <w:jc w:val="both"/>
            </w:pPr>
            <w:r>
              <w:rPr>
                <w:spacing w:val="-4"/>
              </w:rPr>
              <w:t>People</w:t>
            </w:r>
            <w:r>
              <w:rPr>
                <w:spacing w:val="-3"/>
              </w:rPr>
              <w:t xml:space="preserve"> </w:t>
            </w:r>
            <w:r>
              <w:rPr>
                <w:spacing w:val="-4"/>
              </w:rPr>
              <w:t>on</w:t>
            </w:r>
            <w:r>
              <w:rPr>
                <w:spacing w:val="-2"/>
              </w:rPr>
              <w:t xml:space="preserve"> </w:t>
            </w:r>
            <w:r>
              <w:rPr>
                <w:spacing w:val="-4"/>
              </w:rPr>
              <w:t>the</w:t>
            </w:r>
            <w:r>
              <w:rPr>
                <w:spacing w:val="-3"/>
              </w:rPr>
              <w:t xml:space="preserve"> </w:t>
            </w:r>
            <w:r>
              <w:rPr>
                <w:spacing w:val="-4"/>
              </w:rPr>
              <w:t>electoral register</w:t>
            </w:r>
          </w:p>
        </w:tc>
        <w:tc>
          <w:tcPr>
            <w:tcW w:w="1817" w:type="dxa"/>
          </w:tcPr>
          <w:p w14:paraId="1B03AA2A" w14:textId="49514F34" w:rsidR="009D1A76" w:rsidRDefault="009D1A76" w:rsidP="00C175BB">
            <w:pPr>
              <w:pStyle w:val="TableParagraph"/>
              <w:spacing w:before="0" w:line="276" w:lineRule="auto"/>
              <w:jc w:val="center"/>
            </w:pPr>
            <w:r>
              <w:t>213,345</w:t>
            </w:r>
          </w:p>
        </w:tc>
      </w:tr>
      <w:tr w:rsidR="009D1A76" w14:paraId="2100F466" w14:textId="77777777" w:rsidTr="009D1A76">
        <w:trPr>
          <w:trHeight w:val="284"/>
        </w:trPr>
        <w:tc>
          <w:tcPr>
            <w:tcW w:w="7344" w:type="dxa"/>
          </w:tcPr>
          <w:p w14:paraId="0616DC17" w14:textId="0DF49626" w:rsidR="009D1A76" w:rsidRDefault="009D1A76" w:rsidP="009D1A76">
            <w:pPr>
              <w:pStyle w:val="TableParagraph"/>
              <w:spacing w:before="0" w:line="276" w:lineRule="auto"/>
              <w:ind w:left="273" w:right="258"/>
              <w:jc w:val="both"/>
            </w:pPr>
            <w:r>
              <w:rPr>
                <w:spacing w:val="-4"/>
              </w:rPr>
              <w:t>Staff</w:t>
            </w:r>
            <w:r>
              <w:rPr>
                <w:spacing w:val="-1"/>
              </w:rPr>
              <w:t xml:space="preserve"> </w:t>
            </w:r>
            <w:r w:rsidR="00C13C7D">
              <w:rPr>
                <w:spacing w:val="-4"/>
              </w:rPr>
              <w:t>l</w:t>
            </w:r>
            <w:r>
              <w:rPr>
                <w:spacing w:val="-4"/>
              </w:rPr>
              <w:t>earning</w:t>
            </w:r>
            <w:r>
              <w:rPr>
                <w:spacing w:val="-2"/>
              </w:rPr>
              <w:t xml:space="preserve"> </w:t>
            </w:r>
            <w:r>
              <w:rPr>
                <w:spacing w:val="-4"/>
              </w:rPr>
              <w:t>and</w:t>
            </w:r>
            <w:r>
              <w:rPr>
                <w:spacing w:val="-3"/>
              </w:rPr>
              <w:t xml:space="preserve"> </w:t>
            </w:r>
            <w:r>
              <w:rPr>
                <w:spacing w:val="-4"/>
              </w:rPr>
              <w:t>development</w:t>
            </w:r>
            <w:r>
              <w:rPr>
                <w:spacing w:val="-3"/>
              </w:rPr>
              <w:t xml:space="preserve"> </w:t>
            </w:r>
            <w:r>
              <w:rPr>
                <w:spacing w:val="-4"/>
              </w:rPr>
              <w:t>courses</w:t>
            </w:r>
          </w:p>
        </w:tc>
        <w:tc>
          <w:tcPr>
            <w:tcW w:w="1817" w:type="dxa"/>
          </w:tcPr>
          <w:p w14:paraId="36060BD6" w14:textId="1AECF460" w:rsidR="009D1A76" w:rsidRDefault="009D1A76" w:rsidP="00C175BB">
            <w:pPr>
              <w:pStyle w:val="TableParagraph"/>
              <w:spacing w:before="0" w:line="276" w:lineRule="auto"/>
              <w:jc w:val="center"/>
            </w:pPr>
            <w:r>
              <w:t>226</w:t>
            </w:r>
          </w:p>
        </w:tc>
      </w:tr>
      <w:tr w:rsidR="009D1A76" w14:paraId="37524313" w14:textId="77777777" w:rsidTr="009D1A76">
        <w:trPr>
          <w:trHeight w:val="284"/>
        </w:trPr>
        <w:tc>
          <w:tcPr>
            <w:tcW w:w="7344" w:type="dxa"/>
          </w:tcPr>
          <w:p w14:paraId="3CACB6DC" w14:textId="1B19CCB6" w:rsidR="009D1A76" w:rsidRDefault="009D1A76" w:rsidP="009D1A76">
            <w:pPr>
              <w:pStyle w:val="TableParagraph"/>
              <w:spacing w:before="0" w:line="276" w:lineRule="auto"/>
              <w:ind w:left="273" w:right="258"/>
              <w:jc w:val="both"/>
            </w:pPr>
            <w:r>
              <w:rPr>
                <w:w w:val="90"/>
              </w:rPr>
              <w:t>Total</w:t>
            </w:r>
            <w:r>
              <w:t xml:space="preserve"> </w:t>
            </w:r>
            <w:r>
              <w:rPr>
                <w:w w:val="90"/>
              </w:rPr>
              <w:t>IT</w:t>
            </w:r>
            <w:r>
              <w:rPr>
                <w:spacing w:val="1"/>
              </w:rPr>
              <w:t xml:space="preserve"> </w:t>
            </w:r>
            <w:r>
              <w:rPr>
                <w:spacing w:val="-2"/>
                <w:w w:val="90"/>
              </w:rPr>
              <w:t>expenditure</w:t>
            </w:r>
          </w:p>
        </w:tc>
        <w:tc>
          <w:tcPr>
            <w:tcW w:w="1817" w:type="dxa"/>
          </w:tcPr>
          <w:p w14:paraId="48EFEC8A" w14:textId="7247CE2D" w:rsidR="009D1A76" w:rsidRDefault="009D1A76" w:rsidP="00C175BB">
            <w:pPr>
              <w:pStyle w:val="TableParagraph"/>
              <w:spacing w:before="0" w:line="276" w:lineRule="auto"/>
              <w:jc w:val="center"/>
            </w:pPr>
            <w:r>
              <w:t>€6,769,982</w:t>
            </w:r>
          </w:p>
        </w:tc>
      </w:tr>
      <w:tr w:rsidR="009D1A76" w14:paraId="3A8A5508" w14:textId="77777777" w:rsidTr="009D1A76">
        <w:trPr>
          <w:trHeight w:val="284"/>
        </w:trPr>
        <w:tc>
          <w:tcPr>
            <w:tcW w:w="7344" w:type="dxa"/>
          </w:tcPr>
          <w:p w14:paraId="69E3FAAE" w14:textId="4D214C2E" w:rsidR="009D1A76" w:rsidRDefault="009D1A76" w:rsidP="009D1A76">
            <w:pPr>
              <w:pStyle w:val="TableParagraph"/>
              <w:spacing w:before="0" w:line="276" w:lineRule="auto"/>
              <w:ind w:left="273" w:right="258"/>
              <w:jc w:val="both"/>
            </w:pPr>
            <w:r>
              <w:rPr>
                <w:spacing w:val="-4"/>
              </w:rPr>
              <w:t>Procurement</w:t>
            </w:r>
            <w:r>
              <w:rPr>
                <w:spacing w:val="-3"/>
              </w:rPr>
              <w:t xml:space="preserve"> </w:t>
            </w:r>
            <w:r>
              <w:rPr>
                <w:spacing w:val="-4"/>
              </w:rPr>
              <w:t>number</w:t>
            </w:r>
            <w:r>
              <w:rPr>
                <w:spacing w:val="-3"/>
              </w:rPr>
              <w:t xml:space="preserve"> </w:t>
            </w:r>
            <w:r>
              <w:rPr>
                <w:spacing w:val="-4"/>
              </w:rPr>
              <w:t>of</w:t>
            </w:r>
            <w:r>
              <w:t xml:space="preserve"> </w:t>
            </w:r>
            <w:r>
              <w:rPr>
                <w:spacing w:val="-4"/>
              </w:rPr>
              <w:t>contracts</w:t>
            </w:r>
            <w:r>
              <w:rPr>
                <w:spacing w:val="-2"/>
              </w:rPr>
              <w:t xml:space="preserve"> </w:t>
            </w:r>
            <w:r>
              <w:rPr>
                <w:spacing w:val="-4"/>
              </w:rPr>
              <w:t>over</w:t>
            </w:r>
            <w:r>
              <w:rPr>
                <w:spacing w:val="-3"/>
              </w:rPr>
              <w:t xml:space="preserve"> </w:t>
            </w:r>
            <w:r>
              <w:rPr>
                <w:spacing w:val="-4"/>
              </w:rPr>
              <w:t>€25,000</w:t>
            </w:r>
            <w:r>
              <w:t xml:space="preserve"> </w:t>
            </w:r>
            <w:r>
              <w:rPr>
                <w:spacing w:val="-4"/>
              </w:rPr>
              <w:t>awarded</w:t>
            </w:r>
          </w:p>
        </w:tc>
        <w:tc>
          <w:tcPr>
            <w:tcW w:w="1817" w:type="dxa"/>
          </w:tcPr>
          <w:p w14:paraId="6A14C9B0" w14:textId="368952FE" w:rsidR="009D1A76" w:rsidRDefault="009D1A76" w:rsidP="00C175BB">
            <w:pPr>
              <w:pStyle w:val="TableParagraph"/>
              <w:spacing w:before="0" w:line="276" w:lineRule="auto"/>
              <w:jc w:val="center"/>
            </w:pPr>
            <w:r>
              <w:t>124</w:t>
            </w:r>
          </w:p>
        </w:tc>
      </w:tr>
    </w:tbl>
    <w:p w14:paraId="3793E6FC" w14:textId="77777777" w:rsidR="00966A38" w:rsidRPr="004219B6" w:rsidRDefault="00966A38" w:rsidP="00023B95">
      <w:pPr>
        <w:spacing w:after="0" w:line="276" w:lineRule="auto"/>
        <w:ind w:left="0" w:firstLine="0"/>
        <w:textAlignment w:val="baseline"/>
        <w:rPr>
          <w:rFonts w:asciiTheme="minorHAnsi" w:eastAsia="Times New Roman" w:hAnsiTheme="minorHAnsi" w:cstheme="minorHAnsi"/>
          <w:color w:val="auto"/>
          <w:kern w:val="0"/>
          <w:szCs w:val="23"/>
          <w14:ligatures w14:val="none"/>
        </w:rPr>
      </w:pPr>
    </w:p>
    <w:sectPr w:rsidR="00966A38" w:rsidRPr="004219B6" w:rsidSect="003B1BF8">
      <w:headerReference w:type="even" r:id="rId10"/>
      <w:headerReference w:type="default" r:id="rId11"/>
      <w:footerReference w:type="default"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D81D2" w14:textId="77777777" w:rsidR="00556681" w:rsidRDefault="00556681" w:rsidP="00CF46AE">
      <w:pPr>
        <w:spacing w:after="0" w:line="240" w:lineRule="auto"/>
      </w:pPr>
      <w:r>
        <w:separator/>
      </w:r>
    </w:p>
  </w:endnote>
  <w:endnote w:type="continuationSeparator" w:id="0">
    <w:p w14:paraId="0F3765B9" w14:textId="77777777" w:rsidR="00556681" w:rsidRDefault="00556681" w:rsidP="00CF46AE">
      <w:pPr>
        <w:spacing w:after="0" w:line="240" w:lineRule="auto"/>
      </w:pPr>
      <w:r>
        <w:continuationSeparator/>
      </w:r>
    </w:p>
  </w:endnote>
  <w:endnote w:type="continuationNotice" w:id="1">
    <w:p w14:paraId="2B71F9CF" w14:textId="77777777" w:rsidR="00556681" w:rsidRDefault="00556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482084"/>
      <w:docPartObj>
        <w:docPartGallery w:val="Page Numbers (Bottom of Page)"/>
        <w:docPartUnique/>
      </w:docPartObj>
    </w:sdtPr>
    <w:sdtEndPr>
      <w:rPr>
        <w:color w:val="7F7F7F" w:themeColor="background1" w:themeShade="7F"/>
        <w:spacing w:val="60"/>
      </w:rPr>
    </w:sdtEndPr>
    <w:sdtContent>
      <w:p w14:paraId="2E8EADF4" w14:textId="48CB37BE" w:rsidR="00CF46AE" w:rsidRPr="00FE439B" w:rsidRDefault="007E096C" w:rsidP="00FE439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87D7" w14:textId="77777777" w:rsidR="00556681" w:rsidRDefault="00556681" w:rsidP="00CF46AE">
      <w:pPr>
        <w:spacing w:after="0" w:line="240" w:lineRule="auto"/>
      </w:pPr>
      <w:r>
        <w:separator/>
      </w:r>
    </w:p>
  </w:footnote>
  <w:footnote w:type="continuationSeparator" w:id="0">
    <w:p w14:paraId="2EACA40B" w14:textId="77777777" w:rsidR="00556681" w:rsidRDefault="00556681" w:rsidP="00CF46AE">
      <w:pPr>
        <w:spacing w:after="0" w:line="240" w:lineRule="auto"/>
      </w:pPr>
      <w:r>
        <w:continuationSeparator/>
      </w:r>
    </w:p>
  </w:footnote>
  <w:footnote w:type="continuationNotice" w:id="1">
    <w:p w14:paraId="0D16E87A" w14:textId="77777777" w:rsidR="00556681" w:rsidRDefault="005566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3BB3" w14:textId="36D47D32" w:rsidR="00CF46AE" w:rsidRDefault="00CF4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5AA9" w14:textId="10D3C521" w:rsidR="00CF46AE" w:rsidRDefault="00CF46AE" w:rsidP="00FE439B">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0D6A" w14:textId="08EE3E30" w:rsidR="00CF46AE" w:rsidRDefault="00CF46A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RHHQVQ7" int2:invalidationBookmarkName="" int2:hashCode="xzNw6FjkZFlmFD" int2:id="5e4pQOia">
      <int2:state int2:value="Rejected" int2:type="AugLoop_Text_Critique"/>
    </int2:bookmark>
    <int2:bookmark int2:bookmarkName="_Int_Ms6EexGI" int2:invalidationBookmarkName="" int2:hashCode="FAEs0bN17eBvYz" int2:id="ciD1guLe">
      <int2:state int2:value="Rejected" int2:type="AugLoop_Text_Critique"/>
    </int2:bookmark>
    <int2:bookmark int2:bookmarkName="_Int_iKMcjwRi" int2:invalidationBookmarkName="" int2:hashCode="GC8RsVuQWyJHqs" int2:id="cjNPhfJ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B20"/>
    <w:multiLevelType w:val="hybridMultilevel"/>
    <w:tmpl w:val="E7C4E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211898"/>
    <w:multiLevelType w:val="hybridMultilevel"/>
    <w:tmpl w:val="6ABAE5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0FF676"/>
    <w:multiLevelType w:val="hybridMultilevel"/>
    <w:tmpl w:val="9C8E5B4C"/>
    <w:lvl w:ilvl="0" w:tplc="C5E8E282">
      <w:start w:val="1"/>
      <w:numFmt w:val="bullet"/>
      <w:lvlText w:val=""/>
      <w:lvlJc w:val="left"/>
      <w:pPr>
        <w:ind w:left="720" w:hanging="360"/>
      </w:pPr>
      <w:rPr>
        <w:rFonts w:ascii="Symbol" w:hAnsi="Symbol" w:hint="default"/>
      </w:rPr>
    </w:lvl>
    <w:lvl w:ilvl="1" w:tplc="3D206480">
      <w:start w:val="1"/>
      <w:numFmt w:val="bullet"/>
      <w:lvlText w:val="o"/>
      <w:lvlJc w:val="left"/>
      <w:pPr>
        <w:ind w:left="1440" w:hanging="360"/>
      </w:pPr>
      <w:rPr>
        <w:rFonts w:ascii="Courier New" w:hAnsi="Courier New" w:hint="default"/>
      </w:rPr>
    </w:lvl>
    <w:lvl w:ilvl="2" w:tplc="0C4C1BAA">
      <w:start w:val="1"/>
      <w:numFmt w:val="bullet"/>
      <w:lvlText w:val=""/>
      <w:lvlJc w:val="left"/>
      <w:pPr>
        <w:ind w:left="2160" w:hanging="360"/>
      </w:pPr>
      <w:rPr>
        <w:rFonts w:ascii="Wingdings" w:hAnsi="Wingdings" w:hint="default"/>
      </w:rPr>
    </w:lvl>
    <w:lvl w:ilvl="3" w:tplc="9594F55C">
      <w:start w:val="1"/>
      <w:numFmt w:val="bullet"/>
      <w:lvlText w:val=""/>
      <w:lvlJc w:val="left"/>
      <w:pPr>
        <w:ind w:left="2880" w:hanging="360"/>
      </w:pPr>
      <w:rPr>
        <w:rFonts w:ascii="Symbol" w:hAnsi="Symbol" w:hint="default"/>
      </w:rPr>
    </w:lvl>
    <w:lvl w:ilvl="4" w:tplc="87C29D88">
      <w:start w:val="1"/>
      <w:numFmt w:val="bullet"/>
      <w:lvlText w:val="o"/>
      <w:lvlJc w:val="left"/>
      <w:pPr>
        <w:ind w:left="3600" w:hanging="360"/>
      </w:pPr>
      <w:rPr>
        <w:rFonts w:ascii="Courier New" w:hAnsi="Courier New" w:hint="default"/>
      </w:rPr>
    </w:lvl>
    <w:lvl w:ilvl="5" w:tplc="1AEEA5F6">
      <w:start w:val="1"/>
      <w:numFmt w:val="bullet"/>
      <w:lvlText w:val=""/>
      <w:lvlJc w:val="left"/>
      <w:pPr>
        <w:ind w:left="4320" w:hanging="360"/>
      </w:pPr>
      <w:rPr>
        <w:rFonts w:ascii="Wingdings" w:hAnsi="Wingdings" w:hint="default"/>
      </w:rPr>
    </w:lvl>
    <w:lvl w:ilvl="6" w:tplc="78B2DA84">
      <w:start w:val="1"/>
      <w:numFmt w:val="bullet"/>
      <w:lvlText w:val=""/>
      <w:lvlJc w:val="left"/>
      <w:pPr>
        <w:ind w:left="5040" w:hanging="360"/>
      </w:pPr>
      <w:rPr>
        <w:rFonts w:ascii="Symbol" w:hAnsi="Symbol" w:hint="default"/>
      </w:rPr>
    </w:lvl>
    <w:lvl w:ilvl="7" w:tplc="B2969DF0">
      <w:start w:val="1"/>
      <w:numFmt w:val="bullet"/>
      <w:lvlText w:val="o"/>
      <w:lvlJc w:val="left"/>
      <w:pPr>
        <w:ind w:left="5760" w:hanging="360"/>
      </w:pPr>
      <w:rPr>
        <w:rFonts w:ascii="Courier New" w:hAnsi="Courier New" w:hint="default"/>
      </w:rPr>
    </w:lvl>
    <w:lvl w:ilvl="8" w:tplc="732E14B6">
      <w:start w:val="1"/>
      <w:numFmt w:val="bullet"/>
      <w:lvlText w:val=""/>
      <w:lvlJc w:val="left"/>
      <w:pPr>
        <w:ind w:left="6480" w:hanging="360"/>
      </w:pPr>
      <w:rPr>
        <w:rFonts w:ascii="Wingdings" w:hAnsi="Wingdings" w:hint="default"/>
      </w:rPr>
    </w:lvl>
  </w:abstractNum>
  <w:abstractNum w:abstractNumId="3" w15:restartNumberingAfterBreak="0">
    <w:nsid w:val="0DC59B2C"/>
    <w:multiLevelType w:val="hybridMultilevel"/>
    <w:tmpl w:val="A83482E8"/>
    <w:lvl w:ilvl="0" w:tplc="5F7466F6">
      <w:start w:val="1"/>
      <w:numFmt w:val="bullet"/>
      <w:lvlText w:val=""/>
      <w:lvlJc w:val="left"/>
      <w:pPr>
        <w:ind w:left="720" w:hanging="360"/>
      </w:pPr>
      <w:rPr>
        <w:rFonts w:ascii="Symbol" w:hAnsi="Symbol" w:hint="default"/>
      </w:rPr>
    </w:lvl>
    <w:lvl w:ilvl="1" w:tplc="5136DCA4">
      <w:start w:val="1"/>
      <w:numFmt w:val="bullet"/>
      <w:lvlText w:val="o"/>
      <w:lvlJc w:val="left"/>
      <w:pPr>
        <w:ind w:left="1440" w:hanging="360"/>
      </w:pPr>
      <w:rPr>
        <w:rFonts w:ascii="Courier New" w:hAnsi="Courier New" w:hint="default"/>
      </w:rPr>
    </w:lvl>
    <w:lvl w:ilvl="2" w:tplc="0F3CBFF2">
      <w:start w:val="1"/>
      <w:numFmt w:val="bullet"/>
      <w:lvlText w:val=""/>
      <w:lvlJc w:val="left"/>
      <w:pPr>
        <w:ind w:left="2160" w:hanging="360"/>
      </w:pPr>
      <w:rPr>
        <w:rFonts w:ascii="Wingdings" w:hAnsi="Wingdings" w:hint="default"/>
      </w:rPr>
    </w:lvl>
    <w:lvl w:ilvl="3" w:tplc="570A902A">
      <w:start w:val="1"/>
      <w:numFmt w:val="bullet"/>
      <w:lvlText w:val=""/>
      <w:lvlJc w:val="left"/>
      <w:pPr>
        <w:ind w:left="2880" w:hanging="360"/>
      </w:pPr>
      <w:rPr>
        <w:rFonts w:ascii="Symbol" w:hAnsi="Symbol" w:hint="default"/>
      </w:rPr>
    </w:lvl>
    <w:lvl w:ilvl="4" w:tplc="1D50F966">
      <w:start w:val="1"/>
      <w:numFmt w:val="bullet"/>
      <w:lvlText w:val="o"/>
      <w:lvlJc w:val="left"/>
      <w:pPr>
        <w:ind w:left="3600" w:hanging="360"/>
      </w:pPr>
      <w:rPr>
        <w:rFonts w:ascii="Courier New" w:hAnsi="Courier New" w:hint="default"/>
      </w:rPr>
    </w:lvl>
    <w:lvl w:ilvl="5" w:tplc="3FA28B30">
      <w:start w:val="1"/>
      <w:numFmt w:val="bullet"/>
      <w:lvlText w:val=""/>
      <w:lvlJc w:val="left"/>
      <w:pPr>
        <w:ind w:left="4320" w:hanging="360"/>
      </w:pPr>
      <w:rPr>
        <w:rFonts w:ascii="Wingdings" w:hAnsi="Wingdings" w:hint="default"/>
      </w:rPr>
    </w:lvl>
    <w:lvl w:ilvl="6" w:tplc="53DCA164">
      <w:start w:val="1"/>
      <w:numFmt w:val="bullet"/>
      <w:lvlText w:val=""/>
      <w:lvlJc w:val="left"/>
      <w:pPr>
        <w:ind w:left="5040" w:hanging="360"/>
      </w:pPr>
      <w:rPr>
        <w:rFonts w:ascii="Symbol" w:hAnsi="Symbol" w:hint="default"/>
      </w:rPr>
    </w:lvl>
    <w:lvl w:ilvl="7" w:tplc="08FE4116">
      <w:start w:val="1"/>
      <w:numFmt w:val="bullet"/>
      <w:lvlText w:val="o"/>
      <w:lvlJc w:val="left"/>
      <w:pPr>
        <w:ind w:left="5760" w:hanging="360"/>
      </w:pPr>
      <w:rPr>
        <w:rFonts w:ascii="Courier New" w:hAnsi="Courier New" w:hint="default"/>
      </w:rPr>
    </w:lvl>
    <w:lvl w:ilvl="8" w:tplc="32C8784C">
      <w:start w:val="1"/>
      <w:numFmt w:val="bullet"/>
      <w:lvlText w:val=""/>
      <w:lvlJc w:val="left"/>
      <w:pPr>
        <w:ind w:left="6480" w:hanging="360"/>
      </w:pPr>
      <w:rPr>
        <w:rFonts w:ascii="Wingdings" w:hAnsi="Wingdings" w:hint="default"/>
      </w:rPr>
    </w:lvl>
  </w:abstractNum>
  <w:abstractNum w:abstractNumId="4" w15:restartNumberingAfterBreak="0">
    <w:nsid w:val="142E6F43"/>
    <w:multiLevelType w:val="hybridMultilevel"/>
    <w:tmpl w:val="404C3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9914F5"/>
    <w:multiLevelType w:val="hybridMultilevel"/>
    <w:tmpl w:val="4702A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F926FB"/>
    <w:multiLevelType w:val="hybridMultilevel"/>
    <w:tmpl w:val="372C0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34759C"/>
    <w:multiLevelType w:val="hybridMultilevel"/>
    <w:tmpl w:val="75E07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C54C27"/>
    <w:multiLevelType w:val="hybridMultilevel"/>
    <w:tmpl w:val="89FAAAE0"/>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9" w15:restartNumberingAfterBreak="0">
    <w:nsid w:val="20DB1A3D"/>
    <w:multiLevelType w:val="hybridMultilevel"/>
    <w:tmpl w:val="2D403690"/>
    <w:lvl w:ilvl="0" w:tplc="2A82475E">
      <w:numFmt w:val="bullet"/>
      <w:lvlText w:val="•"/>
      <w:lvlJc w:val="left"/>
      <w:pPr>
        <w:ind w:left="-281" w:hanging="360"/>
      </w:pPr>
      <w:rPr>
        <w:rFonts w:ascii="Calibri" w:eastAsia="Calibri" w:hAnsi="Calibri" w:cs="Calibri" w:hint="default"/>
      </w:rPr>
    </w:lvl>
    <w:lvl w:ilvl="1" w:tplc="18090003" w:tentative="1">
      <w:start w:val="1"/>
      <w:numFmt w:val="bullet"/>
      <w:lvlText w:val="o"/>
      <w:lvlJc w:val="left"/>
      <w:pPr>
        <w:ind w:left="439" w:hanging="360"/>
      </w:pPr>
      <w:rPr>
        <w:rFonts w:ascii="Courier New" w:hAnsi="Courier New" w:cs="Courier New" w:hint="default"/>
      </w:rPr>
    </w:lvl>
    <w:lvl w:ilvl="2" w:tplc="18090005" w:tentative="1">
      <w:start w:val="1"/>
      <w:numFmt w:val="bullet"/>
      <w:lvlText w:val=""/>
      <w:lvlJc w:val="left"/>
      <w:pPr>
        <w:ind w:left="1159" w:hanging="360"/>
      </w:pPr>
      <w:rPr>
        <w:rFonts w:ascii="Wingdings" w:hAnsi="Wingdings" w:hint="default"/>
      </w:rPr>
    </w:lvl>
    <w:lvl w:ilvl="3" w:tplc="18090001" w:tentative="1">
      <w:start w:val="1"/>
      <w:numFmt w:val="bullet"/>
      <w:lvlText w:val=""/>
      <w:lvlJc w:val="left"/>
      <w:pPr>
        <w:ind w:left="1879" w:hanging="360"/>
      </w:pPr>
      <w:rPr>
        <w:rFonts w:ascii="Symbol" w:hAnsi="Symbol" w:hint="default"/>
      </w:rPr>
    </w:lvl>
    <w:lvl w:ilvl="4" w:tplc="18090003" w:tentative="1">
      <w:start w:val="1"/>
      <w:numFmt w:val="bullet"/>
      <w:lvlText w:val="o"/>
      <w:lvlJc w:val="left"/>
      <w:pPr>
        <w:ind w:left="2599" w:hanging="360"/>
      </w:pPr>
      <w:rPr>
        <w:rFonts w:ascii="Courier New" w:hAnsi="Courier New" w:cs="Courier New" w:hint="default"/>
      </w:rPr>
    </w:lvl>
    <w:lvl w:ilvl="5" w:tplc="18090005" w:tentative="1">
      <w:start w:val="1"/>
      <w:numFmt w:val="bullet"/>
      <w:lvlText w:val=""/>
      <w:lvlJc w:val="left"/>
      <w:pPr>
        <w:ind w:left="3319" w:hanging="360"/>
      </w:pPr>
      <w:rPr>
        <w:rFonts w:ascii="Wingdings" w:hAnsi="Wingdings" w:hint="default"/>
      </w:rPr>
    </w:lvl>
    <w:lvl w:ilvl="6" w:tplc="18090001" w:tentative="1">
      <w:start w:val="1"/>
      <w:numFmt w:val="bullet"/>
      <w:lvlText w:val=""/>
      <w:lvlJc w:val="left"/>
      <w:pPr>
        <w:ind w:left="4039" w:hanging="360"/>
      </w:pPr>
      <w:rPr>
        <w:rFonts w:ascii="Symbol" w:hAnsi="Symbol" w:hint="default"/>
      </w:rPr>
    </w:lvl>
    <w:lvl w:ilvl="7" w:tplc="18090003" w:tentative="1">
      <w:start w:val="1"/>
      <w:numFmt w:val="bullet"/>
      <w:lvlText w:val="o"/>
      <w:lvlJc w:val="left"/>
      <w:pPr>
        <w:ind w:left="4759" w:hanging="360"/>
      </w:pPr>
      <w:rPr>
        <w:rFonts w:ascii="Courier New" w:hAnsi="Courier New" w:cs="Courier New" w:hint="default"/>
      </w:rPr>
    </w:lvl>
    <w:lvl w:ilvl="8" w:tplc="18090005" w:tentative="1">
      <w:start w:val="1"/>
      <w:numFmt w:val="bullet"/>
      <w:lvlText w:val=""/>
      <w:lvlJc w:val="left"/>
      <w:pPr>
        <w:ind w:left="5479" w:hanging="360"/>
      </w:pPr>
      <w:rPr>
        <w:rFonts w:ascii="Wingdings" w:hAnsi="Wingdings" w:hint="default"/>
      </w:rPr>
    </w:lvl>
  </w:abstractNum>
  <w:abstractNum w:abstractNumId="10" w15:restartNumberingAfterBreak="0">
    <w:nsid w:val="24C436D0"/>
    <w:multiLevelType w:val="hybridMultilevel"/>
    <w:tmpl w:val="0C209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5B0610"/>
    <w:multiLevelType w:val="hybridMultilevel"/>
    <w:tmpl w:val="A9DE32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812751A"/>
    <w:multiLevelType w:val="multilevel"/>
    <w:tmpl w:val="F55208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2CF90F07"/>
    <w:multiLevelType w:val="hybridMultilevel"/>
    <w:tmpl w:val="5C860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DA1235B"/>
    <w:multiLevelType w:val="hybridMultilevel"/>
    <w:tmpl w:val="0AE69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6FF504"/>
    <w:multiLevelType w:val="hybridMultilevel"/>
    <w:tmpl w:val="2BEC6B70"/>
    <w:lvl w:ilvl="0" w:tplc="3992EF96">
      <w:start w:val="1"/>
      <w:numFmt w:val="bullet"/>
      <w:lvlText w:val=""/>
      <w:lvlJc w:val="left"/>
      <w:pPr>
        <w:ind w:left="720" w:hanging="360"/>
      </w:pPr>
      <w:rPr>
        <w:rFonts w:ascii="Symbol" w:hAnsi="Symbol" w:hint="default"/>
      </w:rPr>
    </w:lvl>
    <w:lvl w:ilvl="1" w:tplc="DF74F7BA">
      <w:start w:val="1"/>
      <w:numFmt w:val="bullet"/>
      <w:lvlText w:val="o"/>
      <w:lvlJc w:val="left"/>
      <w:pPr>
        <w:ind w:left="1440" w:hanging="360"/>
      </w:pPr>
      <w:rPr>
        <w:rFonts w:ascii="Courier New" w:hAnsi="Courier New" w:hint="default"/>
      </w:rPr>
    </w:lvl>
    <w:lvl w:ilvl="2" w:tplc="3C74A5E8">
      <w:start w:val="1"/>
      <w:numFmt w:val="bullet"/>
      <w:lvlText w:val=""/>
      <w:lvlJc w:val="left"/>
      <w:pPr>
        <w:ind w:left="2160" w:hanging="360"/>
      </w:pPr>
      <w:rPr>
        <w:rFonts w:ascii="Wingdings" w:hAnsi="Wingdings" w:hint="default"/>
      </w:rPr>
    </w:lvl>
    <w:lvl w:ilvl="3" w:tplc="291C5F32">
      <w:start w:val="1"/>
      <w:numFmt w:val="bullet"/>
      <w:lvlText w:val=""/>
      <w:lvlJc w:val="left"/>
      <w:pPr>
        <w:ind w:left="2880" w:hanging="360"/>
      </w:pPr>
      <w:rPr>
        <w:rFonts w:ascii="Symbol" w:hAnsi="Symbol" w:hint="default"/>
      </w:rPr>
    </w:lvl>
    <w:lvl w:ilvl="4" w:tplc="70781302">
      <w:start w:val="1"/>
      <w:numFmt w:val="bullet"/>
      <w:lvlText w:val="o"/>
      <w:lvlJc w:val="left"/>
      <w:pPr>
        <w:ind w:left="3600" w:hanging="360"/>
      </w:pPr>
      <w:rPr>
        <w:rFonts w:ascii="Courier New" w:hAnsi="Courier New" w:hint="default"/>
      </w:rPr>
    </w:lvl>
    <w:lvl w:ilvl="5" w:tplc="74A0BEAA">
      <w:start w:val="1"/>
      <w:numFmt w:val="bullet"/>
      <w:lvlText w:val=""/>
      <w:lvlJc w:val="left"/>
      <w:pPr>
        <w:ind w:left="4320" w:hanging="360"/>
      </w:pPr>
      <w:rPr>
        <w:rFonts w:ascii="Wingdings" w:hAnsi="Wingdings" w:hint="default"/>
      </w:rPr>
    </w:lvl>
    <w:lvl w:ilvl="6" w:tplc="03F4E8EE">
      <w:start w:val="1"/>
      <w:numFmt w:val="bullet"/>
      <w:lvlText w:val=""/>
      <w:lvlJc w:val="left"/>
      <w:pPr>
        <w:ind w:left="5040" w:hanging="360"/>
      </w:pPr>
      <w:rPr>
        <w:rFonts w:ascii="Symbol" w:hAnsi="Symbol" w:hint="default"/>
      </w:rPr>
    </w:lvl>
    <w:lvl w:ilvl="7" w:tplc="839EC28C">
      <w:start w:val="1"/>
      <w:numFmt w:val="bullet"/>
      <w:lvlText w:val="o"/>
      <w:lvlJc w:val="left"/>
      <w:pPr>
        <w:ind w:left="5760" w:hanging="360"/>
      </w:pPr>
      <w:rPr>
        <w:rFonts w:ascii="Courier New" w:hAnsi="Courier New" w:hint="default"/>
      </w:rPr>
    </w:lvl>
    <w:lvl w:ilvl="8" w:tplc="097658A0">
      <w:start w:val="1"/>
      <w:numFmt w:val="bullet"/>
      <w:lvlText w:val=""/>
      <w:lvlJc w:val="left"/>
      <w:pPr>
        <w:ind w:left="6480" w:hanging="360"/>
      </w:pPr>
      <w:rPr>
        <w:rFonts w:ascii="Wingdings" w:hAnsi="Wingdings" w:hint="default"/>
      </w:rPr>
    </w:lvl>
  </w:abstractNum>
  <w:abstractNum w:abstractNumId="16" w15:restartNumberingAfterBreak="0">
    <w:nsid w:val="32354A23"/>
    <w:multiLevelType w:val="hybridMultilevel"/>
    <w:tmpl w:val="E23A84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30177E6"/>
    <w:multiLevelType w:val="hybridMultilevel"/>
    <w:tmpl w:val="FC586D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8F551CA"/>
    <w:multiLevelType w:val="hybridMultilevel"/>
    <w:tmpl w:val="D57C813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15:restartNumberingAfterBreak="0">
    <w:nsid w:val="39E84B65"/>
    <w:multiLevelType w:val="hybridMultilevel"/>
    <w:tmpl w:val="289EBBD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2DE6EC2"/>
    <w:multiLevelType w:val="hybridMultilevel"/>
    <w:tmpl w:val="AB58D3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2E217CC"/>
    <w:multiLevelType w:val="hybridMultilevel"/>
    <w:tmpl w:val="5540FEB8"/>
    <w:lvl w:ilvl="0" w:tplc="1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6986A6B"/>
    <w:multiLevelType w:val="hybridMultilevel"/>
    <w:tmpl w:val="CC4AAE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A323249"/>
    <w:multiLevelType w:val="hybridMultilevel"/>
    <w:tmpl w:val="68A88BEE"/>
    <w:lvl w:ilvl="0" w:tplc="18090001">
      <w:start w:val="1"/>
      <w:numFmt w:val="bullet"/>
      <w:lvlText w:val=""/>
      <w:lvlJc w:val="left"/>
      <w:pPr>
        <w:ind w:left="518" w:hanging="360"/>
      </w:pPr>
      <w:rPr>
        <w:rFonts w:ascii="Symbol" w:hAnsi="Symbol" w:hint="default"/>
      </w:rPr>
    </w:lvl>
    <w:lvl w:ilvl="1" w:tplc="18090003" w:tentative="1">
      <w:start w:val="1"/>
      <w:numFmt w:val="bullet"/>
      <w:lvlText w:val="o"/>
      <w:lvlJc w:val="left"/>
      <w:pPr>
        <w:ind w:left="1519" w:hanging="360"/>
      </w:pPr>
      <w:rPr>
        <w:rFonts w:ascii="Courier New" w:hAnsi="Courier New" w:cs="Courier New" w:hint="default"/>
      </w:rPr>
    </w:lvl>
    <w:lvl w:ilvl="2" w:tplc="18090005" w:tentative="1">
      <w:start w:val="1"/>
      <w:numFmt w:val="bullet"/>
      <w:lvlText w:val=""/>
      <w:lvlJc w:val="left"/>
      <w:pPr>
        <w:ind w:left="2239" w:hanging="360"/>
      </w:pPr>
      <w:rPr>
        <w:rFonts w:ascii="Wingdings" w:hAnsi="Wingdings" w:hint="default"/>
      </w:rPr>
    </w:lvl>
    <w:lvl w:ilvl="3" w:tplc="18090001" w:tentative="1">
      <w:start w:val="1"/>
      <w:numFmt w:val="bullet"/>
      <w:lvlText w:val=""/>
      <w:lvlJc w:val="left"/>
      <w:pPr>
        <w:ind w:left="2959" w:hanging="360"/>
      </w:pPr>
      <w:rPr>
        <w:rFonts w:ascii="Symbol" w:hAnsi="Symbol" w:hint="default"/>
      </w:rPr>
    </w:lvl>
    <w:lvl w:ilvl="4" w:tplc="18090003" w:tentative="1">
      <w:start w:val="1"/>
      <w:numFmt w:val="bullet"/>
      <w:lvlText w:val="o"/>
      <w:lvlJc w:val="left"/>
      <w:pPr>
        <w:ind w:left="3679" w:hanging="360"/>
      </w:pPr>
      <w:rPr>
        <w:rFonts w:ascii="Courier New" w:hAnsi="Courier New" w:cs="Courier New" w:hint="default"/>
      </w:rPr>
    </w:lvl>
    <w:lvl w:ilvl="5" w:tplc="18090005" w:tentative="1">
      <w:start w:val="1"/>
      <w:numFmt w:val="bullet"/>
      <w:lvlText w:val=""/>
      <w:lvlJc w:val="left"/>
      <w:pPr>
        <w:ind w:left="4399" w:hanging="360"/>
      </w:pPr>
      <w:rPr>
        <w:rFonts w:ascii="Wingdings" w:hAnsi="Wingdings" w:hint="default"/>
      </w:rPr>
    </w:lvl>
    <w:lvl w:ilvl="6" w:tplc="18090001" w:tentative="1">
      <w:start w:val="1"/>
      <w:numFmt w:val="bullet"/>
      <w:lvlText w:val=""/>
      <w:lvlJc w:val="left"/>
      <w:pPr>
        <w:ind w:left="5119" w:hanging="360"/>
      </w:pPr>
      <w:rPr>
        <w:rFonts w:ascii="Symbol" w:hAnsi="Symbol" w:hint="default"/>
      </w:rPr>
    </w:lvl>
    <w:lvl w:ilvl="7" w:tplc="18090003" w:tentative="1">
      <w:start w:val="1"/>
      <w:numFmt w:val="bullet"/>
      <w:lvlText w:val="o"/>
      <w:lvlJc w:val="left"/>
      <w:pPr>
        <w:ind w:left="5839" w:hanging="360"/>
      </w:pPr>
      <w:rPr>
        <w:rFonts w:ascii="Courier New" w:hAnsi="Courier New" w:cs="Courier New" w:hint="default"/>
      </w:rPr>
    </w:lvl>
    <w:lvl w:ilvl="8" w:tplc="18090005" w:tentative="1">
      <w:start w:val="1"/>
      <w:numFmt w:val="bullet"/>
      <w:lvlText w:val=""/>
      <w:lvlJc w:val="left"/>
      <w:pPr>
        <w:ind w:left="6559" w:hanging="360"/>
      </w:pPr>
      <w:rPr>
        <w:rFonts w:ascii="Wingdings" w:hAnsi="Wingdings" w:hint="default"/>
      </w:rPr>
    </w:lvl>
  </w:abstractNum>
  <w:abstractNum w:abstractNumId="24" w15:restartNumberingAfterBreak="0">
    <w:nsid w:val="4B511712"/>
    <w:multiLevelType w:val="hybridMultilevel"/>
    <w:tmpl w:val="78525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BE307F3"/>
    <w:multiLevelType w:val="hybridMultilevel"/>
    <w:tmpl w:val="3510F1BC"/>
    <w:lvl w:ilvl="0" w:tplc="18090001">
      <w:start w:val="1"/>
      <w:numFmt w:val="bullet"/>
      <w:lvlText w:val=""/>
      <w:lvlJc w:val="left"/>
      <w:pPr>
        <w:ind w:left="1872" w:hanging="360"/>
      </w:pPr>
      <w:rPr>
        <w:rFonts w:ascii="Symbol" w:hAnsi="Symbol" w:hint="default"/>
      </w:rPr>
    </w:lvl>
    <w:lvl w:ilvl="1" w:tplc="18090003">
      <w:start w:val="1"/>
      <w:numFmt w:val="bullet"/>
      <w:lvlText w:val="o"/>
      <w:lvlJc w:val="left"/>
      <w:pPr>
        <w:ind w:left="2592" w:hanging="360"/>
      </w:pPr>
      <w:rPr>
        <w:rFonts w:ascii="Courier New" w:hAnsi="Courier New" w:cs="Courier New" w:hint="default"/>
      </w:rPr>
    </w:lvl>
    <w:lvl w:ilvl="2" w:tplc="18090005" w:tentative="1">
      <w:start w:val="1"/>
      <w:numFmt w:val="bullet"/>
      <w:lvlText w:val=""/>
      <w:lvlJc w:val="left"/>
      <w:pPr>
        <w:ind w:left="3312" w:hanging="360"/>
      </w:pPr>
      <w:rPr>
        <w:rFonts w:ascii="Wingdings" w:hAnsi="Wingdings" w:hint="default"/>
      </w:rPr>
    </w:lvl>
    <w:lvl w:ilvl="3" w:tplc="18090001" w:tentative="1">
      <w:start w:val="1"/>
      <w:numFmt w:val="bullet"/>
      <w:lvlText w:val=""/>
      <w:lvlJc w:val="left"/>
      <w:pPr>
        <w:ind w:left="4032" w:hanging="360"/>
      </w:pPr>
      <w:rPr>
        <w:rFonts w:ascii="Symbol" w:hAnsi="Symbol" w:hint="default"/>
      </w:rPr>
    </w:lvl>
    <w:lvl w:ilvl="4" w:tplc="18090003" w:tentative="1">
      <w:start w:val="1"/>
      <w:numFmt w:val="bullet"/>
      <w:lvlText w:val="o"/>
      <w:lvlJc w:val="left"/>
      <w:pPr>
        <w:ind w:left="4752" w:hanging="360"/>
      </w:pPr>
      <w:rPr>
        <w:rFonts w:ascii="Courier New" w:hAnsi="Courier New" w:cs="Courier New" w:hint="default"/>
      </w:rPr>
    </w:lvl>
    <w:lvl w:ilvl="5" w:tplc="18090005" w:tentative="1">
      <w:start w:val="1"/>
      <w:numFmt w:val="bullet"/>
      <w:lvlText w:val=""/>
      <w:lvlJc w:val="left"/>
      <w:pPr>
        <w:ind w:left="5472" w:hanging="360"/>
      </w:pPr>
      <w:rPr>
        <w:rFonts w:ascii="Wingdings" w:hAnsi="Wingdings" w:hint="default"/>
      </w:rPr>
    </w:lvl>
    <w:lvl w:ilvl="6" w:tplc="18090001" w:tentative="1">
      <w:start w:val="1"/>
      <w:numFmt w:val="bullet"/>
      <w:lvlText w:val=""/>
      <w:lvlJc w:val="left"/>
      <w:pPr>
        <w:ind w:left="6192" w:hanging="360"/>
      </w:pPr>
      <w:rPr>
        <w:rFonts w:ascii="Symbol" w:hAnsi="Symbol" w:hint="default"/>
      </w:rPr>
    </w:lvl>
    <w:lvl w:ilvl="7" w:tplc="18090003" w:tentative="1">
      <w:start w:val="1"/>
      <w:numFmt w:val="bullet"/>
      <w:lvlText w:val="o"/>
      <w:lvlJc w:val="left"/>
      <w:pPr>
        <w:ind w:left="6912" w:hanging="360"/>
      </w:pPr>
      <w:rPr>
        <w:rFonts w:ascii="Courier New" w:hAnsi="Courier New" w:cs="Courier New" w:hint="default"/>
      </w:rPr>
    </w:lvl>
    <w:lvl w:ilvl="8" w:tplc="18090005" w:tentative="1">
      <w:start w:val="1"/>
      <w:numFmt w:val="bullet"/>
      <w:lvlText w:val=""/>
      <w:lvlJc w:val="left"/>
      <w:pPr>
        <w:ind w:left="7632" w:hanging="360"/>
      </w:pPr>
      <w:rPr>
        <w:rFonts w:ascii="Wingdings" w:hAnsi="Wingdings" w:hint="default"/>
      </w:rPr>
    </w:lvl>
  </w:abstractNum>
  <w:abstractNum w:abstractNumId="26" w15:restartNumberingAfterBreak="0">
    <w:nsid w:val="4BF07CA2"/>
    <w:multiLevelType w:val="hybridMultilevel"/>
    <w:tmpl w:val="FC803E6A"/>
    <w:lvl w:ilvl="0" w:tplc="DF822C3E">
      <w:numFmt w:val="bullet"/>
      <w:lvlText w:val=""/>
      <w:lvlJc w:val="left"/>
      <w:pPr>
        <w:ind w:left="527" w:hanging="428"/>
      </w:pPr>
      <w:rPr>
        <w:rFonts w:ascii="Symbol" w:eastAsia="Symbol" w:hAnsi="Symbol" w:cs="Symbol" w:hint="default"/>
        <w:b w:val="0"/>
        <w:bCs w:val="0"/>
        <w:i w:val="0"/>
        <w:iCs w:val="0"/>
        <w:spacing w:val="0"/>
        <w:w w:val="99"/>
        <w:sz w:val="20"/>
        <w:szCs w:val="20"/>
        <w:lang w:val="en-US" w:eastAsia="en-US" w:bidi="ar-SA"/>
      </w:rPr>
    </w:lvl>
    <w:lvl w:ilvl="1" w:tplc="CEF0866A">
      <w:numFmt w:val="bullet"/>
      <w:lvlText w:val="•"/>
      <w:lvlJc w:val="left"/>
      <w:pPr>
        <w:ind w:left="1420" w:hanging="428"/>
      </w:pPr>
      <w:rPr>
        <w:rFonts w:hint="default"/>
        <w:lang w:val="en-US" w:eastAsia="en-US" w:bidi="ar-SA"/>
      </w:rPr>
    </w:lvl>
    <w:lvl w:ilvl="2" w:tplc="2C5E75C4">
      <w:numFmt w:val="bullet"/>
      <w:lvlText w:val="•"/>
      <w:lvlJc w:val="left"/>
      <w:pPr>
        <w:ind w:left="2321" w:hanging="428"/>
      </w:pPr>
      <w:rPr>
        <w:rFonts w:hint="default"/>
        <w:lang w:val="en-US" w:eastAsia="en-US" w:bidi="ar-SA"/>
      </w:rPr>
    </w:lvl>
    <w:lvl w:ilvl="3" w:tplc="6302E26E">
      <w:numFmt w:val="bullet"/>
      <w:lvlText w:val="•"/>
      <w:lvlJc w:val="left"/>
      <w:pPr>
        <w:ind w:left="3221" w:hanging="428"/>
      </w:pPr>
      <w:rPr>
        <w:rFonts w:hint="default"/>
        <w:lang w:val="en-US" w:eastAsia="en-US" w:bidi="ar-SA"/>
      </w:rPr>
    </w:lvl>
    <w:lvl w:ilvl="4" w:tplc="4D88EE68">
      <w:numFmt w:val="bullet"/>
      <w:lvlText w:val="•"/>
      <w:lvlJc w:val="left"/>
      <w:pPr>
        <w:ind w:left="4122" w:hanging="428"/>
      </w:pPr>
      <w:rPr>
        <w:rFonts w:hint="default"/>
        <w:lang w:val="en-US" w:eastAsia="en-US" w:bidi="ar-SA"/>
      </w:rPr>
    </w:lvl>
    <w:lvl w:ilvl="5" w:tplc="A61ABF82">
      <w:numFmt w:val="bullet"/>
      <w:lvlText w:val="•"/>
      <w:lvlJc w:val="left"/>
      <w:pPr>
        <w:ind w:left="5023" w:hanging="428"/>
      </w:pPr>
      <w:rPr>
        <w:rFonts w:hint="default"/>
        <w:lang w:val="en-US" w:eastAsia="en-US" w:bidi="ar-SA"/>
      </w:rPr>
    </w:lvl>
    <w:lvl w:ilvl="6" w:tplc="998E84F0">
      <w:numFmt w:val="bullet"/>
      <w:lvlText w:val="•"/>
      <w:lvlJc w:val="left"/>
      <w:pPr>
        <w:ind w:left="5923" w:hanging="428"/>
      </w:pPr>
      <w:rPr>
        <w:rFonts w:hint="default"/>
        <w:lang w:val="en-US" w:eastAsia="en-US" w:bidi="ar-SA"/>
      </w:rPr>
    </w:lvl>
    <w:lvl w:ilvl="7" w:tplc="82AEE0A0">
      <w:numFmt w:val="bullet"/>
      <w:lvlText w:val="•"/>
      <w:lvlJc w:val="left"/>
      <w:pPr>
        <w:ind w:left="6824" w:hanging="428"/>
      </w:pPr>
      <w:rPr>
        <w:rFonts w:hint="default"/>
        <w:lang w:val="en-US" w:eastAsia="en-US" w:bidi="ar-SA"/>
      </w:rPr>
    </w:lvl>
    <w:lvl w:ilvl="8" w:tplc="0D5AB946">
      <w:numFmt w:val="bullet"/>
      <w:lvlText w:val="•"/>
      <w:lvlJc w:val="left"/>
      <w:pPr>
        <w:ind w:left="7725" w:hanging="428"/>
      </w:pPr>
      <w:rPr>
        <w:rFonts w:hint="default"/>
        <w:lang w:val="en-US" w:eastAsia="en-US" w:bidi="ar-SA"/>
      </w:rPr>
    </w:lvl>
  </w:abstractNum>
  <w:abstractNum w:abstractNumId="27" w15:restartNumberingAfterBreak="0">
    <w:nsid w:val="4E6B33E5"/>
    <w:multiLevelType w:val="multilevel"/>
    <w:tmpl w:val="F552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086F6A"/>
    <w:multiLevelType w:val="hybridMultilevel"/>
    <w:tmpl w:val="2326EF30"/>
    <w:lvl w:ilvl="0" w:tplc="18090001">
      <w:start w:val="1"/>
      <w:numFmt w:val="bullet"/>
      <w:lvlText w:val=""/>
      <w:lvlJc w:val="left"/>
      <w:pPr>
        <w:ind w:left="292" w:hanging="360"/>
      </w:pPr>
      <w:rPr>
        <w:rFonts w:ascii="Symbol" w:hAnsi="Symbol" w:hint="default"/>
      </w:rPr>
    </w:lvl>
    <w:lvl w:ilvl="1" w:tplc="18090003" w:tentative="1">
      <w:start w:val="1"/>
      <w:numFmt w:val="bullet"/>
      <w:lvlText w:val="o"/>
      <w:lvlJc w:val="left"/>
      <w:pPr>
        <w:ind w:left="1012" w:hanging="360"/>
      </w:pPr>
      <w:rPr>
        <w:rFonts w:ascii="Courier New" w:hAnsi="Courier New" w:cs="Courier New" w:hint="default"/>
      </w:rPr>
    </w:lvl>
    <w:lvl w:ilvl="2" w:tplc="18090005" w:tentative="1">
      <w:start w:val="1"/>
      <w:numFmt w:val="bullet"/>
      <w:lvlText w:val=""/>
      <w:lvlJc w:val="left"/>
      <w:pPr>
        <w:ind w:left="1732" w:hanging="360"/>
      </w:pPr>
      <w:rPr>
        <w:rFonts w:ascii="Wingdings" w:hAnsi="Wingdings" w:hint="default"/>
      </w:rPr>
    </w:lvl>
    <w:lvl w:ilvl="3" w:tplc="18090001" w:tentative="1">
      <w:start w:val="1"/>
      <w:numFmt w:val="bullet"/>
      <w:lvlText w:val=""/>
      <w:lvlJc w:val="left"/>
      <w:pPr>
        <w:ind w:left="2452" w:hanging="360"/>
      </w:pPr>
      <w:rPr>
        <w:rFonts w:ascii="Symbol" w:hAnsi="Symbol" w:hint="default"/>
      </w:rPr>
    </w:lvl>
    <w:lvl w:ilvl="4" w:tplc="18090003" w:tentative="1">
      <w:start w:val="1"/>
      <w:numFmt w:val="bullet"/>
      <w:lvlText w:val="o"/>
      <w:lvlJc w:val="left"/>
      <w:pPr>
        <w:ind w:left="3172" w:hanging="360"/>
      </w:pPr>
      <w:rPr>
        <w:rFonts w:ascii="Courier New" w:hAnsi="Courier New" w:cs="Courier New" w:hint="default"/>
      </w:rPr>
    </w:lvl>
    <w:lvl w:ilvl="5" w:tplc="18090005" w:tentative="1">
      <w:start w:val="1"/>
      <w:numFmt w:val="bullet"/>
      <w:lvlText w:val=""/>
      <w:lvlJc w:val="left"/>
      <w:pPr>
        <w:ind w:left="3892" w:hanging="360"/>
      </w:pPr>
      <w:rPr>
        <w:rFonts w:ascii="Wingdings" w:hAnsi="Wingdings" w:hint="default"/>
      </w:rPr>
    </w:lvl>
    <w:lvl w:ilvl="6" w:tplc="18090001" w:tentative="1">
      <w:start w:val="1"/>
      <w:numFmt w:val="bullet"/>
      <w:lvlText w:val=""/>
      <w:lvlJc w:val="left"/>
      <w:pPr>
        <w:ind w:left="4612" w:hanging="360"/>
      </w:pPr>
      <w:rPr>
        <w:rFonts w:ascii="Symbol" w:hAnsi="Symbol" w:hint="default"/>
      </w:rPr>
    </w:lvl>
    <w:lvl w:ilvl="7" w:tplc="18090003" w:tentative="1">
      <w:start w:val="1"/>
      <w:numFmt w:val="bullet"/>
      <w:lvlText w:val="o"/>
      <w:lvlJc w:val="left"/>
      <w:pPr>
        <w:ind w:left="5332" w:hanging="360"/>
      </w:pPr>
      <w:rPr>
        <w:rFonts w:ascii="Courier New" w:hAnsi="Courier New" w:cs="Courier New" w:hint="default"/>
      </w:rPr>
    </w:lvl>
    <w:lvl w:ilvl="8" w:tplc="18090005" w:tentative="1">
      <w:start w:val="1"/>
      <w:numFmt w:val="bullet"/>
      <w:lvlText w:val=""/>
      <w:lvlJc w:val="left"/>
      <w:pPr>
        <w:ind w:left="6052" w:hanging="360"/>
      </w:pPr>
      <w:rPr>
        <w:rFonts w:ascii="Wingdings" w:hAnsi="Wingdings" w:hint="default"/>
      </w:rPr>
    </w:lvl>
  </w:abstractNum>
  <w:abstractNum w:abstractNumId="29" w15:restartNumberingAfterBreak="0">
    <w:nsid w:val="53551B13"/>
    <w:multiLevelType w:val="hybridMultilevel"/>
    <w:tmpl w:val="D39476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7FA5FEF"/>
    <w:multiLevelType w:val="hybridMultilevel"/>
    <w:tmpl w:val="5AEA56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B7847D9"/>
    <w:multiLevelType w:val="hybridMultilevel"/>
    <w:tmpl w:val="2A660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BC73839"/>
    <w:multiLevelType w:val="hybridMultilevel"/>
    <w:tmpl w:val="626E7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CD815D0"/>
    <w:multiLevelType w:val="hybridMultilevel"/>
    <w:tmpl w:val="B23C414A"/>
    <w:lvl w:ilvl="0" w:tplc="2A82475E">
      <w:numFmt w:val="bullet"/>
      <w:lvlText w:val="•"/>
      <w:lvlJc w:val="left"/>
      <w:pPr>
        <w:ind w:left="1479" w:hanging="360"/>
      </w:pPr>
      <w:rPr>
        <w:rFonts w:ascii="Calibri" w:eastAsia="Calibri" w:hAnsi="Calibri" w:cs="Calibri" w:hint="default"/>
      </w:rPr>
    </w:lvl>
    <w:lvl w:ilvl="1" w:tplc="18090003" w:tentative="1">
      <w:start w:val="1"/>
      <w:numFmt w:val="bullet"/>
      <w:lvlText w:val="o"/>
      <w:lvlJc w:val="left"/>
      <w:pPr>
        <w:ind w:left="2199" w:hanging="360"/>
      </w:pPr>
      <w:rPr>
        <w:rFonts w:ascii="Courier New" w:hAnsi="Courier New" w:cs="Courier New" w:hint="default"/>
      </w:rPr>
    </w:lvl>
    <w:lvl w:ilvl="2" w:tplc="18090005" w:tentative="1">
      <w:start w:val="1"/>
      <w:numFmt w:val="bullet"/>
      <w:lvlText w:val=""/>
      <w:lvlJc w:val="left"/>
      <w:pPr>
        <w:ind w:left="2919" w:hanging="360"/>
      </w:pPr>
      <w:rPr>
        <w:rFonts w:ascii="Wingdings" w:hAnsi="Wingdings" w:hint="default"/>
      </w:rPr>
    </w:lvl>
    <w:lvl w:ilvl="3" w:tplc="18090001" w:tentative="1">
      <w:start w:val="1"/>
      <w:numFmt w:val="bullet"/>
      <w:lvlText w:val=""/>
      <w:lvlJc w:val="left"/>
      <w:pPr>
        <w:ind w:left="3639" w:hanging="360"/>
      </w:pPr>
      <w:rPr>
        <w:rFonts w:ascii="Symbol" w:hAnsi="Symbol" w:hint="default"/>
      </w:rPr>
    </w:lvl>
    <w:lvl w:ilvl="4" w:tplc="18090003" w:tentative="1">
      <w:start w:val="1"/>
      <w:numFmt w:val="bullet"/>
      <w:lvlText w:val="o"/>
      <w:lvlJc w:val="left"/>
      <w:pPr>
        <w:ind w:left="4359" w:hanging="360"/>
      </w:pPr>
      <w:rPr>
        <w:rFonts w:ascii="Courier New" w:hAnsi="Courier New" w:cs="Courier New" w:hint="default"/>
      </w:rPr>
    </w:lvl>
    <w:lvl w:ilvl="5" w:tplc="18090005" w:tentative="1">
      <w:start w:val="1"/>
      <w:numFmt w:val="bullet"/>
      <w:lvlText w:val=""/>
      <w:lvlJc w:val="left"/>
      <w:pPr>
        <w:ind w:left="5079" w:hanging="360"/>
      </w:pPr>
      <w:rPr>
        <w:rFonts w:ascii="Wingdings" w:hAnsi="Wingdings" w:hint="default"/>
      </w:rPr>
    </w:lvl>
    <w:lvl w:ilvl="6" w:tplc="18090001" w:tentative="1">
      <w:start w:val="1"/>
      <w:numFmt w:val="bullet"/>
      <w:lvlText w:val=""/>
      <w:lvlJc w:val="left"/>
      <w:pPr>
        <w:ind w:left="5799" w:hanging="360"/>
      </w:pPr>
      <w:rPr>
        <w:rFonts w:ascii="Symbol" w:hAnsi="Symbol" w:hint="default"/>
      </w:rPr>
    </w:lvl>
    <w:lvl w:ilvl="7" w:tplc="18090003" w:tentative="1">
      <w:start w:val="1"/>
      <w:numFmt w:val="bullet"/>
      <w:lvlText w:val="o"/>
      <w:lvlJc w:val="left"/>
      <w:pPr>
        <w:ind w:left="6519" w:hanging="360"/>
      </w:pPr>
      <w:rPr>
        <w:rFonts w:ascii="Courier New" w:hAnsi="Courier New" w:cs="Courier New" w:hint="default"/>
      </w:rPr>
    </w:lvl>
    <w:lvl w:ilvl="8" w:tplc="18090005" w:tentative="1">
      <w:start w:val="1"/>
      <w:numFmt w:val="bullet"/>
      <w:lvlText w:val=""/>
      <w:lvlJc w:val="left"/>
      <w:pPr>
        <w:ind w:left="7239" w:hanging="360"/>
      </w:pPr>
      <w:rPr>
        <w:rFonts w:ascii="Wingdings" w:hAnsi="Wingdings" w:hint="default"/>
      </w:rPr>
    </w:lvl>
  </w:abstractNum>
  <w:abstractNum w:abstractNumId="34" w15:restartNumberingAfterBreak="0">
    <w:nsid w:val="5CE1DA16"/>
    <w:multiLevelType w:val="hybridMultilevel"/>
    <w:tmpl w:val="11DA2F6C"/>
    <w:lvl w:ilvl="0" w:tplc="BBDC733A">
      <w:start w:val="1"/>
      <w:numFmt w:val="bullet"/>
      <w:lvlText w:val=""/>
      <w:lvlJc w:val="left"/>
      <w:pPr>
        <w:ind w:left="720" w:hanging="360"/>
      </w:pPr>
      <w:rPr>
        <w:rFonts w:ascii="Symbol" w:hAnsi="Symbol" w:hint="default"/>
      </w:rPr>
    </w:lvl>
    <w:lvl w:ilvl="1" w:tplc="E952A376">
      <w:start w:val="1"/>
      <w:numFmt w:val="bullet"/>
      <w:lvlText w:val="o"/>
      <w:lvlJc w:val="left"/>
      <w:pPr>
        <w:ind w:left="1440" w:hanging="360"/>
      </w:pPr>
      <w:rPr>
        <w:rFonts w:ascii="Courier New" w:hAnsi="Courier New" w:hint="default"/>
      </w:rPr>
    </w:lvl>
    <w:lvl w:ilvl="2" w:tplc="5F7A4DB4">
      <w:start w:val="1"/>
      <w:numFmt w:val="bullet"/>
      <w:lvlText w:val=""/>
      <w:lvlJc w:val="left"/>
      <w:pPr>
        <w:ind w:left="2160" w:hanging="360"/>
      </w:pPr>
      <w:rPr>
        <w:rFonts w:ascii="Wingdings" w:hAnsi="Wingdings" w:hint="default"/>
      </w:rPr>
    </w:lvl>
    <w:lvl w:ilvl="3" w:tplc="6780F248">
      <w:start w:val="1"/>
      <w:numFmt w:val="bullet"/>
      <w:lvlText w:val=""/>
      <w:lvlJc w:val="left"/>
      <w:pPr>
        <w:ind w:left="2880" w:hanging="360"/>
      </w:pPr>
      <w:rPr>
        <w:rFonts w:ascii="Symbol" w:hAnsi="Symbol" w:hint="default"/>
      </w:rPr>
    </w:lvl>
    <w:lvl w:ilvl="4" w:tplc="6B2CDE88">
      <w:start w:val="1"/>
      <w:numFmt w:val="bullet"/>
      <w:lvlText w:val="o"/>
      <w:lvlJc w:val="left"/>
      <w:pPr>
        <w:ind w:left="3600" w:hanging="360"/>
      </w:pPr>
      <w:rPr>
        <w:rFonts w:ascii="Courier New" w:hAnsi="Courier New" w:hint="default"/>
      </w:rPr>
    </w:lvl>
    <w:lvl w:ilvl="5" w:tplc="B868059A">
      <w:start w:val="1"/>
      <w:numFmt w:val="bullet"/>
      <w:lvlText w:val=""/>
      <w:lvlJc w:val="left"/>
      <w:pPr>
        <w:ind w:left="4320" w:hanging="360"/>
      </w:pPr>
      <w:rPr>
        <w:rFonts w:ascii="Wingdings" w:hAnsi="Wingdings" w:hint="default"/>
      </w:rPr>
    </w:lvl>
    <w:lvl w:ilvl="6" w:tplc="4D7862A2">
      <w:start w:val="1"/>
      <w:numFmt w:val="bullet"/>
      <w:lvlText w:val=""/>
      <w:lvlJc w:val="left"/>
      <w:pPr>
        <w:ind w:left="5040" w:hanging="360"/>
      </w:pPr>
      <w:rPr>
        <w:rFonts w:ascii="Symbol" w:hAnsi="Symbol" w:hint="default"/>
      </w:rPr>
    </w:lvl>
    <w:lvl w:ilvl="7" w:tplc="36140366">
      <w:start w:val="1"/>
      <w:numFmt w:val="bullet"/>
      <w:lvlText w:val="o"/>
      <w:lvlJc w:val="left"/>
      <w:pPr>
        <w:ind w:left="5760" w:hanging="360"/>
      </w:pPr>
      <w:rPr>
        <w:rFonts w:ascii="Courier New" w:hAnsi="Courier New" w:hint="default"/>
      </w:rPr>
    </w:lvl>
    <w:lvl w:ilvl="8" w:tplc="A2F662E2">
      <w:start w:val="1"/>
      <w:numFmt w:val="bullet"/>
      <w:lvlText w:val=""/>
      <w:lvlJc w:val="left"/>
      <w:pPr>
        <w:ind w:left="6480" w:hanging="360"/>
      </w:pPr>
      <w:rPr>
        <w:rFonts w:ascii="Wingdings" w:hAnsi="Wingdings" w:hint="default"/>
      </w:rPr>
    </w:lvl>
  </w:abstractNum>
  <w:abstractNum w:abstractNumId="35" w15:restartNumberingAfterBreak="0">
    <w:nsid w:val="62F465A0"/>
    <w:multiLevelType w:val="hybridMultilevel"/>
    <w:tmpl w:val="E1A65476"/>
    <w:lvl w:ilvl="0" w:tplc="18090001">
      <w:start w:val="1"/>
      <w:numFmt w:val="bullet"/>
      <w:lvlText w:val=""/>
      <w:lvlJc w:val="left"/>
      <w:pPr>
        <w:ind w:left="1584" w:hanging="360"/>
      </w:pPr>
      <w:rPr>
        <w:rFonts w:ascii="Symbol" w:hAnsi="Symbol" w:hint="default"/>
      </w:rPr>
    </w:lvl>
    <w:lvl w:ilvl="1" w:tplc="18090003" w:tentative="1">
      <w:start w:val="1"/>
      <w:numFmt w:val="bullet"/>
      <w:lvlText w:val="o"/>
      <w:lvlJc w:val="left"/>
      <w:pPr>
        <w:ind w:left="2304" w:hanging="360"/>
      </w:pPr>
      <w:rPr>
        <w:rFonts w:ascii="Courier New" w:hAnsi="Courier New" w:cs="Courier New" w:hint="default"/>
      </w:rPr>
    </w:lvl>
    <w:lvl w:ilvl="2" w:tplc="18090005" w:tentative="1">
      <w:start w:val="1"/>
      <w:numFmt w:val="bullet"/>
      <w:lvlText w:val=""/>
      <w:lvlJc w:val="left"/>
      <w:pPr>
        <w:ind w:left="3024" w:hanging="360"/>
      </w:pPr>
      <w:rPr>
        <w:rFonts w:ascii="Wingdings" w:hAnsi="Wingdings" w:hint="default"/>
      </w:rPr>
    </w:lvl>
    <w:lvl w:ilvl="3" w:tplc="18090001" w:tentative="1">
      <w:start w:val="1"/>
      <w:numFmt w:val="bullet"/>
      <w:lvlText w:val=""/>
      <w:lvlJc w:val="left"/>
      <w:pPr>
        <w:ind w:left="3744" w:hanging="360"/>
      </w:pPr>
      <w:rPr>
        <w:rFonts w:ascii="Symbol" w:hAnsi="Symbol" w:hint="default"/>
      </w:rPr>
    </w:lvl>
    <w:lvl w:ilvl="4" w:tplc="18090003" w:tentative="1">
      <w:start w:val="1"/>
      <w:numFmt w:val="bullet"/>
      <w:lvlText w:val="o"/>
      <w:lvlJc w:val="left"/>
      <w:pPr>
        <w:ind w:left="4464" w:hanging="360"/>
      </w:pPr>
      <w:rPr>
        <w:rFonts w:ascii="Courier New" w:hAnsi="Courier New" w:cs="Courier New" w:hint="default"/>
      </w:rPr>
    </w:lvl>
    <w:lvl w:ilvl="5" w:tplc="18090005" w:tentative="1">
      <w:start w:val="1"/>
      <w:numFmt w:val="bullet"/>
      <w:lvlText w:val=""/>
      <w:lvlJc w:val="left"/>
      <w:pPr>
        <w:ind w:left="5184" w:hanging="360"/>
      </w:pPr>
      <w:rPr>
        <w:rFonts w:ascii="Wingdings" w:hAnsi="Wingdings" w:hint="default"/>
      </w:rPr>
    </w:lvl>
    <w:lvl w:ilvl="6" w:tplc="18090001" w:tentative="1">
      <w:start w:val="1"/>
      <w:numFmt w:val="bullet"/>
      <w:lvlText w:val=""/>
      <w:lvlJc w:val="left"/>
      <w:pPr>
        <w:ind w:left="5904" w:hanging="360"/>
      </w:pPr>
      <w:rPr>
        <w:rFonts w:ascii="Symbol" w:hAnsi="Symbol" w:hint="default"/>
      </w:rPr>
    </w:lvl>
    <w:lvl w:ilvl="7" w:tplc="18090003" w:tentative="1">
      <w:start w:val="1"/>
      <w:numFmt w:val="bullet"/>
      <w:lvlText w:val="o"/>
      <w:lvlJc w:val="left"/>
      <w:pPr>
        <w:ind w:left="6624" w:hanging="360"/>
      </w:pPr>
      <w:rPr>
        <w:rFonts w:ascii="Courier New" w:hAnsi="Courier New" w:cs="Courier New" w:hint="default"/>
      </w:rPr>
    </w:lvl>
    <w:lvl w:ilvl="8" w:tplc="18090005" w:tentative="1">
      <w:start w:val="1"/>
      <w:numFmt w:val="bullet"/>
      <w:lvlText w:val=""/>
      <w:lvlJc w:val="left"/>
      <w:pPr>
        <w:ind w:left="7344" w:hanging="360"/>
      </w:pPr>
      <w:rPr>
        <w:rFonts w:ascii="Wingdings" w:hAnsi="Wingdings" w:hint="default"/>
      </w:rPr>
    </w:lvl>
  </w:abstractNum>
  <w:abstractNum w:abstractNumId="36" w15:restartNumberingAfterBreak="0">
    <w:nsid w:val="683A52EB"/>
    <w:multiLevelType w:val="hybridMultilevel"/>
    <w:tmpl w:val="B23AE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9E11F71"/>
    <w:multiLevelType w:val="hybridMultilevel"/>
    <w:tmpl w:val="DF741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FE918B1"/>
    <w:multiLevelType w:val="hybridMultilevel"/>
    <w:tmpl w:val="CB040824"/>
    <w:lvl w:ilvl="0" w:tplc="DF822C3E">
      <w:numFmt w:val="bullet"/>
      <w:lvlText w:val=""/>
      <w:lvlJc w:val="left"/>
      <w:pPr>
        <w:ind w:left="527" w:hanging="428"/>
      </w:pPr>
      <w:rPr>
        <w:rFonts w:ascii="Symbol" w:eastAsia="Symbol" w:hAnsi="Symbol" w:cs="Symbol"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F131BF"/>
    <w:multiLevelType w:val="hybridMultilevel"/>
    <w:tmpl w:val="469EAA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204439946">
    <w:abstractNumId w:val="11"/>
  </w:num>
  <w:num w:numId="2" w16cid:durableId="1941329959">
    <w:abstractNumId w:val="9"/>
  </w:num>
  <w:num w:numId="3" w16cid:durableId="2024167578">
    <w:abstractNumId w:val="23"/>
  </w:num>
  <w:num w:numId="4" w16cid:durableId="306282326">
    <w:abstractNumId w:val="33"/>
  </w:num>
  <w:num w:numId="5" w16cid:durableId="937368885">
    <w:abstractNumId w:val="8"/>
  </w:num>
  <w:num w:numId="6" w16cid:durableId="1901360556">
    <w:abstractNumId w:val="6"/>
  </w:num>
  <w:num w:numId="7" w16cid:durableId="79641716">
    <w:abstractNumId w:val="35"/>
  </w:num>
  <w:num w:numId="8" w16cid:durableId="236863997">
    <w:abstractNumId w:val="25"/>
  </w:num>
  <w:num w:numId="9" w16cid:durableId="952905241">
    <w:abstractNumId w:val="17"/>
  </w:num>
  <w:num w:numId="10" w16cid:durableId="978606861">
    <w:abstractNumId w:val="18"/>
  </w:num>
  <w:num w:numId="11" w16cid:durableId="301737047">
    <w:abstractNumId w:val="37"/>
  </w:num>
  <w:num w:numId="12" w16cid:durableId="382952586">
    <w:abstractNumId w:val="24"/>
  </w:num>
  <w:num w:numId="13" w16cid:durableId="406346519">
    <w:abstractNumId w:val="13"/>
  </w:num>
  <w:num w:numId="14" w16cid:durableId="1843930087">
    <w:abstractNumId w:val="5"/>
  </w:num>
  <w:num w:numId="15" w16cid:durableId="1162625235">
    <w:abstractNumId w:val="7"/>
  </w:num>
  <w:num w:numId="16" w16cid:durableId="82536769">
    <w:abstractNumId w:val="20"/>
  </w:num>
  <w:num w:numId="17" w16cid:durableId="1371035242">
    <w:abstractNumId w:val="39"/>
  </w:num>
  <w:num w:numId="18" w16cid:durableId="535121988">
    <w:abstractNumId w:val="1"/>
  </w:num>
  <w:num w:numId="19" w16cid:durableId="622617539">
    <w:abstractNumId w:val="2"/>
  </w:num>
  <w:num w:numId="20" w16cid:durableId="2078700863">
    <w:abstractNumId w:val="15"/>
  </w:num>
  <w:num w:numId="21" w16cid:durableId="221255859">
    <w:abstractNumId w:val="3"/>
  </w:num>
  <w:num w:numId="22" w16cid:durableId="823358593">
    <w:abstractNumId w:val="34"/>
  </w:num>
  <w:num w:numId="23" w16cid:durableId="762991310">
    <w:abstractNumId w:val="26"/>
  </w:num>
  <w:num w:numId="24" w16cid:durableId="930042717">
    <w:abstractNumId w:val="38"/>
  </w:num>
  <w:num w:numId="25" w16cid:durableId="1460566172">
    <w:abstractNumId w:val="22"/>
  </w:num>
  <w:num w:numId="26" w16cid:durableId="711075317">
    <w:abstractNumId w:val="31"/>
  </w:num>
  <w:num w:numId="27" w16cid:durableId="742219570">
    <w:abstractNumId w:val="28"/>
  </w:num>
  <w:num w:numId="28" w16cid:durableId="312953194">
    <w:abstractNumId w:val="10"/>
  </w:num>
  <w:num w:numId="29" w16cid:durableId="1592622152">
    <w:abstractNumId w:val="12"/>
  </w:num>
  <w:num w:numId="30" w16cid:durableId="1247110369">
    <w:abstractNumId w:val="27"/>
  </w:num>
  <w:num w:numId="31" w16cid:durableId="378167363">
    <w:abstractNumId w:val="21"/>
  </w:num>
  <w:num w:numId="32" w16cid:durableId="1014964061">
    <w:abstractNumId w:val="30"/>
  </w:num>
  <w:num w:numId="33" w16cid:durableId="1331757728">
    <w:abstractNumId w:val="29"/>
  </w:num>
  <w:num w:numId="34" w16cid:durableId="1898516838">
    <w:abstractNumId w:val="19"/>
  </w:num>
  <w:num w:numId="35" w16cid:durableId="933634721">
    <w:abstractNumId w:val="16"/>
  </w:num>
  <w:num w:numId="36" w16cid:durableId="782109852">
    <w:abstractNumId w:val="36"/>
  </w:num>
  <w:num w:numId="37" w16cid:durableId="786851346">
    <w:abstractNumId w:val="4"/>
  </w:num>
  <w:num w:numId="38" w16cid:durableId="1616525386">
    <w:abstractNumId w:val="14"/>
  </w:num>
  <w:num w:numId="39" w16cid:durableId="1833329188">
    <w:abstractNumId w:val="32"/>
  </w:num>
  <w:num w:numId="40" w16cid:durableId="111070640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5E"/>
    <w:rsid w:val="00000769"/>
    <w:rsid w:val="00005588"/>
    <w:rsid w:val="000058E6"/>
    <w:rsid w:val="00011BBC"/>
    <w:rsid w:val="0001297C"/>
    <w:rsid w:val="00012D8C"/>
    <w:rsid w:val="00013B6E"/>
    <w:rsid w:val="00013F37"/>
    <w:rsid w:val="00014153"/>
    <w:rsid w:val="000146C3"/>
    <w:rsid w:val="00014799"/>
    <w:rsid w:val="00014DF5"/>
    <w:rsid w:val="0001549A"/>
    <w:rsid w:val="00016F43"/>
    <w:rsid w:val="000173C5"/>
    <w:rsid w:val="000200F2"/>
    <w:rsid w:val="00020310"/>
    <w:rsid w:val="0002057E"/>
    <w:rsid w:val="00021A47"/>
    <w:rsid w:val="00023B95"/>
    <w:rsid w:val="0003196B"/>
    <w:rsid w:val="00031AE6"/>
    <w:rsid w:val="0003315D"/>
    <w:rsid w:val="00033A90"/>
    <w:rsid w:val="00035263"/>
    <w:rsid w:val="00037A72"/>
    <w:rsid w:val="0004064D"/>
    <w:rsid w:val="00042230"/>
    <w:rsid w:val="0004238E"/>
    <w:rsid w:val="0004371B"/>
    <w:rsid w:val="00044730"/>
    <w:rsid w:val="00046A14"/>
    <w:rsid w:val="000475EB"/>
    <w:rsid w:val="00047CC7"/>
    <w:rsid w:val="000513D8"/>
    <w:rsid w:val="000519EA"/>
    <w:rsid w:val="000543C5"/>
    <w:rsid w:val="000549E4"/>
    <w:rsid w:val="00055E3F"/>
    <w:rsid w:val="00056FB1"/>
    <w:rsid w:val="00057851"/>
    <w:rsid w:val="00064A63"/>
    <w:rsid w:val="00065417"/>
    <w:rsid w:val="0006775E"/>
    <w:rsid w:val="00067F4E"/>
    <w:rsid w:val="000705F6"/>
    <w:rsid w:val="00070A59"/>
    <w:rsid w:val="000719C5"/>
    <w:rsid w:val="0007236C"/>
    <w:rsid w:val="000755EF"/>
    <w:rsid w:val="00075EA6"/>
    <w:rsid w:val="00076415"/>
    <w:rsid w:val="00077099"/>
    <w:rsid w:val="000775EA"/>
    <w:rsid w:val="00081A23"/>
    <w:rsid w:val="0008410D"/>
    <w:rsid w:val="00086556"/>
    <w:rsid w:val="000879E6"/>
    <w:rsid w:val="00087E68"/>
    <w:rsid w:val="00090E00"/>
    <w:rsid w:val="00090F06"/>
    <w:rsid w:val="00094628"/>
    <w:rsid w:val="00097892"/>
    <w:rsid w:val="00097F47"/>
    <w:rsid w:val="000A01AC"/>
    <w:rsid w:val="000A0865"/>
    <w:rsid w:val="000A0D44"/>
    <w:rsid w:val="000A10C1"/>
    <w:rsid w:val="000A125C"/>
    <w:rsid w:val="000A1DA5"/>
    <w:rsid w:val="000A3BD0"/>
    <w:rsid w:val="000A3FE1"/>
    <w:rsid w:val="000B1E2D"/>
    <w:rsid w:val="000B36B1"/>
    <w:rsid w:val="000B4726"/>
    <w:rsid w:val="000B7341"/>
    <w:rsid w:val="000C0A66"/>
    <w:rsid w:val="000C0B92"/>
    <w:rsid w:val="000C2287"/>
    <w:rsid w:val="000C2819"/>
    <w:rsid w:val="000C44EA"/>
    <w:rsid w:val="000C4BC6"/>
    <w:rsid w:val="000C5AAB"/>
    <w:rsid w:val="000C5B2C"/>
    <w:rsid w:val="000C6B6B"/>
    <w:rsid w:val="000C7616"/>
    <w:rsid w:val="000C7950"/>
    <w:rsid w:val="000D1E7B"/>
    <w:rsid w:val="000D5318"/>
    <w:rsid w:val="000D6955"/>
    <w:rsid w:val="000D6A26"/>
    <w:rsid w:val="000D6D09"/>
    <w:rsid w:val="000D6F5B"/>
    <w:rsid w:val="000D752A"/>
    <w:rsid w:val="000E1F38"/>
    <w:rsid w:val="000E2527"/>
    <w:rsid w:val="000E33C0"/>
    <w:rsid w:val="000E36AF"/>
    <w:rsid w:val="000E7D97"/>
    <w:rsid w:val="000F0121"/>
    <w:rsid w:val="000F0494"/>
    <w:rsid w:val="000F0EBB"/>
    <w:rsid w:val="000F1B85"/>
    <w:rsid w:val="000F5A68"/>
    <w:rsid w:val="000F7ECA"/>
    <w:rsid w:val="0010032F"/>
    <w:rsid w:val="001015DF"/>
    <w:rsid w:val="00103030"/>
    <w:rsid w:val="00105D35"/>
    <w:rsid w:val="00107585"/>
    <w:rsid w:val="00107E95"/>
    <w:rsid w:val="00107FC9"/>
    <w:rsid w:val="00112F4C"/>
    <w:rsid w:val="001154FE"/>
    <w:rsid w:val="001157AE"/>
    <w:rsid w:val="0011642E"/>
    <w:rsid w:val="00120B8E"/>
    <w:rsid w:val="00122778"/>
    <w:rsid w:val="00124279"/>
    <w:rsid w:val="00125236"/>
    <w:rsid w:val="00126E05"/>
    <w:rsid w:val="001309E8"/>
    <w:rsid w:val="001313E7"/>
    <w:rsid w:val="001318F0"/>
    <w:rsid w:val="00135240"/>
    <w:rsid w:val="001364C7"/>
    <w:rsid w:val="0014102B"/>
    <w:rsid w:val="00141FA3"/>
    <w:rsid w:val="00142698"/>
    <w:rsid w:val="00144C22"/>
    <w:rsid w:val="00150694"/>
    <w:rsid w:val="00151965"/>
    <w:rsid w:val="00154CB1"/>
    <w:rsid w:val="0015511C"/>
    <w:rsid w:val="00155197"/>
    <w:rsid w:val="00156C5E"/>
    <w:rsid w:val="001600A7"/>
    <w:rsid w:val="00161793"/>
    <w:rsid w:val="00161E9D"/>
    <w:rsid w:val="00161FC8"/>
    <w:rsid w:val="00162845"/>
    <w:rsid w:val="00163924"/>
    <w:rsid w:val="00163E25"/>
    <w:rsid w:val="00167190"/>
    <w:rsid w:val="00174802"/>
    <w:rsid w:val="0017492D"/>
    <w:rsid w:val="001750E2"/>
    <w:rsid w:val="00176122"/>
    <w:rsid w:val="00177764"/>
    <w:rsid w:val="00180B26"/>
    <w:rsid w:val="00183406"/>
    <w:rsid w:val="00183AEF"/>
    <w:rsid w:val="00184F39"/>
    <w:rsid w:val="00185951"/>
    <w:rsid w:val="001861A0"/>
    <w:rsid w:val="00190965"/>
    <w:rsid w:val="00190CB8"/>
    <w:rsid w:val="00192257"/>
    <w:rsid w:val="00192BE0"/>
    <w:rsid w:val="0019354D"/>
    <w:rsid w:val="001A160E"/>
    <w:rsid w:val="001A3682"/>
    <w:rsid w:val="001A70AE"/>
    <w:rsid w:val="001B1498"/>
    <w:rsid w:val="001B5156"/>
    <w:rsid w:val="001B5235"/>
    <w:rsid w:val="001B7E0B"/>
    <w:rsid w:val="001C1057"/>
    <w:rsid w:val="001C1298"/>
    <w:rsid w:val="001C191F"/>
    <w:rsid w:val="001C26C6"/>
    <w:rsid w:val="001C41C4"/>
    <w:rsid w:val="001D0B6E"/>
    <w:rsid w:val="001D17DB"/>
    <w:rsid w:val="001D1B4B"/>
    <w:rsid w:val="001D3149"/>
    <w:rsid w:val="001D3EF9"/>
    <w:rsid w:val="001D5749"/>
    <w:rsid w:val="001D608D"/>
    <w:rsid w:val="001D78F9"/>
    <w:rsid w:val="001E0C5D"/>
    <w:rsid w:val="001E29C2"/>
    <w:rsid w:val="001E354D"/>
    <w:rsid w:val="001E3D82"/>
    <w:rsid w:val="001E486C"/>
    <w:rsid w:val="001E6284"/>
    <w:rsid w:val="001E659C"/>
    <w:rsid w:val="001E6C91"/>
    <w:rsid w:val="001F370E"/>
    <w:rsid w:val="001F5A83"/>
    <w:rsid w:val="001F679F"/>
    <w:rsid w:val="001F6D48"/>
    <w:rsid w:val="001F706A"/>
    <w:rsid w:val="002012E8"/>
    <w:rsid w:val="002022C3"/>
    <w:rsid w:val="0020282D"/>
    <w:rsid w:val="00203AFE"/>
    <w:rsid w:val="00204FC5"/>
    <w:rsid w:val="00205F32"/>
    <w:rsid w:val="0020638C"/>
    <w:rsid w:val="00206E78"/>
    <w:rsid w:val="002070C0"/>
    <w:rsid w:val="002078E6"/>
    <w:rsid w:val="002101EA"/>
    <w:rsid w:val="00210821"/>
    <w:rsid w:val="00212D9E"/>
    <w:rsid w:val="002131C7"/>
    <w:rsid w:val="00213831"/>
    <w:rsid w:val="00214A00"/>
    <w:rsid w:val="0022147E"/>
    <w:rsid w:val="00221BA8"/>
    <w:rsid w:val="00222517"/>
    <w:rsid w:val="00222A02"/>
    <w:rsid w:val="00224557"/>
    <w:rsid w:val="002255BD"/>
    <w:rsid w:val="00226A85"/>
    <w:rsid w:val="00232BF7"/>
    <w:rsid w:val="00233E0D"/>
    <w:rsid w:val="00236BE9"/>
    <w:rsid w:val="00237B94"/>
    <w:rsid w:val="00241DDC"/>
    <w:rsid w:val="002424DD"/>
    <w:rsid w:val="00242B01"/>
    <w:rsid w:val="00246FEA"/>
    <w:rsid w:val="00247A7B"/>
    <w:rsid w:val="00247B6C"/>
    <w:rsid w:val="00247B79"/>
    <w:rsid w:val="00247D4B"/>
    <w:rsid w:val="002508A2"/>
    <w:rsid w:val="00252499"/>
    <w:rsid w:val="00252C8C"/>
    <w:rsid w:val="00253951"/>
    <w:rsid w:val="00253D06"/>
    <w:rsid w:val="002552EA"/>
    <w:rsid w:val="00255E75"/>
    <w:rsid w:val="00256DA3"/>
    <w:rsid w:val="00256E22"/>
    <w:rsid w:val="0025752E"/>
    <w:rsid w:val="0025788D"/>
    <w:rsid w:val="002601CC"/>
    <w:rsid w:val="00264195"/>
    <w:rsid w:val="00266DF6"/>
    <w:rsid w:val="00267687"/>
    <w:rsid w:val="002678E0"/>
    <w:rsid w:val="00270ADE"/>
    <w:rsid w:val="0027164B"/>
    <w:rsid w:val="002717F4"/>
    <w:rsid w:val="00273441"/>
    <w:rsid w:val="002736B0"/>
    <w:rsid w:val="00274C58"/>
    <w:rsid w:val="00274E35"/>
    <w:rsid w:val="00275569"/>
    <w:rsid w:val="0027644E"/>
    <w:rsid w:val="00276998"/>
    <w:rsid w:val="002769AC"/>
    <w:rsid w:val="002800DC"/>
    <w:rsid w:val="00281CE3"/>
    <w:rsid w:val="002836F2"/>
    <w:rsid w:val="00284B2C"/>
    <w:rsid w:val="00285577"/>
    <w:rsid w:val="002878C6"/>
    <w:rsid w:val="002913F7"/>
    <w:rsid w:val="0029182E"/>
    <w:rsid w:val="002948F3"/>
    <w:rsid w:val="002950B5"/>
    <w:rsid w:val="002A0518"/>
    <w:rsid w:val="002A0F88"/>
    <w:rsid w:val="002A3CE4"/>
    <w:rsid w:val="002B0321"/>
    <w:rsid w:val="002B0700"/>
    <w:rsid w:val="002B0A62"/>
    <w:rsid w:val="002B141D"/>
    <w:rsid w:val="002B547D"/>
    <w:rsid w:val="002B6CD9"/>
    <w:rsid w:val="002C1B6C"/>
    <w:rsid w:val="002C54F8"/>
    <w:rsid w:val="002C5B2A"/>
    <w:rsid w:val="002C5F4D"/>
    <w:rsid w:val="002D53C1"/>
    <w:rsid w:val="002D6A1F"/>
    <w:rsid w:val="002D70BE"/>
    <w:rsid w:val="002D719E"/>
    <w:rsid w:val="002D730E"/>
    <w:rsid w:val="002E05AD"/>
    <w:rsid w:val="002E090C"/>
    <w:rsid w:val="002E0C4C"/>
    <w:rsid w:val="002E13D6"/>
    <w:rsid w:val="002E45D6"/>
    <w:rsid w:val="002E4D10"/>
    <w:rsid w:val="002E54CC"/>
    <w:rsid w:val="002F09DA"/>
    <w:rsid w:val="002F2F73"/>
    <w:rsid w:val="002F39CA"/>
    <w:rsid w:val="002F5D5A"/>
    <w:rsid w:val="002F713E"/>
    <w:rsid w:val="0030058D"/>
    <w:rsid w:val="003007F1"/>
    <w:rsid w:val="003019B1"/>
    <w:rsid w:val="0030301A"/>
    <w:rsid w:val="0030464E"/>
    <w:rsid w:val="00305A8B"/>
    <w:rsid w:val="00306010"/>
    <w:rsid w:val="003068A4"/>
    <w:rsid w:val="00311BFB"/>
    <w:rsid w:val="003124A6"/>
    <w:rsid w:val="00313456"/>
    <w:rsid w:val="00314734"/>
    <w:rsid w:val="0031700F"/>
    <w:rsid w:val="00317CFE"/>
    <w:rsid w:val="00322928"/>
    <w:rsid w:val="003233A1"/>
    <w:rsid w:val="00323995"/>
    <w:rsid w:val="0032678F"/>
    <w:rsid w:val="00326FF5"/>
    <w:rsid w:val="0033098F"/>
    <w:rsid w:val="00332641"/>
    <w:rsid w:val="00332FD2"/>
    <w:rsid w:val="003333D4"/>
    <w:rsid w:val="00335D52"/>
    <w:rsid w:val="00347FC0"/>
    <w:rsid w:val="0035074D"/>
    <w:rsid w:val="003512A7"/>
    <w:rsid w:val="00353B4A"/>
    <w:rsid w:val="00353F2F"/>
    <w:rsid w:val="00354485"/>
    <w:rsid w:val="00354D28"/>
    <w:rsid w:val="00361377"/>
    <w:rsid w:val="003614A5"/>
    <w:rsid w:val="00362906"/>
    <w:rsid w:val="00371371"/>
    <w:rsid w:val="003717DF"/>
    <w:rsid w:val="00373264"/>
    <w:rsid w:val="003738BC"/>
    <w:rsid w:val="00373E9E"/>
    <w:rsid w:val="0038020F"/>
    <w:rsid w:val="003815A6"/>
    <w:rsid w:val="0038314C"/>
    <w:rsid w:val="00383B17"/>
    <w:rsid w:val="003876EC"/>
    <w:rsid w:val="00391C68"/>
    <w:rsid w:val="00395BD8"/>
    <w:rsid w:val="00397D93"/>
    <w:rsid w:val="003A1E7C"/>
    <w:rsid w:val="003A2FB5"/>
    <w:rsid w:val="003A7CE5"/>
    <w:rsid w:val="003B124E"/>
    <w:rsid w:val="003B1BF8"/>
    <w:rsid w:val="003B2608"/>
    <w:rsid w:val="003B2AD8"/>
    <w:rsid w:val="003B439A"/>
    <w:rsid w:val="003B5124"/>
    <w:rsid w:val="003B54E7"/>
    <w:rsid w:val="003B62B6"/>
    <w:rsid w:val="003B6ABD"/>
    <w:rsid w:val="003B7B62"/>
    <w:rsid w:val="003C13EC"/>
    <w:rsid w:val="003C1CA8"/>
    <w:rsid w:val="003C3563"/>
    <w:rsid w:val="003C3DAD"/>
    <w:rsid w:val="003C53AF"/>
    <w:rsid w:val="003D1AD2"/>
    <w:rsid w:val="003D1D61"/>
    <w:rsid w:val="003D3DA2"/>
    <w:rsid w:val="003D505F"/>
    <w:rsid w:val="003D5E5A"/>
    <w:rsid w:val="003D79C4"/>
    <w:rsid w:val="003E215F"/>
    <w:rsid w:val="003E3400"/>
    <w:rsid w:val="003E37E2"/>
    <w:rsid w:val="003E4E01"/>
    <w:rsid w:val="003E661D"/>
    <w:rsid w:val="003F019A"/>
    <w:rsid w:val="003F339D"/>
    <w:rsid w:val="003F40A8"/>
    <w:rsid w:val="003F43E1"/>
    <w:rsid w:val="003F467A"/>
    <w:rsid w:val="003F47FF"/>
    <w:rsid w:val="003F5C3A"/>
    <w:rsid w:val="003F60F0"/>
    <w:rsid w:val="003F7916"/>
    <w:rsid w:val="003F7970"/>
    <w:rsid w:val="0040024E"/>
    <w:rsid w:val="00400AD5"/>
    <w:rsid w:val="0040125E"/>
    <w:rsid w:val="00401C99"/>
    <w:rsid w:val="00402677"/>
    <w:rsid w:val="00403CE0"/>
    <w:rsid w:val="004041AE"/>
    <w:rsid w:val="00407BAC"/>
    <w:rsid w:val="004109C2"/>
    <w:rsid w:val="004115C6"/>
    <w:rsid w:val="004147C5"/>
    <w:rsid w:val="00415C54"/>
    <w:rsid w:val="00416E14"/>
    <w:rsid w:val="00417B43"/>
    <w:rsid w:val="00420DA8"/>
    <w:rsid w:val="004219B6"/>
    <w:rsid w:val="00424A86"/>
    <w:rsid w:val="004279EF"/>
    <w:rsid w:val="004301A7"/>
    <w:rsid w:val="00431E4D"/>
    <w:rsid w:val="004330BF"/>
    <w:rsid w:val="0043610F"/>
    <w:rsid w:val="00437713"/>
    <w:rsid w:val="0044064E"/>
    <w:rsid w:val="00441C81"/>
    <w:rsid w:val="004430FB"/>
    <w:rsid w:val="00443CCC"/>
    <w:rsid w:val="00443CDA"/>
    <w:rsid w:val="004460C7"/>
    <w:rsid w:val="00450873"/>
    <w:rsid w:val="004519BD"/>
    <w:rsid w:val="00452F70"/>
    <w:rsid w:val="00455788"/>
    <w:rsid w:val="004558DF"/>
    <w:rsid w:val="00460732"/>
    <w:rsid w:val="00461C32"/>
    <w:rsid w:val="004620F8"/>
    <w:rsid w:val="00466C97"/>
    <w:rsid w:val="00467494"/>
    <w:rsid w:val="00472C49"/>
    <w:rsid w:val="00472F35"/>
    <w:rsid w:val="004730E4"/>
    <w:rsid w:val="0047513E"/>
    <w:rsid w:val="00475E55"/>
    <w:rsid w:val="0047622D"/>
    <w:rsid w:val="0048015E"/>
    <w:rsid w:val="00480964"/>
    <w:rsid w:val="00481CE8"/>
    <w:rsid w:val="00483213"/>
    <w:rsid w:val="00490CD2"/>
    <w:rsid w:val="004925ED"/>
    <w:rsid w:val="004931AF"/>
    <w:rsid w:val="004965B2"/>
    <w:rsid w:val="00497612"/>
    <w:rsid w:val="004A021E"/>
    <w:rsid w:val="004A129D"/>
    <w:rsid w:val="004A175D"/>
    <w:rsid w:val="004A2912"/>
    <w:rsid w:val="004A3F80"/>
    <w:rsid w:val="004A4AFD"/>
    <w:rsid w:val="004A59B7"/>
    <w:rsid w:val="004A5B0F"/>
    <w:rsid w:val="004B0BDD"/>
    <w:rsid w:val="004B169B"/>
    <w:rsid w:val="004B1F9A"/>
    <w:rsid w:val="004B2F8A"/>
    <w:rsid w:val="004B3BE7"/>
    <w:rsid w:val="004B7F0C"/>
    <w:rsid w:val="004C25B9"/>
    <w:rsid w:val="004C3760"/>
    <w:rsid w:val="004C3984"/>
    <w:rsid w:val="004C46F0"/>
    <w:rsid w:val="004C4F5D"/>
    <w:rsid w:val="004C6E24"/>
    <w:rsid w:val="004D12B9"/>
    <w:rsid w:val="004D4C71"/>
    <w:rsid w:val="004D73A2"/>
    <w:rsid w:val="004D7C68"/>
    <w:rsid w:val="004E016D"/>
    <w:rsid w:val="004E3E7F"/>
    <w:rsid w:val="004E636A"/>
    <w:rsid w:val="004E69A9"/>
    <w:rsid w:val="004E6F98"/>
    <w:rsid w:val="004E7F7C"/>
    <w:rsid w:val="004F1018"/>
    <w:rsid w:val="004F133E"/>
    <w:rsid w:val="004F4528"/>
    <w:rsid w:val="004F4E94"/>
    <w:rsid w:val="004F6D07"/>
    <w:rsid w:val="0050162D"/>
    <w:rsid w:val="00502BA2"/>
    <w:rsid w:val="00503076"/>
    <w:rsid w:val="0050330D"/>
    <w:rsid w:val="00503939"/>
    <w:rsid w:val="00504B0C"/>
    <w:rsid w:val="0050764C"/>
    <w:rsid w:val="0051075A"/>
    <w:rsid w:val="00512CA8"/>
    <w:rsid w:val="005141B9"/>
    <w:rsid w:val="005147D3"/>
    <w:rsid w:val="0051598F"/>
    <w:rsid w:val="00516D10"/>
    <w:rsid w:val="005178E5"/>
    <w:rsid w:val="00520155"/>
    <w:rsid w:val="00520767"/>
    <w:rsid w:val="00521AF3"/>
    <w:rsid w:val="00526072"/>
    <w:rsid w:val="005266E5"/>
    <w:rsid w:val="005278E9"/>
    <w:rsid w:val="0053328B"/>
    <w:rsid w:val="005346DB"/>
    <w:rsid w:val="00536435"/>
    <w:rsid w:val="00540AD8"/>
    <w:rsid w:val="00540CEB"/>
    <w:rsid w:val="00543568"/>
    <w:rsid w:val="00550CCF"/>
    <w:rsid w:val="00551DDC"/>
    <w:rsid w:val="005545E6"/>
    <w:rsid w:val="0055468E"/>
    <w:rsid w:val="00554EC4"/>
    <w:rsid w:val="00555074"/>
    <w:rsid w:val="00556681"/>
    <w:rsid w:val="005578B7"/>
    <w:rsid w:val="00557DE7"/>
    <w:rsid w:val="005607C8"/>
    <w:rsid w:val="0056105F"/>
    <w:rsid w:val="00561D77"/>
    <w:rsid w:val="00562B92"/>
    <w:rsid w:val="0056353D"/>
    <w:rsid w:val="00563A21"/>
    <w:rsid w:val="00566980"/>
    <w:rsid w:val="005670F9"/>
    <w:rsid w:val="00567CC6"/>
    <w:rsid w:val="005704CA"/>
    <w:rsid w:val="005721AF"/>
    <w:rsid w:val="00573CA6"/>
    <w:rsid w:val="00576B66"/>
    <w:rsid w:val="00582018"/>
    <w:rsid w:val="00582C09"/>
    <w:rsid w:val="005833D1"/>
    <w:rsid w:val="00583558"/>
    <w:rsid w:val="00584D12"/>
    <w:rsid w:val="005850D4"/>
    <w:rsid w:val="0058712F"/>
    <w:rsid w:val="00591623"/>
    <w:rsid w:val="00594C9A"/>
    <w:rsid w:val="005959AF"/>
    <w:rsid w:val="00595C99"/>
    <w:rsid w:val="0059657E"/>
    <w:rsid w:val="00597345"/>
    <w:rsid w:val="00597F5E"/>
    <w:rsid w:val="005A5410"/>
    <w:rsid w:val="005A6C5D"/>
    <w:rsid w:val="005A7D1F"/>
    <w:rsid w:val="005B1E59"/>
    <w:rsid w:val="005B5A4E"/>
    <w:rsid w:val="005B5B64"/>
    <w:rsid w:val="005C0EF1"/>
    <w:rsid w:val="005C3FAC"/>
    <w:rsid w:val="005C412E"/>
    <w:rsid w:val="005C55B0"/>
    <w:rsid w:val="005C5FC6"/>
    <w:rsid w:val="005C60B5"/>
    <w:rsid w:val="005C61E0"/>
    <w:rsid w:val="005C7146"/>
    <w:rsid w:val="005D146B"/>
    <w:rsid w:val="005D439A"/>
    <w:rsid w:val="005D6920"/>
    <w:rsid w:val="005D7E7C"/>
    <w:rsid w:val="005E00EE"/>
    <w:rsid w:val="005E1B34"/>
    <w:rsid w:val="005E5A3E"/>
    <w:rsid w:val="005E5ABD"/>
    <w:rsid w:val="005E6977"/>
    <w:rsid w:val="005E6EC1"/>
    <w:rsid w:val="005E6F90"/>
    <w:rsid w:val="005E77AF"/>
    <w:rsid w:val="005F001A"/>
    <w:rsid w:val="005F0AF5"/>
    <w:rsid w:val="005F0CA9"/>
    <w:rsid w:val="005F7F9E"/>
    <w:rsid w:val="006061CD"/>
    <w:rsid w:val="006120D6"/>
    <w:rsid w:val="00612FBC"/>
    <w:rsid w:val="00613E8B"/>
    <w:rsid w:val="0061566B"/>
    <w:rsid w:val="0062222E"/>
    <w:rsid w:val="006224CC"/>
    <w:rsid w:val="00623C5A"/>
    <w:rsid w:val="006245A8"/>
    <w:rsid w:val="00625B53"/>
    <w:rsid w:val="0062618B"/>
    <w:rsid w:val="00627CD1"/>
    <w:rsid w:val="0063016F"/>
    <w:rsid w:val="00631C5F"/>
    <w:rsid w:val="00632879"/>
    <w:rsid w:val="00633C51"/>
    <w:rsid w:val="006347C6"/>
    <w:rsid w:val="00635220"/>
    <w:rsid w:val="00636A1D"/>
    <w:rsid w:val="0063712B"/>
    <w:rsid w:val="00637496"/>
    <w:rsid w:val="00640196"/>
    <w:rsid w:val="00640A50"/>
    <w:rsid w:val="00641388"/>
    <w:rsid w:val="006421F9"/>
    <w:rsid w:val="0064237E"/>
    <w:rsid w:val="00642C02"/>
    <w:rsid w:val="00643DC7"/>
    <w:rsid w:val="00643F0E"/>
    <w:rsid w:val="00645C7C"/>
    <w:rsid w:val="00646C27"/>
    <w:rsid w:val="00647822"/>
    <w:rsid w:val="00650221"/>
    <w:rsid w:val="00650890"/>
    <w:rsid w:val="00651001"/>
    <w:rsid w:val="00652356"/>
    <w:rsid w:val="006539A8"/>
    <w:rsid w:val="00653C0D"/>
    <w:rsid w:val="0065517A"/>
    <w:rsid w:val="00660E63"/>
    <w:rsid w:val="00662BC0"/>
    <w:rsid w:val="006641CD"/>
    <w:rsid w:val="00667D16"/>
    <w:rsid w:val="0067248C"/>
    <w:rsid w:val="006741B6"/>
    <w:rsid w:val="00674B89"/>
    <w:rsid w:val="0067509C"/>
    <w:rsid w:val="00675CCC"/>
    <w:rsid w:val="00680CCC"/>
    <w:rsid w:val="00690848"/>
    <w:rsid w:val="00692CE2"/>
    <w:rsid w:val="00692E2B"/>
    <w:rsid w:val="00695A4B"/>
    <w:rsid w:val="006960C6"/>
    <w:rsid w:val="006961FB"/>
    <w:rsid w:val="00696667"/>
    <w:rsid w:val="00697CD2"/>
    <w:rsid w:val="00697D04"/>
    <w:rsid w:val="006A1D8E"/>
    <w:rsid w:val="006A2CE4"/>
    <w:rsid w:val="006A2D73"/>
    <w:rsid w:val="006A333D"/>
    <w:rsid w:val="006A63D1"/>
    <w:rsid w:val="006A70F2"/>
    <w:rsid w:val="006A72A5"/>
    <w:rsid w:val="006B1931"/>
    <w:rsid w:val="006B58AA"/>
    <w:rsid w:val="006B658A"/>
    <w:rsid w:val="006B6D54"/>
    <w:rsid w:val="006B75B5"/>
    <w:rsid w:val="006C29FE"/>
    <w:rsid w:val="006C735E"/>
    <w:rsid w:val="006C77FC"/>
    <w:rsid w:val="006D32E9"/>
    <w:rsid w:val="006D414F"/>
    <w:rsid w:val="006D55B5"/>
    <w:rsid w:val="006D5614"/>
    <w:rsid w:val="006D6686"/>
    <w:rsid w:val="006D7841"/>
    <w:rsid w:val="006D7D15"/>
    <w:rsid w:val="006E043C"/>
    <w:rsid w:val="006E05FD"/>
    <w:rsid w:val="006E0C36"/>
    <w:rsid w:val="006E1B8D"/>
    <w:rsid w:val="006E400D"/>
    <w:rsid w:val="006E61F3"/>
    <w:rsid w:val="006F04D1"/>
    <w:rsid w:val="006F16E4"/>
    <w:rsid w:val="006F1756"/>
    <w:rsid w:val="006F3C79"/>
    <w:rsid w:val="006F4F50"/>
    <w:rsid w:val="006F6ACA"/>
    <w:rsid w:val="006F79C9"/>
    <w:rsid w:val="00700CF8"/>
    <w:rsid w:val="00700D62"/>
    <w:rsid w:val="00706005"/>
    <w:rsid w:val="0070679C"/>
    <w:rsid w:val="00710B5B"/>
    <w:rsid w:val="007117CF"/>
    <w:rsid w:val="0071759A"/>
    <w:rsid w:val="00721557"/>
    <w:rsid w:val="00722188"/>
    <w:rsid w:val="007227ED"/>
    <w:rsid w:val="00723551"/>
    <w:rsid w:val="00726E8A"/>
    <w:rsid w:val="007306D9"/>
    <w:rsid w:val="00731836"/>
    <w:rsid w:val="00732DDE"/>
    <w:rsid w:val="00734276"/>
    <w:rsid w:val="0073532C"/>
    <w:rsid w:val="007367AF"/>
    <w:rsid w:val="00737031"/>
    <w:rsid w:val="00737D84"/>
    <w:rsid w:val="00741F7A"/>
    <w:rsid w:val="007428F8"/>
    <w:rsid w:val="00742C25"/>
    <w:rsid w:val="00742E83"/>
    <w:rsid w:val="007437ED"/>
    <w:rsid w:val="00744551"/>
    <w:rsid w:val="0074610D"/>
    <w:rsid w:val="0074679F"/>
    <w:rsid w:val="00751D82"/>
    <w:rsid w:val="00753322"/>
    <w:rsid w:val="00757D7C"/>
    <w:rsid w:val="00760099"/>
    <w:rsid w:val="0076067F"/>
    <w:rsid w:val="00761A52"/>
    <w:rsid w:val="00770CC8"/>
    <w:rsid w:val="00772174"/>
    <w:rsid w:val="00772616"/>
    <w:rsid w:val="00772CAC"/>
    <w:rsid w:val="00781378"/>
    <w:rsid w:val="007814D6"/>
    <w:rsid w:val="007814D7"/>
    <w:rsid w:val="007831D8"/>
    <w:rsid w:val="00783FB5"/>
    <w:rsid w:val="007843C1"/>
    <w:rsid w:val="007844F5"/>
    <w:rsid w:val="0078451D"/>
    <w:rsid w:val="00784C40"/>
    <w:rsid w:val="00790D20"/>
    <w:rsid w:val="00791F23"/>
    <w:rsid w:val="00791F7F"/>
    <w:rsid w:val="00792FC8"/>
    <w:rsid w:val="007931F6"/>
    <w:rsid w:val="007943A4"/>
    <w:rsid w:val="00794A95"/>
    <w:rsid w:val="007A062E"/>
    <w:rsid w:val="007A084C"/>
    <w:rsid w:val="007A2681"/>
    <w:rsid w:val="007A3BF5"/>
    <w:rsid w:val="007A41DE"/>
    <w:rsid w:val="007A4F1C"/>
    <w:rsid w:val="007A4FAF"/>
    <w:rsid w:val="007A4FB8"/>
    <w:rsid w:val="007B0526"/>
    <w:rsid w:val="007B0785"/>
    <w:rsid w:val="007B1CE1"/>
    <w:rsid w:val="007B23C2"/>
    <w:rsid w:val="007B376B"/>
    <w:rsid w:val="007B4C23"/>
    <w:rsid w:val="007B5E53"/>
    <w:rsid w:val="007B70E2"/>
    <w:rsid w:val="007B7B01"/>
    <w:rsid w:val="007C20B4"/>
    <w:rsid w:val="007C5AE2"/>
    <w:rsid w:val="007C65DC"/>
    <w:rsid w:val="007C6EB6"/>
    <w:rsid w:val="007D4AB5"/>
    <w:rsid w:val="007D532F"/>
    <w:rsid w:val="007D53B4"/>
    <w:rsid w:val="007E01AD"/>
    <w:rsid w:val="007E080D"/>
    <w:rsid w:val="007E096C"/>
    <w:rsid w:val="007E42E1"/>
    <w:rsid w:val="007E55A0"/>
    <w:rsid w:val="007E5C5A"/>
    <w:rsid w:val="007E6404"/>
    <w:rsid w:val="007E7689"/>
    <w:rsid w:val="007F31D9"/>
    <w:rsid w:val="007F6775"/>
    <w:rsid w:val="00802D46"/>
    <w:rsid w:val="008046DF"/>
    <w:rsid w:val="008068C0"/>
    <w:rsid w:val="00807633"/>
    <w:rsid w:val="00810340"/>
    <w:rsid w:val="0081129A"/>
    <w:rsid w:val="00812A03"/>
    <w:rsid w:val="00812E34"/>
    <w:rsid w:val="008144F7"/>
    <w:rsid w:val="0081525B"/>
    <w:rsid w:val="0081559D"/>
    <w:rsid w:val="008169A3"/>
    <w:rsid w:val="00816D23"/>
    <w:rsid w:val="00822BE9"/>
    <w:rsid w:val="0082475B"/>
    <w:rsid w:val="00826695"/>
    <w:rsid w:val="0083096F"/>
    <w:rsid w:val="00830C10"/>
    <w:rsid w:val="00833A09"/>
    <w:rsid w:val="00835A12"/>
    <w:rsid w:val="008366CF"/>
    <w:rsid w:val="00836F9B"/>
    <w:rsid w:val="00841BC5"/>
    <w:rsid w:val="00843AB4"/>
    <w:rsid w:val="0084663D"/>
    <w:rsid w:val="00847D2F"/>
    <w:rsid w:val="00851B3F"/>
    <w:rsid w:val="00852B5F"/>
    <w:rsid w:val="00855476"/>
    <w:rsid w:val="00855788"/>
    <w:rsid w:val="00855D74"/>
    <w:rsid w:val="00855DA2"/>
    <w:rsid w:val="008560D8"/>
    <w:rsid w:val="00856693"/>
    <w:rsid w:val="008569AB"/>
    <w:rsid w:val="00857228"/>
    <w:rsid w:val="008620DC"/>
    <w:rsid w:val="00866AA4"/>
    <w:rsid w:val="008733C8"/>
    <w:rsid w:val="00875E4F"/>
    <w:rsid w:val="00877596"/>
    <w:rsid w:val="00877A19"/>
    <w:rsid w:val="008817B5"/>
    <w:rsid w:val="00882861"/>
    <w:rsid w:val="00883780"/>
    <w:rsid w:val="00884704"/>
    <w:rsid w:val="00884948"/>
    <w:rsid w:val="00884C4E"/>
    <w:rsid w:val="00884E8E"/>
    <w:rsid w:val="00891D9A"/>
    <w:rsid w:val="00893906"/>
    <w:rsid w:val="00895810"/>
    <w:rsid w:val="00896C1A"/>
    <w:rsid w:val="00897BA1"/>
    <w:rsid w:val="008A0208"/>
    <w:rsid w:val="008A261F"/>
    <w:rsid w:val="008A3000"/>
    <w:rsid w:val="008A32F9"/>
    <w:rsid w:val="008A42C2"/>
    <w:rsid w:val="008A4436"/>
    <w:rsid w:val="008A67BC"/>
    <w:rsid w:val="008A6C48"/>
    <w:rsid w:val="008A7D84"/>
    <w:rsid w:val="008B1EF3"/>
    <w:rsid w:val="008B37AE"/>
    <w:rsid w:val="008B3BE0"/>
    <w:rsid w:val="008B3D15"/>
    <w:rsid w:val="008B5290"/>
    <w:rsid w:val="008B5F41"/>
    <w:rsid w:val="008B67FC"/>
    <w:rsid w:val="008B7E65"/>
    <w:rsid w:val="008C0400"/>
    <w:rsid w:val="008C0D16"/>
    <w:rsid w:val="008C16B5"/>
    <w:rsid w:val="008C39B0"/>
    <w:rsid w:val="008D1DC8"/>
    <w:rsid w:val="008D3CF9"/>
    <w:rsid w:val="008D3DFB"/>
    <w:rsid w:val="008D475E"/>
    <w:rsid w:val="008D4C0F"/>
    <w:rsid w:val="008D548D"/>
    <w:rsid w:val="008D7C14"/>
    <w:rsid w:val="008D7F4A"/>
    <w:rsid w:val="008E095A"/>
    <w:rsid w:val="008E302D"/>
    <w:rsid w:val="008E415F"/>
    <w:rsid w:val="008E42A5"/>
    <w:rsid w:val="008E4E5E"/>
    <w:rsid w:val="008E5E36"/>
    <w:rsid w:val="008E6AC9"/>
    <w:rsid w:val="008E6C82"/>
    <w:rsid w:val="008E6DEA"/>
    <w:rsid w:val="008F20A2"/>
    <w:rsid w:val="008F2B3B"/>
    <w:rsid w:val="008F3EDE"/>
    <w:rsid w:val="008F5707"/>
    <w:rsid w:val="0090074F"/>
    <w:rsid w:val="00901D6A"/>
    <w:rsid w:val="00902C7A"/>
    <w:rsid w:val="009056B3"/>
    <w:rsid w:val="009057F7"/>
    <w:rsid w:val="00907B28"/>
    <w:rsid w:val="009105D9"/>
    <w:rsid w:val="00912ED1"/>
    <w:rsid w:val="009156EF"/>
    <w:rsid w:val="00917457"/>
    <w:rsid w:val="00917C90"/>
    <w:rsid w:val="009206E1"/>
    <w:rsid w:val="00920E26"/>
    <w:rsid w:val="009212CF"/>
    <w:rsid w:val="00921477"/>
    <w:rsid w:val="00923486"/>
    <w:rsid w:val="009237F1"/>
    <w:rsid w:val="00924597"/>
    <w:rsid w:val="00924E4C"/>
    <w:rsid w:val="00925BDB"/>
    <w:rsid w:val="0093104D"/>
    <w:rsid w:val="00932903"/>
    <w:rsid w:val="009331D6"/>
    <w:rsid w:val="00933AE2"/>
    <w:rsid w:val="00936982"/>
    <w:rsid w:val="009376B2"/>
    <w:rsid w:val="00940797"/>
    <w:rsid w:val="009411F3"/>
    <w:rsid w:val="00941F41"/>
    <w:rsid w:val="00942188"/>
    <w:rsid w:val="009422BE"/>
    <w:rsid w:val="00942FF2"/>
    <w:rsid w:val="00944730"/>
    <w:rsid w:val="00945403"/>
    <w:rsid w:val="009460F0"/>
    <w:rsid w:val="009501D7"/>
    <w:rsid w:val="00950702"/>
    <w:rsid w:val="009516D2"/>
    <w:rsid w:val="0095176F"/>
    <w:rsid w:val="009531B8"/>
    <w:rsid w:val="00954508"/>
    <w:rsid w:val="009553B5"/>
    <w:rsid w:val="00956E87"/>
    <w:rsid w:val="0096036C"/>
    <w:rsid w:val="00960E87"/>
    <w:rsid w:val="00961B93"/>
    <w:rsid w:val="00964BAF"/>
    <w:rsid w:val="00965F41"/>
    <w:rsid w:val="009661F6"/>
    <w:rsid w:val="00966A38"/>
    <w:rsid w:val="00966BA2"/>
    <w:rsid w:val="00973C1A"/>
    <w:rsid w:val="00974721"/>
    <w:rsid w:val="009762D2"/>
    <w:rsid w:val="00977213"/>
    <w:rsid w:val="0097784B"/>
    <w:rsid w:val="00982383"/>
    <w:rsid w:val="00982CA9"/>
    <w:rsid w:val="009830F5"/>
    <w:rsid w:val="00983425"/>
    <w:rsid w:val="00987179"/>
    <w:rsid w:val="00991412"/>
    <w:rsid w:val="00993115"/>
    <w:rsid w:val="00994010"/>
    <w:rsid w:val="0099507E"/>
    <w:rsid w:val="00995202"/>
    <w:rsid w:val="0099633A"/>
    <w:rsid w:val="009964D0"/>
    <w:rsid w:val="00996F6E"/>
    <w:rsid w:val="009A13C9"/>
    <w:rsid w:val="009A22AB"/>
    <w:rsid w:val="009A75D8"/>
    <w:rsid w:val="009B0F7D"/>
    <w:rsid w:val="009B243F"/>
    <w:rsid w:val="009B2540"/>
    <w:rsid w:val="009B2A8B"/>
    <w:rsid w:val="009B33BF"/>
    <w:rsid w:val="009B4A4B"/>
    <w:rsid w:val="009B4C15"/>
    <w:rsid w:val="009B51EC"/>
    <w:rsid w:val="009B6216"/>
    <w:rsid w:val="009B6661"/>
    <w:rsid w:val="009B6F19"/>
    <w:rsid w:val="009B7EF4"/>
    <w:rsid w:val="009C0444"/>
    <w:rsid w:val="009C0977"/>
    <w:rsid w:val="009C3951"/>
    <w:rsid w:val="009C3CFC"/>
    <w:rsid w:val="009C501B"/>
    <w:rsid w:val="009C65D6"/>
    <w:rsid w:val="009C670A"/>
    <w:rsid w:val="009D09C0"/>
    <w:rsid w:val="009D1A76"/>
    <w:rsid w:val="009D33FD"/>
    <w:rsid w:val="009D3D2B"/>
    <w:rsid w:val="009D4508"/>
    <w:rsid w:val="009D5CA2"/>
    <w:rsid w:val="009D6649"/>
    <w:rsid w:val="009D6761"/>
    <w:rsid w:val="009D6C60"/>
    <w:rsid w:val="009D7145"/>
    <w:rsid w:val="009D7AD5"/>
    <w:rsid w:val="009E1468"/>
    <w:rsid w:val="009E16FF"/>
    <w:rsid w:val="009E2B24"/>
    <w:rsid w:val="009E4D78"/>
    <w:rsid w:val="009E4E3B"/>
    <w:rsid w:val="009E613D"/>
    <w:rsid w:val="009E6509"/>
    <w:rsid w:val="009E6CC2"/>
    <w:rsid w:val="009F09D7"/>
    <w:rsid w:val="009F1AF7"/>
    <w:rsid w:val="009F27B8"/>
    <w:rsid w:val="009F55E1"/>
    <w:rsid w:val="00A0193F"/>
    <w:rsid w:val="00A03860"/>
    <w:rsid w:val="00A03ABD"/>
    <w:rsid w:val="00A06093"/>
    <w:rsid w:val="00A064CE"/>
    <w:rsid w:val="00A0683E"/>
    <w:rsid w:val="00A10831"/>
    <w:rsid w:val="00A1237A"/>
    <w:rsid w:val="00A1270B"/>
    <w:rsid w:val="00A14BFC"/>
    <w:rsid w:val="00A16710"/>
    <w:rsid w:val="00A23D8E"/>
    <w:rsid w:val="00A263EC"/>
    <w:rsid w:val="00A26BC1"/>
    <w:rsid w:val="00A32690"/>
    <w:rsid w:val="00A34B5C"/>
    <w:rsid w:val="00A3745B"/>
    <w:rsid w:val="00A421BE"/>
    <w:rsid w:val="00A43E75"/>
    <w:rsid w:val="00A45600"/>
    <w:rsid w:val="00A47DA5"/>
    <w:rsid w:val="00A501CD"/>
    <w:rsid w:val="00A5408D"/>
    <w:rsid w:val="00A55A7E"/>
    <w:rsid w:val="00A60AE2"/>
    <w:rsid w:val="00A61F27"/>
    <w:rsid w:val="00A64D5C"/>
    <w:rsid w:val="00A70223"/>
    <w:rsid w:val="00A70B2A"/>
    <w:rsid w:val="00A72824"/>
    <w:rsid w:val="00A7340F"/>
    <w:rsid w:val="00A766DE"/>
    <w:rsid w:val="00A80615"/>
    <w:rsid w:val="00A80A95"/>
    <w:rsid w:val="00A80E3B"/>
    <w:rsid w:val="00A8277B"/>
    <w:rsid w:val="00A86859"/>
    <w:rsid w:val="00A90593"/>
    <w:rsid w:val="00A90860"/>
    <w:rsid w:val="00A91B89"/>
    <w:rsid w:val="00A91BF9"/>
    <w:rsid w:val="00A928A8"/>
    <w:rsid w:val="00A93001"/>
    <w:rsid w:val="00A93478"/>
    <w:rsid w:val="00A94F29"/>
    <w:rsid w:val="00A970B1"/>
    <w:rsid w:val="00AA0366"/>
    <w:rsid w:val="00AA09F7"/>
    <w:rsid w:val="00AA37E3"/>
    <w:rsid w:val="00AA5037"/>
    <w:rsid w:val="00AA51C7"/>
    <w:rsid w:val="00AA5857"/>
    <w:rsid w:val="00AA6548"/>
    <w:rsid w:val="00AA7855"/>
    <w:rsid w:val="00AB1371"/>
    <w:rsid w:val="00AB25F4"/>
    <w:rsid w:val="00AB26ED"/>
    <w:rsid w:val="00AB2C78"/>
    <w:rsid w:val="00AB2E87"/>
    <w:rsid w:val="00AB37CB"/>
    <w:rsid w:val="00AB7D0C"/>
    <w:rsid w:val="00AC2CDF"/>
    <w:rsid w:val="00AC359E"/>
    <w:rsid w:val="00AC3ECE"/>
    <w:rsid w:val="00AC5882"/>
    <w:rsid w:val="00AC6127"/>
    <w:rsid w:val="00AC7468"/>
    <w:rsid w:val="00AD2764"/>
    <w:rsid w:val="00AD2C6D"/>
    <w:rsid w:val="00AD5609"/>
    <w:rsid w:val="00AD6089"/>
    <w:rsid w:val="00AD78DB"/>
    <w:rsid w:val="00AE1C89"/>
    <w:rsid w:val="00AE26E6"/>
    <w:rsid w:val="00AE3731"/>
    <w:rsid w:val="00AE3E5E"/>
    <w:rsid w:val="00AE4048"/>
    <w:rsid w:val="00AE433C"/>
    <w:rsid w:val="00AE43F2"/>
    <w:rsid w:val="00AE6978"/>
    <w:rsid w:val="00AF11DE"/>
    <w:rsid w:val="00AF1F6E"/>
    <w:rsid w:val="00AF2679"/>
    <w:rsid w:val="00AF32DA"/>
    <w:rsid w:val="00AF3A8F"/>
    <w:rsid w:val="00AF3AD1"/>
    <w:rsid w:val="00AF4D2C"/>
    <w:rsid w:val="00AF6195"/>
    <w:rsid w:val="00AF712E"/>
    <w:rsid w:val="00B02F74"/>
    <w:rsid w:val="00B03D36"/>
    <w:rsid w:val="00B07006"/>
    <w:rsid w:val="00B10EF9"/>
    <w:rsid w:val="00B11016"/>
    <w:rsid w:val="00B127DA"/>
    <w:rsid w:val="00B14F3A"/>
    <w:rsid w:val="00B15CD0"/>
    <w:rsid w:val="00B16AAC"/>
    <w:rsid w:val="00B20D78"/>
    <w:rsid w:val="00B21147"/>
    <w:rsid w:val="00B21DD4"/>
    <w:rsid w:val="00B26057"/>
    <w:rsid w:val="00B26705"/>
    <w:rsid w:val="00B27055"/>
    <w:rsid w:val="00B27319"/>
    <w:rsid w:val="00B27C7C"/>
    <w:rsid w:val="00B27E7C"/>
    <w:rsid w:val="00B302DE"/>
    <w:rsid w:val="00B31664"/>
    <w:rsid w:val="00B31B65"/>
    <w:rsid w:val="00B31D32"/>
    <w:rsid w:val="00B32033"/>
    <w:rsid w:val="00B32A03"/>
    <w:rsid w:val="00B32B24"/>
    <w:rsid w:val="00B32DFE"/>
    <w:rsid w:val="00B32FB8"/>
    <w:rsid w:val="00B35FAE"/>
    <w:rsid w:val="00B36886"/>
    <w:rsid w:val="00B37D61"/>
    <w:rsid w:val="00B41E55"/>
    <w:rsid w:val="00B42434"/>
    <w:rsid w:val="00B42959"/>
    <w:rsid w:val="00B42C3D"/>
    <w:rsid w:val="00B42F24"/>
    <w:rsid w:val="00B438B6"/>
    <w:rsid w:val="00B442EC"/>
    <w:rsid w:val="00B451A9"/>
    <w:rsid w:val="00B45BE5"/>
    <w:rsid w:val="00B51280"/>
    <w:rsid w:val="00B5403A"/>
    <w:rsid w:val="00B5427D"/>
    <w:rsid w:val="00B548CC"/>
    <w:rsid w:val="00B5493B"/>
    <w:rsid w:val="00B558C4"/>
    <w:rsid w:val="00B55BFE"/>
    <w:rsid w:val="00B55F63"/>
    <w:rsid w:val="00B56B05"/>
    <w:rsid w:val="00B6000F"/>
    <w:rsid w:val="00B60C5E"/>
    <w:rsid w:val="00B6481E"/>
    <w:rsid w:val="00B64A7F"/>
    <w:rsid w:val="00B651EC"/>
    <w:rsid w:val="00B67C53"/>
    <w:rsid w:val="00B70A62"/>
    <w:rsid w:val="00B70CDD"/>
    <w:rsid w:val="00B720AE"/>
    <w:rsid w:val="00B72138"/>
    <w:rsid w:val="00B73E69"/>
    <w:rsid w:val="00B74D8B"/>
    <w:rsid w:val="00B75196"/>
    <w:rsid w:val="00B7551C"/>
    <w:rsid w:val="00B7731A"/>
    <w:rsid w:val="00B77625"/>
    <w:rsid w:val="00B80E86"/>
    <w:rsid w:val="00B82ABA"/>
    <w:rsid w:val="00B82AF5"/>
    <w:rsid w:val="00B836B4"/>
    <w:rsid w:val="00B8445C"/>
    <w:rsid w:val="00B85CB4"/>
    <w:rsid w:val="00B936F3"/>
    <w:rsid w:val="00B93F91"/>
    <w:rsid w:val="00BA1FD4"/>
    <w:rsid w:val="00BA632E"/>
    <w:rsid w:val="00BA66A3"/>
    <w:rsid w:val="00BA67B2"/>
    <w:rsid w:val="00BB074E"/>
    <w:rsid w:val="00BB0C76"/>
    <w:rsid w:val="00BB12A3"/>
    <w:rsid w:val="00BB17B7"/>
    <w:rsid w:val="00BB5014"/>
    <w:rsid w:val="00BB5582"/>
    <w:rsid w:val="00BB6BDF"/>
    <w:rsid w:val="00BB7A47"/>
    <w:rsid w:val="00BC03CE"/>
    <w:rsid w:val="00BC1029"/>
    <w:rsid w:val="00BC19B2"/>
    <w:rsid w:val="00BC22DE"/>
    <w:rsid w:val="00BC5BC5"/>
    <w:rsid w:val="00BC6EC4"/>
    <w:rsid w:val="00BC71D8"/>
    <w:rsid w:val="00BD0399"/>
    <w:rsid w:val="00BD3151"/>
    <w:rsid w:val="00BD3294"/>
    <w:rsid w:val="00BD5142"/>
    <w:rsid w:val="00BD6D5E"/>
    <w:rsid w:val="00BE10F9"/>
    <w:rsid w:val="00BE4117"/>
    <w:rsid w:val="00BE4970"/>
    <w:rsid w:val="00BE4D77"/>
    <w:rsid w:val="00BF20DE"/>
    <w:rsid w:val="00BF2F3F"/>
    <w:rsid w:val="00BF3877"/>
    <w:rsid w:val="00BF45CD"/>
    <w:rsid w:val="00BF78C3"/>
    <w:rsid w:val="00BF7A84"/>
    <w:rsid w:val="00C01148"/>
    <w:rsid w:val="00C020ED"/>
    <w:rsid w:val="00C02F0F"/>
    <w:rsid w:val="00C0484E"/>
    <w:rsid w:val="00C0694D"/>
    <w:rsid w:val="00C10D07"/>
    <w:rsid w:val="00C12287"/>
    <w:rsid w:val="00C122BC"/>
    <w:rsid w:val="00C12CE1"/>
    <w:rsid w:val="00C13C7A"/>
    <w:rsid w:val="00C13C7D"/>
    <w:rsid w:val="00C1589F"/>
    <w:rsid w:val="00C15FB3"/>
    <w:rsid w:val="00C16427"/>
    <w:rsid w:val="00C168D9"/>
    <w:rsid w:val="00C16D71"/>
    <w:rsid w:val="00C175BB"/>
    <w:rsid w:val="00C177D7"/>
    <w:rsid w:val="00C218CE"/>
    <w:rsid w:val="00C2342C"/>
    <w:rsid w:val="00C2346A"/>
    <w:rsid w:val="00C23BBB"/>
    <w:rsid w:val="00C252FC"/>
    <w:rsid w:val="00C26F5F"/>
    <w:rsid w:val="00C308F9"/>
    <w:rsid w:val="00C32099"/>
    <w:rsid w:val="00C322BB"/>
    <w:rsid w:val="00C32B00"/>
    <w:rsid w:val="00C3573F"/>
    <w:rsid w:val="00C35D69"/>
    <w:rsid w:val="00C361AB"/>
    <w:rsid w:val="00C41229"/>
    <w:rsid w:val="00C42401"/>
    <w:rsid w:val="00C42DA7"/>
    <w:rsid w:val="00C457A4"/>
    <w:rsid w:val="00C479C5"/>
    <w:rsid w:val="00C50E0C"/>
    <w:rsid w:val="00C52CFF"/>
    <w:rsid w:val="00C547A4"/>
    <w:rsid w:val="00C548AC"/>
    <w:rsid w:val="00C5528A"/>
    <w:rsid w:val="00C557A7"/>
    <w:rsid w:val="00C56573"/>
    <w:rsid w:val="00C56AA1"/>
    <w:rsid w:val="00C61F25"/>
    <w:rsid w:val="00C6283B"/>
    <w:rsid w:val="00C63C6B"/>
    <w:rsid w:val="00C6495C"/>
    <w:rsid w:val="00C71D5A"/>
    <w:rsid w:val="00C73024"/>
    <w:rsid w:val="00C73A13"/>
    <w:rsid w:val="00C75377"/>
    <w:rsid w:val="00C75886"/>
    <w:rsid w:val="00C76A33"/>
    <w:rsid w:val="00C77109"/>
    <w:rsid w:val="00C77B01"/>
    <w:rsid w:val="00C80953"/>
    <w:rsid w:val="00C81215"/>
    <w:rsid w:val="00C826E6"/>
    <w:rsid w:val="00C82891"/>
    <w:rsid w:val="00C835AB"/>
    <w:rsid w:val="00C85EBE"/>
    <w:rsid w:val="00C86DF6"/>
    <w:rsid w:val="00C86FA7"/>
    <w:rsid w:val="00C87BEC"/>
    <w:rsid w:val="00C905BE"/>
    <w:rsid w:val="00C90782"/>
    <w:rsid w:val="00C912EE"/>
    <w:rsid w:val="00C913A6"/>
    <w:rsid w:val="00C9195C"/>
    <w:rsid w:val="00C944D0"/>
    <w:rsid w:val="00C9561B"/>
    <w:rsid w:val="00C97800"/>
    <w:rsid w:val="00C97E25"/>
    <w:rsid w:val="00CA2854"/>
    <w:rsid w:val="00CA3FF2"/>
    <w:rsid w:val="00CA4454"/>
    <w:rsid w:val="00CA6A60"/>
    <w:rsid w:val="00CA790A"/>
    <w:rsid w:val="00CB01B5"/>
    <w:rsid w:val="00CB4A2E"/>
    <w:rsid w:val="00CB5DB5"/>
    <w:rsid w:val="00CB66AD"/>
    <w:rsid w:val="00CB6C5E"/>
    <w:rsid w:val="00CB74CE"/>
    <w:rsid w:val="00CC00D3"/>
    <w:rsid w:val="00CC0DAE"/>
    <w:rsid w:val="00CC6726"/>
    <w:rsid w:val="00CC6B44"/>
    <w:rsid w:val="00CD2B84"/>
    <w:rsid w:val="00CD5DFB"/>
    <w:rsid w:val="00CD5F18"/>
    <w:rsid w:val="00CD6DC6"/>
    <w:rsid w:val="00CD747F"/>
    <w:rsid w:val="00CE0045"/>
    <w:rsid w:val="00CE1110"/>
    <w:rsid w:val="00CE1281"/>
    <w:rsid w:val="00CE2AA2"/>
    <w:rsid w:val="00CF179F"/>
    <w:rsid w:val="00CF3638"/>
    <w:rsid w:val="00CF3F2B"/>
    <w:rsid w:val="00CF4551"/>
    <w:rsid w:val="00CF46AE"/>
    <w:rsid w:val="00CF7B6B"/>
    <w:rsid w:val="00D00830"/>
    <w:rsid w:val="00D00C96"/>
    <w:rsid w:val="00D01ABB"/>
    <w:rsid w:val="00D01CBD"/>
    <w:rsid w:val="00D03495"/>
    <w:rsid w:val="00D04188"/>
    <w:rsid w:val="00D04889"/>
    <w:rsid w:val="00D059D6"/>
    <w:rsid w:val="00D11A80"/>
    <w:rsid w:val="00D12A99"/>
    <w:rsid w:val="00D12BD0"/>
    <w:rsid w:val="00D13B09"/>
    <w:rsid w:val="00D141DE"/>
    <w:rsid w:val="00D15EF8"/>
    <w:rsid w:val="00D17AA4"/>
    <w:rsid w:val="00D21F0F"/>
    <w:rsid w:val="00D22CA2"/>
    <w:rsid w:val="00D2440E"/>
    <w:rsid w:val="00D25116"/>
    <w:rsid w:val="00D2664D"/>
    <w:rsid w:val="00D316DD"/>
    <w:rsid w:val="00D34FB0"/>
    <w:rsid w:val="00D34FB5"/>
    <w:rsid w:val="00D359E8"/>
    <w:rsid w:val="00D36027"/>
    <w:rsid w:val="00D41797"/>
    <w:rsid w:val="00D44B9B"/>
    <w:rsid w:val="00D50AAC"/>
    <w:rsid w:val="00D50C00"/>
    <w:rsid w:val="00D565F9"/>
    <w:rsid w:val="00D57DCE"/>
    <w:rsid w:val="00D61015"/>
    <w:rsid w:val="00D63045"/>
    <w:rsid w:val="00D6326C"/>
    <w:rsid w:val="00D647DE"/>
    <w:rsid w:val="00D648A5"/>
    <w:rsid w:val="00D6567B"/>
    <w:rsid w:val="00D74010"/>
    <w:rsid w:val="00D774BA"/>
    <w:rsid w:val="00D77B0D"/>
    <w:rsid w:val="00D90090"/>
    <w:rsid w:val="00D94BDF"/>
    <w:rsid w:val="00D95247"/>
    <w:rsid w:val="00D97ADB"/>
    <w:rsid w:val="00DA1193"/>
    <w:rsid w:val="00DA196C"/>
    <w:rsid w:val="00DA208B"/>
    <w:rsid w:val="00DA430C"/>
    <w:rsid w:val="00DA52CA"/>
    <w:rsid w:val="00DA72EC"/>
    <w:rsid w:val="00DA7A10"/>
    <w:rsid w:val="00DA7BD8"/>
    <w:rsid w:val="00DA7EE8"/>
    <w:rsid w:val="00DB0D5A"/>
    <w:rsid w:val="00DB6009"/>
    <w:rsid w:val="00DB6425"/>
    <w:rsid w:val="00DB7C31"/>
    <w:rsid w:val="00DB7C9F"/>
    <w:rsid w:val="00DB7F4A"/>
    <w:rsid w:val="00DC0CCF"/>
    <w:rsid w:val="00DC1526"/>
    <w:rsid w:val="00DC292E"/>
    <w:rsid w:val="00DC2F1F"/>
    <w:rsid w:val="00DC4BA8"/>
    <w:rsid w:val="00DD0215"/>
    <w:rsid w:val="00DD0FB4"/>
    <w:rsid w:val="00DD1361"/>
    <w:rsid w:val="00DD1C60"/>
    <w:rsid w:val="00DD439A"/>
    <w:rsid w:val="00DD4AF9"/>
    <w:rsid w:val="00DD521E"/>
    <w:rsid w:val="00DD6381"/>
    <w:rsid w:val="00DE055B"/>
    <w:rsid w:val="00DE07A0"/>
    <w:rsid w:val="00DE0AD6"/>
    <w:rsid w:val="00DE21C5"/>
    <w:rsid w:val="00DE66E2"/>
    <w:rsid w:val="00DE6E32"/>
    <w:rsid w:val="00DF0CF8"/>
    <w:rsid w:val="00DF0E06"/>
    <w:rsid w:val="00DF0E86"/>
    <w:rsid w:val="00DF1D04"/>
    <w:rsid w:val="00DF1F47"/>
    <w:rsid w:val="00DF5969"/>
    <w:rsid w:val="00E00612"/>
    <w:rsid w:val="00E03DC3"/>
    <w:rsid w:val="00E06D13"/>
    <w:rsid w:val="00E07011"/>
    <w:rsid w:val="00E07115"/>
    <w:rsid w:val="00E10F81"/>
    <w:rsid w:val="00E13D83"/>
    <w:rsid w:val="00E15D0A"/>
    <w:rsid w:val="00E21620"/>
    <w:rsid w:val="00E21917"/>
    <w:rsid w:val="00E2244B"/>
    <w:rsid w:val="00E22915"/>
    <w:rsid w:val="00E23002"/>
    <w:rsid w:val="00E24020"/>
    <w:rsid w:val="00E26B75"/>
    <w:rsid w:val="00E27E42"/>
    <w:rsid w:val="00E32D52"/>
    <w:rsid w:val="00E33A3C"/>
    <w:rsid w:val="00E357DB"/>
    <w:rsid w:val="00E36A6D"/>
    <w:rsid w:val="00E37294"/>
    <w:rsid w:val="00E42A8D"/>
    <w:rsid w:val="00E44186"/>
    <w:rsid w:val="00E50CEB"/>
    <w:rsid w:val="00E55950"/>
    <w:rsid w:val="00E55AFE"/>
    <w:rsid w:val="00E60541"/>
    <w:rsid w:val="00E61753"/>
    <w:rsid w:val="00E62965"/>
    <w:rsid w:val="00E67843"/>
    <w:rsid w:val="00E72719"/>
    <w:rsid w:val="00E741D5"/>
    <w:rsid w:val="00E75A8E"/>
    <w:rsid w:val="00E75D0C"/>
    <w:rsid w:val="00E76C11"/>
    <w:rsid w:val="00E76DB1"/>
    <w:rsid w:val="00E77015"/>
    <w:rsid w:val="00E77D63"/>
    <w:rsid w:val="00E803B8"/>
    <w:rsid w:val="00E812F3"/>
    <w:rsid w:val="00E81E21"/>
    <w:rsid w:val="00E84573"/>
    <w:rsid w:val="00E85892"/>
    <w:rsid w:val="00E85F4B"/>
    <w:rsid w:val="00E85FB8"/>
    <w:rsid w:val="00E902A7"/>
    <w:rsid w:val="00E91411"/>
    <w:rsid w:val="00E91AA4"/>
    <w:rsid w:val="00E9219B"/>
    <w:rsid w:val="00E93D83"/>
    <w:rsid w:val="00E9639B"/>
    <w:rsid w:val="00E96432"/>
    <w:rsid w:val="00E96FCC"/>
    <w:rsid w:val="00EA2062"/>
    <w:rsid w:val="00EA2096"/>
    <w:rsid w:val="00EA241D"/>
    <w:rsid w:val="00EA4A28"/>
    <w:rsid w:val="00EA57C1"/>
    <w:rsid w:val="00EA6B19"/>
    <w:rsid w:val="00EB1CC1"/>
    <w:rsid w:val="00EB20CE"/>
    <w:rsid w:val="00EB2398"/>
    <w:rsid w:val="00EB249F"/>
    <w:rsid w:val="00EB45C2"/>
    <w:rsid w:val="00EB56D7"/>
    <w:rsid w:val="00EB6F3B"/>
    <w:rsid w:val="00EC17DE"/>
    <w:rsid w:val="00EC19F2"/>
    <w:rsid w:val="00EC2793"/>
    <w:rsid w:val="00EC4C46"/>
    <w:rsid w:val="00EC4EC4"/>
    <w:rsid w:val="00ED1083"/>
    <w:rsid w:val="00ED2147"/>
    <w:rsid w:val="00ED38EB"/>
    <w:rsid w:val="00ED5E31"/>
    <w:rsid w:val="00ED6091"/>
    <w:rsid w:val="00EE19B7"/>
    <w:rsid w:val="00EE1D33"/>
    <w:rsid w:val="00EE1FC3"/>
    <w:rsid w:val="00EE38E1"/>
    <w:rsid w:val="00EE3DE8"/>
    <w:rsid w:val="00EE6C39"/>
    <w:rsid w:val="00EF1094"/>
    <w:rsid w:val="00EF14A3"/>
    <w:rsid w:val="00EF5E62"/>
    <w:rsid w:val="00EF6858"/>
    <w:rsid w:val="00EF6DF3"/>
    <w:rsid w:val="00F01BAE"/>
    <w:rsid w:val="00F01BF5"/>
    <w:rsid w:val="00F020E7"/>
    <w:rsid w:val="00F03361"/>
    <w:rsid w:val="00F05B55"/>
    <w:rsid w:val="00F06603"/>
    <w:rsid w:val="00F1140A"/>
    <w:rsid w:val="00F115A8"/>
    <w:rsid w:val="00F135A3"/>
    <w:rsid w:val="00F13F8D"/>
    <w:rsid w:val="00F14129"/>
    <w:rsid w:val="00F16558"/>
    <w:rsid w:val="00F211E4"/>
    <w:rsid w:val="00F21BC5"/>
    <w:rsid w:val="00F24753"/>
    <w:rsid w:val="00F24A24"/>
    <w:rsid w:val="00F24A95"/>
    <w:rsid w:val="00F25177"/>
    <w:rsid w:val="00F300C0"/>
    <w:rsid w:val="00F3034D"/>
    <w:rsid w:val="00F31983"/>
    <w:rsid w:val="00F325FA"/>
    <w:rsid w:val="00F338C0"/>
    <w:rsid w:val="00F33D3C"/>
    <w:rsid w:val="00F3410B"/>
    <w:rsid w:val="00F34B66"/>
    <w:rsid w:val="00F34DD2"/>
    <w:rsid w:val="00F353F6"/>
    <w:rsid w:val="00F36962"/>
    <w:rsid w:val="00F36CDE"/>
    <w:rsid w:val="00F37A6E"/>
    <w:rsid w:val="00F40C9C"/>
    <w:rsid w:val="00F40CCD"/>
    <w:rsid w:val="00F4172C"/>
    <w:rsid w:val="00F4284D"/>
    <w:rsid w:val="00F430A9"/>
    <w:rsid w:val="00F43192"/>
    <w:rsid w:val="00F431D3"/>
    <w:rsid w:val="00F45354"/>
    <w:rsid w:val="00F47A10"/>
    <w:rsid w:val="00F534A9"/>
    <w:rsid w:val="00F55508"/>
    <w:rsid w:val="00F558E9"/>
    <w:rsid w:val="00F609D0"/>
    <w:rsid w:val="00F60A4D"/>
    <w:rsid w:val="00F611A9"/>
    <w:rsid w:val="00F62780"/>
    <w:rsid w:val="00F63CFD"/>
    <w:rsid w:val="00F65773"/>
    <w:rsid w:val="00F65C9C"/>
    <w:rsid w:val="00F65F67"/>
    <w:rsid w:val="00F67099"/>
    <w:rsid w:val="00F71182"/>
    <w:rsid w:val="00F77A99"/>
    <w:rsid w:val="00F81505"/>
    <w:rsid w:val="00F82DFB"/>
    <w:rsid w:val="00F8306E"/>
    <w:rsid w:val="00F85229"/>
    <w:rsid w:val="00F856F7"/>
    <w:rsid w:val="00F87B1C"/>
    <w:rsid w:val="00F911C9"/>
    <w:rsid w:val="00F95343"/>
    <w:rsid w:val="00F957B8"/>
    <w:rsid w:val="00F96E37"/>
    <w:rsid w:val="00FA0063"/>
    <w:rsid w:val="00FA0956"/>
    <w:rsid w:val="00FA099E"/>
    <w:rsid w:val="00FA55C3"/>
    <w:rsid w:val="00FA7F2C"/>
    <w:rsid w:val="00FB0A71"/>
    <w:rsid w:val="00FB13D5"/>
    <w:rsid w:val="00FB1673"/>
    <w:rsid w:val="00FB4792"/>
    <w:rsid w:val="00FB52E6"/>
    <w:rsid w:val="00FB5BB7"/>
    <w:rsid w:val="00FC4882"/>
    <w:rsid w:val="00FC51B5"/>
    <w:rsid w:val="00FC652D"/>
    <w:rsid w:val="00FD0B81"/>
    <w:rsid w:val="00FD128A"/>
    <w:rsid w:val="00FD2296"/>
    <w:rsid w:val="00FD4934"/>
    <w:rsid w:val="00FD52D4"/>
    <w:rsid w:val="00FD6BA8"/>
    <w:rsid w:val="00FE0A92"/>
    <w:rsid w:val="00FE0D85"/>
    <w:rsid w:val="00FE1BDA"/>
    <w:rsid w:val="00FE2825"/>
    <w:rsid w:val="00FE32CA"/>
    <w:rsid w:val="00FE439B"/>
    <w:rsid w:val="00FE495F"/>
    <w:rsid w:val="00FF04CD"/>
    <w:rsid w:val="00FF0E17"/>
    <w:rsid w:val="00FF143A"/>
    <w:rsid w:val="00FF1CF6"/>
    <w:rsid w:val="00FF1EA7"/>
    <w:rsid w:val="00FF2555"/>
    <w:rsid w:val="00FF2F87"/>
    <w:rsid w:val="00FF4CC6"/>
    <w:rsid w:val="00FF5268"/>
    <w:rsid w:val="01278718"/>
    <w:rsid w:val="020759A7"/>
    <w:rsid w:val="020B2243"/>
    <w:rsid w:val="02137470"/>
    <w:rsid w:val="0235354A"/>
    <w:rsid w:val="024BCD24"/>
    <w:rsid w:val="025C6673"/>
    <w:rsid w:val="02A7A799"/>
    <w:rsid w:val="02AB4326"/>
    <w:rsid w:val="02D75569"/>
    <w:rsid w:val="030CC60E"/>
    <w:rsid w:val="035B3421"/>
    <w:rsid w:val="0360EC0A"/>
    <w:rsid w:val="03A701F8"/>
    <w:rsid w:val="03BA393E"/>
    <w:rsid w:val="03C6C5F2"/>
    <w:rsid w:val="03DB4634"/>
    <w:rsid w:val="043E29E2"/>
    <w:rsid w:val="047CC7DD"/>
    <w:rsid w:val="04E23C3C"/>
    <w:rsid w:val="04F17ED5"/>
    <w:rsid w:val="050BD323"/>
    <w:rsid w:val="05A9A4F3"/>
    <w:rsid w:val="05ED384F"/>
    <w:rsid w:val="05F1E582"/>
    <w:rsid w:val="062FEF7B"/>
    <w:rsid w:val="06B78A31"/>
    <w:rsid w:val="06CE54AE"/>
    <w:rsid w:val="0864C83A"/>
    <w:rsid w:val="0A2910AC"/>
    <w:rsid w:val="0AFDA58A"/>
    <w:rsid w:val="0BA920A6"/>
    <w:rsid w:val="0C5B4B8F"/>
    <w:rsid w:val="0C9DE579"/>
    <w:rsid w:val="0CD80D53"/>
    <w:rsid w:val="0D394766"/>
    <w:rsid w:val="0D4E6C62"/>
    <w:rsid w:val="0D8CF269"/>
    <w:rsid w:val="0E257AE2"/>
    <w:rsid w:val="0E3C0F60"/>
    <w:rsid w:val="0EA37F6C"/>
    <w:rsid w:val="0EA97F47"/>
    <w:rsid w:val="0ED96693"/>
    <w:rsid w:val="0F238786"/>
    <w:rsid w:val="0F9CCBCA"/>
    <w:rsid w:val="0FB170E0"/>
    <w:rsid w:val="108C3442"/>
    <w:rsid w:val="111A81DB"/>
    <w:rsid w:val="11441BC1"/>
    <w:rsid w:val="1169915F"/>
    <w:rsid w:val="11890E02"/>
    <w:rsid w:val="11BF8C70"/>
    <w:rsid w:val="11DF5C04"/>
    <w:rsid w:val="12091ACA"/>
    <w:rsid w:val="127865A1"/>
    <w:rsid w:val="127D00F5"/>
    <w:rsid w:val="12998910"/>
    <w:rsid w:val="12C0041E"/>
    <w:rsid w:val="12C22028"/>
    <w:rsid w:val="12D10E30"/>
    <w:rsid w:val="1310B621"/>
    <w:rsid w:val="1341D3B1"/>
    <w:rsid w:val="135B237C"/>
    <w:rsid w:val="1366A3CE"/>
    <w:rsid w:val="13C20412"/>
    <w:rsid w:val="13DB0428"/>
    <w:rsid w:val="14492E2C"/>
    <w:rsid w:val="15272DFD"/>
    <w:rsid w:val="15BA63DB"/>
    <w:rsid w:val="15D13434"/>
    <w:rsid w:val="15FF9377"/>
    <w:rsid w:val="1619E272"/>
    <w:rsid w:val="163B7E67"/>
    <w:rsid w:val="164AE10D"/>
    <w:rsid w:val="16A6F55C"/>
    <w:rsid w:val="16AEC422"/>
    <w:rsid w:val="16CAC115"/>
    <w:rsid w:val="1878E271"/>
    <w:rsid w:val="188058DC"/>
    <w:rsid w:val="18C006BF"/>
    <w:rsid w:val="18DB9039"/>
    <w:rsid w:val="191B6B3F"/>
    <w:rsid w:val="19230F5B"/>
    <w:rsid w:val="1931D764"/>
    <w:rsid w:val="19665B17"/>
    <w:rsid w:val="19A03929"/>
    <w:rsid w:val="19C10BE3"/>
    <w:rsid w:val="1A13CC6B"/>
    <w:rsid w:val="1A2801D4"/>
    <w:rsid w:val="1A77215F"/>
    <w:rsid w:val="1A7EDF1A"/>
    <w:rsid w:val="1AE7AFD3"/>
    <w:rsid w:val="1B00021C"/>
    <w:rsid w:val="1BA80F8A"/>
    <w:rsid w:val="1BC063A5"/>
    <w:rsid w:val="1BF403A6"/>
    <w:rsid w:val="1C3C7D09"/>
    <w:rsid w:val="1C68E0AE"/>
    <w:rsid w:val="1D0E5E66"/>
    <w:rsid w:val="1D882818"/>
    <w:rsid w:val="1D9262DE"/>
    <w:rsid w:val="1E559FC4"/>
    <w:rsid w:val="1E70C37F"/>
    <w:rsid w:val="1E963EEC"/>
    <w:rsid w:val="1EFC4295"/>
    <w:rsid w:val="1F0BDDA9"/>
    <w:rsid w:val="1FCA85E6"/>
    <w:rsid w:val="1FF95B57"/>
    <w:rsid w:val="2062B25F"/>
    <w:rsid w:val="209EE6C5"/>
    <w:rsid w:val="215843D4"/>
    <w:rsid w:val="216BCA84"/>
    <w:rsid w:val="219958C6"/>
    <w:rsid w:val="21BB8FA2"/>
    <w:rsid w:val="21FAD1CD"/>
    <w:rsid w:val="222C87F4"/>
    <w:rsid w:val="22341494"/>
    <w:rsid w:val="223FDB79"/>
    <w:rsid w:val="227E639C"/>
    <w:rsid w:val="22CFCE2A"/>
    <w:rsid w:val="22DA0D13"/>
    <w:rsid w:val="237BD982"/>
    <w:rsid w:val="23C7F3AE"/>
    <w:rsid w:val="23DFFB30"/>
    <w:rsid w:val="246C3815"/>
    <w:rsid w:val="247BD5AF"/>
    <w:rsid w:val="24CB5214"/>
    <w:rsid w:val="24D7453E"/>
    <w:rsid w:val="24D8159D"/>
    <w:rsid w:val="25B6045E"/>
    <w:rsid w:val="25EFD6B4"/>
    <w:rsid w:val="262ED302"/>
    <w:rsid w:val="2683C792"/>
    <w:rsid w:val="269D5E89"/>
    <w:rsid w:val="26B37A44"/>
    <w:rsid w:val="26F180C7"/>
    <w:rsid w:val="26FB2A1F"/>
    <w:rsid w:val="2744588E"/>
    <w:rsid w:val="28345243"/>
    <w:rsid w:val="28B7019E"/>
    <w:rsid w:val="28CB1955"/>
    <w:rsid w:val="2998106E"/>
    <w:rsid w:val="29FFB4ED"/>
    <w:rsid w:val="2A9253C5"/>
    <w:rsid w:val="2B85877A"/>
    <w:rsid w:val="2C4199DE"/>
    <w:rsid w:val="2C63B144"/>
    <w:rsid w:val="2CEE952D"/>
    <w:rsid w:val="2CF736D8"/>
    <w:rsid w:val="2D5BE602"/>
    <w:rsid w:val="2D5DD1C0"/>
    <w:rsid w:val="2DC60082"/>
    <w:rsid w:val="2DCC2E5C"/>
    <w:rsid w:val="2DCECA01"/>
    <w:rsid w:val="2DEF2564"/>
    <w:rsid w:val="2DF3342C"/>
    <w:rsid w:val="2E44228A"/>
    <w:rsid w:val="2F09EC5B"/>
    <w:rsid w:val="2FB5AB73"/>
    <w:rsid w:val="2FCAAD30"/>
    <w:rsid w:val="2FD25A97"/>
    <w:rsid w:val="2FE9108D"/>
    <w:rsid w:val="2FF8844F"/>
    <w:rsid w:val="302FC71E"/>
    <w:rsid w:val="31182656"/>
    <w:rsid w:val="3119CDD7"/>
    <w:rsid w:val="31523D1C"/>
    <w:rsid w:val="31F4AAF3"/>
    <w:rsid w:val="3236F1BA"/>
    <w:rsid w:val="323BF703"/>
    <w:rsid w:val="3253308F"/>
    <w:rsid w:val="32B6167C"/>
    <w:rsid w:val="32E6A6F0"/>
    <w:rsid w:val="33302511"/>
    <w:rsid w:val="33707CE6"/>
    <w:rsid w:val="34B3FF13"/>
    <w:rsid w:val="34BACFC0"/>
    <w:rsid w:val="34CBF572"/>
    <w:rsid w:val="350102FC"/>
    <w:rsid w:val="352B59FE"/>
    <w:rsid w:val="357FDC26"/>
    <w:rsid w:val="358FE685"/>
    <w:rsid w:val="3597BF5E"/>
    <w:rsid w:val="359D041F"/>
    <w:rsid w:val="35A7E17A"/>
    <w:rsid w:val="35CB65C6"/>
    <w:rsid w:val="366BDD8D"/>
    <w:rsid w:val="36A81DA8"/>
    <w:rsid w:val="373350A1"/>
    <w:rsid w:val="37475572"/>
    <w:rsid w:val="375A1889"/>
    <w:rsid w:val="38CDB266"/>
    <w:rsid w:val="38E08A54"/>
    <w:rsid w:val="38F5E812"/>
    <w:rsid w:val="3966637E"/>
    <w:rsid w:val="397DDA9B"/>
    <w:rsid w:val="39A6BB92"/>
    <w:rsid w:val="3A094F9A"/>
    <w:rsid w:val="3A31BBD9"/>
    <w:rsid w:val="3AA90B0B"/>
    <w:rsid w:val="3B0EDA0D"/>
    <w:rsid w:val="3B7B8ECB"/>
    <w:rsid w:val="3B8B80BC"/>
    <w:rsid w:val="3B9F3AD7"/>
    <w:rsid w:val="3C0F03A2"/>
    <w:rsid w:val="3C8CBA12"/>
    <w:rsid w:val="3CA4E0E3"/>
    <w:rsid w:val="3CAFBBFD"/>
    <w:rsid w:val="3D5AFFED"/>
    <w:rsid w:val="3E4DC6C1"/>
    <w:rsid w:val="3EA4031F"/>
    <w:rsid w:val="3F0E583B"/>
    <w:rsid w:val="3F54BA78"/>
    <w:rsid w:val="3F79CA3E"/>
    <w:rsid w:val="3FAA2085"/>
    <w:rsid w:val="3FC518E7"/>
    <w:rsid w:val="3FF44178"/>
    <w:rsid w:val="407E93FD"/>
    <w:rsid w:val="40C9B20A"/>
    <w:rsid w:val="41831221"/>
    <w:rsid w:val="41CFC7C2"/>
    <w:rsid w:val="41F02578"/>
    <w:rsid w:val="427A7234"/>
    <w:rsid w:val="430AA7E9"/>
    <w:rsid w:val="431A5DD6"/>
    <w:rsid w:val="437FFD18"/>
    <w:rsid w:val="439879D6"/>
    <w:rsid w:val="43D569D9"/>
    <w:rsid w:val="43EEC5C2"/>
    <w:rsid w:val="43F771C4"/>
    <w:rsid w:val="43F8AB4C"/>
    <w:rsid w:val="44099836"/>
    <w:rsid w:val="44BC06D8"/>
    <w:rsid w:val="44E7FA81"/>
    <w:rsid w:val="4587439E"/>
    <w:rsid w:val="45D079A3"/>
    <w:rsid w:val="4628A4A2"/>
    <w:rsid w:val="470D1A31"/>
    <w:rsid w:val="47588433"/>
    <w:rsid w:val="4765FA26"/>
    <w:rsid w:val="476DAC69"/>
    <w:rsid w:val="47788DA8"/>
    <w:rsid w:val="47D46860"/>
    <w:rsid w:val="485E34EB"/>
    <w:rsid w:val="488EAD64"/>
    <w:rsid w:val="48E4385E"/>
    <w:rsid w:val="495F0465"/>
    <w:rsid w:val="4972B45A"/>
    <w:rsid w:val="49B9CBB8"/>
    <w:rsid w:val="49DCAB7E"/>
    <w:rsid w:val="49FDCFBA"/>
    <w:rsid w:val="4A40985D"/>
    <w:rsid w:val="4A7EB025"/>
    <w:rsid w:val="4B2F0794"/>
    <w:rsid w:val="4B6AFB59"/>
    <w:rsid w:val="4B8791F7"/>
    <w:rsid w:val="4BB9670C"/>
    <w:rsid w:val="4C934B8B"/>
    <w:rsid w:val="4CCB2709"/>
    <w:rsid w:val="4D2F5035"/>
    <w:rsid w:val="4E0AB419"/>
    <w:rsid w:val="4EFFB3E5"/>
    <w:rsid w:val="4F9FAAAB"/>
    <w:rsid w:val="501F3781"/>
    <w:rsid w:val="502C8721"/>
    <w:rsid w:val="5037FA3C"/>
    <w:rsid w:val="50481368"/>
    <w:rsid w:val="50606532"/>
    <w:rsid w:val="50853B18"/>
    <w:rsid w:val="50A4D3FB"/>
    <w:rsid w:val="50C52AE0"/>
    <w:rsid w:val="50C73851"/>
    <w:rsid w:val="51522436"/>
    <w:rsid w:val="516F0A79"/>
    <w:rsid w:val="51C801ED"/>
    <w:rsid w:val="51CBDE12"/>
    <w:rsid w:val="51DB5281"/>
    <w:rsid w:val="523F98EB"/>
    <w:rsid w:val="5242F992"/>
    <w:rsid w:val="531AA73E"/>
    <w:rsid w:val="53225B3D"/>
    <w:rsid w:val="544C2ECD"/>
    <w:rsid w:val="547B1F6F"/>
    <w:rsid w:val="54C0BEB9"/>
    <w:rsid w:val="54CBD601"/>
    <w:rsid w:val="54F75E09"/>
    <w:rsid w:val="55B21807"/>
    <w:rsid w:val="56931890"/>
    <w:rsid w:val="56BBDFEA"/>
    <w:rsid w:val="576F1132"/>
    <w:rsid w:val="576F89B5"/>
    <w:rsid w:val="57944023"/>
    <w:rsid w:val="57C159E5"/>
    <w:rsid w:val="57ECDC66"/>
    <w:rsid w:val="5801DB01"/>
    <w:rsid w:val="58103D15"/>
    <w:rsid w:val="58210A6E"/>
    <w:rsid w:val="58D42BF5"/>
    <w:rsid w:val="58E2B9DE"/>
    <w:rsid w:val="58EE99EA"/>
    <w:rsid w:val="590289CC"/>
    <w:rsid w:val="5923A9B7"/>
    <w:rsid w:val="5953C0AF"/>
    <w:rsid w:val="5963CC96"/>
    <w:rsid w:val="59813DA2"/>
    <w:rsid w:val="5A9FC211"/>
    <w:rsid w:val="5B17395F"/>
    <w:rsid w:val="5B6B08BA"/>
    <w:rsid w:val="5BAFFC92"/>
    <w:rsid w:val="5CD185BF"/>
    <w:rsid w:val="5CE6C1F7"/>
    <w:rsid w:val="5D233F7B"/>
    <w:rsid w:val="5D349DCF"/>
    <w:rsid w:val="5DE24602"/>
    <w:rsid w:val="5E4884B6"/>
    <w:rsid w:val="5E7B05B8"/>
    <w:rsid w:val="5EC12B56"/>
    <w:rsid w:val="5F256576"/>
    <w:rsid w:val="5F2B3F6C"/>
    <w:rsid w:val="5F682E85"/>
    <w:rsid w:val="5FF33405"/>
    <w:rsid w:val="6015D9FA"/>
    <w:rsid w:val="605AE03D"/>
    <w:rsid w:val="606E9D2F"/>
    <w:rsid w:val="60B13104"/>
    <w:rsid w:val="61CB375F"/>
    <w:rsid w:val="61E4A529"/>
    <w:rsid w:val="626338E6"/>
    <w:rsid w:val="62DB7C65"/>
    <w:rsid w:val="63119371"/>
    <w:rsid w:val="63227578"/>
    <w:rsid w:val="63657429"/>
    <w:rsid w:val="63BB660D"/>
    <w:rsid w:val="63C9B998"/>
    <w:rsid w:val="63DEED94"/>
    <w:rsid w:val="64085AF8"/>
    <w:rsid w:val="641076EF"/>
    <w:rsid w:val="64407366"/>
    <w:rsid w:val="649E6C24"/>
    <w:rsid w:val="64AA1D3D"/>
    <w:rsid w:val="64E42FB3"/>
    <w:rsid w:val="65554B41"/>
    <w:rsid w:val="663140C1"/>
    <w:rsid w:val="6637F09A"/>
    <w:rsid w:val="66AF79DD"/>
    <w:rsid w:val="66E19161"/>
    <w:rsid w:val="6751558B"/>
    <w:rsid w:val="67CB8294"/>
    <w:rsid w:val="67D7F200"/>
    <w:rsid w:val="68853E26"/>
    <w:rsid w:val="68A77249"/>
    <w:rsid w:val="68C9F031"/>
    <w:rsid w:val="68D1E2F2"/>
    <w:rsid w:val="695C965C"/>
    <w:rsid w:val="697E5116"/>
    <w:rsid w:val="69AA1013"/>
    <w:rsid w:val="6A53EBC4"/>
    <w:rsid w:val="6A740C47"/>
    <w:rsid w:val="6AB4AD41"/>
    <w:rsid w:val="6AF2333A"/>
    <w:rsid w:val="6BA1FF36"/>
    <w:rsid w:val="6BAB844E"/>
    <w:rsid w:val="6BFD6310"/>
    <w:rsid w:val="6CF60F9F"/>
    <w:rsid w:val="6CFBE4E6"/>
    <w:rsid w:val="6D272695"/>
    <w:rsid w:val="6D31993C"/>
    <w:rsid w:val="6DB9A4BE"/>
    <w:rsid w:val="6DD447B5"/>
    <w:rsid w:val="6DD9D97B"/>
    <w:rsid w:val="6E726226"/>
    <w:rsid w:val="6EAE5D42"/>
    <w:rsid w:val="6F4814E2"/>
    <w:rsid w:val="6F96B325"/>
    <w:rsid w:val="6FC6ABF2"/>
    <w:rsid w:val="6FEFBDA9"/>
    <w:rsid w:val="709F53F6"/>
    <w:rsid w:val="70B15AFF"/>
    <w:rsid w:val="70D6911D"/>
    <w:rsid w:val="7111FF08"/>
    <w:rsid w:val="711B69DC"/>
    <w:rsid w:val="713777B9"/>
    <w:rsid w:val="723CC742"/>
    <w:rsid w:val="728E32AB"/>
    <w:rsid w:val="72C710F4"/>
    <w:rsid w:val="7325335C"/>
    <w:rsid w:val="7362E5FC"/>
    <w:rsid w:val="736977FA"/>
    <w:rsid w:val="737C2F6B"/>
    <w:rsid w:val="73DD89A4"/>
    <w:rsid w:val="74128602"/>
    <w:rsid w:val="74400440"/>
    <w:rsid w:val="74785071"/>
    <w:rsid w:val="74AAE379"/>
    <w:rsid w:val="74BB4241"/>
    <w:rsid w:val="74C5024A"/>
    <w:rsid w:val="75063DE2"/>
    <w:rsid w:val="7553759E"/>
    <w:rsid w:val="75992CFF"/>
    <w:rsid w:val="7617A1A2"/>
    <w:rsid w:val="761E374B"/>
    <w:rsid w:val="76433100"/>
    <w:rsid w:val="7653BD5F"/>
    <w:rsid w:val="76A27E4D"/>
    <w:rsid w:val="76B55201"/>
    <w:rsid w:val="7787AC2D"/>
    <w:rsid w:val="77BEC244"/>
    <w:rsid w:val="77DCC993"/>
    <w:rsid w:val="7808B161"/>
    <w:rsid w:val="78539BAF"/>
    <w:rsid w:val="785C1F24"/>
    <w:rsid w:val="7883C14D"/>
    <w:rsid w:val="78E2B590"/>
    <w:rsid w:val="78EC9DAD"/>
    <w:rsid w:val="793D3AE2"/>
    <w:rsid w:val="796CB302"/>
    <w:rsid w:val="79BC485E"/>
    <w:rsid w:val="7A0501B4"/>
    <w:rsid w:val="7A415B66"/>
    <w:rsid w:val="7A4A9953"/>
    <w:rsid w:val="7A6AAEC0"/>
    <w:rsid w:val="7ADA8F7E"/>
    <w:rsid w:val="7B66910F"/>
    <w:rsid w:val="7B6F09DC"/>
    <w:rsid w:val="7C04FC0A"/>
    <w:rsid w:val="7C065912"/>
    <w:rsid w:val="7C2697EA"/>
    <w:rsid w:val="7C8E5144"/>
    <w:rsid w:val="7CC0169A"/>
    <w:rsid w:val="7D9B1518"/>
    <w:rsid w:val="7DBB361B"/>
    <w:rsid w:val="7E687D7B"/>
    <w:rsid w:val="7EDFCEC1"/>
    <w:rsid w:val="7EFFE78A"/>
    <w:rsid w:val="7F294E9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9CF1F"/>
  <w15:docId w15:val="{A4442F34-AB32-4369-BDDA-678C061C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5E"/>
    <w:pPr>
      <w:spacing w:after="5" w:line="249" w:lineRule="auto"/>
      <w:ind w:left="446" w:hanging="367"/>
      <w:jc w:val="both"/>
    </w:pPr>
    <w:rPr>
      <w:rFonts w:ascii="Calibri" w:eastAsia="Calibri" w:hAnsi="Calibri" w:cs="Calibri"/>
      <w:color w:val="000000"/>
      <w:sz w:val="23"/>
      <w:lang w:eastAsia="en-IE"/>
    </w:rPr>
  </w:style>
  <w:style w:type="paragraph" w:styleId="Heading1">
    <w:name w:val="heading 1"/>
    <w:basedOn w:val="Normal"/>
    <w:link w:val="Heading1Char"/>
    <w:uiPriority w:val="9"/>
    <w:qFormat/>
    <w:rsid w:val="001E6284"/>
    <w:pPr>
      <w:widowControl w:val="0"/>
      <w:autoSpaceDE w:val="0"/>
      <w:autoSpaceDN w:val="0"/>
      <w:spacing w:after="0" w:line="240" w:lineRule="auto"/>
      <w:ind w:left="100" w:firstLine="0"/>
      <w:outlineLvl w:val="0"/>
    </w:pPr>
    <w:rPr>
      <w:b/>
      <w:bCs/>
      <w:color w:val="auto"/>
      <w:kern w:val="0"/>
      <w:szCs w:val="23"/>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E4E5E"/>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paragraph" w:customStyle="1" w:styleId="paragraph">
    <w:name w:val="paragraph"/>
    <w:basedOn w:val="Normal"/>
    <w:rsid w:val="008E4E5E"/>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customStyle="1" w:styleId="textrun">
    <w:name w:val="textrun"/>
    <w:basedOn w:val="DefaultParagraphFont"/>
    <w:rsid w:val="008E4E5E"/>
  </w:style>
  <w:style w:type="character" w:customStyle="1" w:styleId="normaltextrun">
    <w:name w:val="normaltextrun"/>
    <w:basedOn w:val="DefaultParagraphFont"/>
    <w:rsid w:val="008E4E5E"/>
  </w:style>
  <w:style w:type="character" w:customStyle="1" w:styleId="eop">
    <w:name w:val="eop"/>
    <w:basedOn w:val="DefaultParagraphFont"/>
    <w:rsid w:val="008E4E5E"/>
  </w:style>
  <w:style w:type="paragraph" w:customStyle="1" w:styleId="outlineelement">
    <w:name w:val="outlineelement"/>
    <w:basedOn w:val="Normal"/>
    <w:rsid w:val="008E4E5E"/>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Hyperlink">
    <w:name w:val="Hyperlink"/>
    <w:basedOn w:val="DefaultParagraphFont"/>
    <w:uiPriority w:val="99"/>
    <w:unhideWhenUsed/>
    <w:rsid w:val="000A0D44"/>
    <w:rPr>
      <w:color w:val="0000FF"/>
      <w:u w:val="single"/>
    </w:rPr>
  </w:style>
  <w:style w:type="paragraph" w:styleId="ListParagraph">
    <w:name w:val="List Paragraph"/>
    <w:basedOn w:val="Normal"/>
    <w:uiPriority w:val="34"/>
    <w:qFormat/>
    <w:rsid w:val="0063712B"/>
    <w:pPr>
      <w:ind w:left="720"/>
      <w:contextualSpacing/>
    </w:pPr>
  </w:style>
  <w:style w:type="paragraph" w:customStyle="1" w:styleId="TableParagraph">
    <w:name w:val="Table Paragraph"/>
    <w:basedOn w:val="Normal"/>
    <w:uiPriority w:val="1"/>
    <w:qFormat/>
    <w:rsid w:val="0051598F"/>
    <w:pPr>
      <w:widowControl w:val="0"/>
      <w:autoSpaceDE w:val="0"/>
      <w:autoSpaceDN w:val="0"/>
      <w:spacing w:before="8" w:after="0" w:line="256" w:lineRule="exact"/>
      <w:ind w:left="0" w:firstLine="0"/>
      <w:jc w:val="left"/>
    </w:pPr>
    <w:rPr>
      <w:color w:val="auto"/>
      <w:kern w:val="0"/>
      <w:sz w:val="22"/>
      <w:lang w:val="en-US" w:eastAsia="en-US"/>
      <w14:ligatures w14:val="none"/>
    </w:rPr>
  </w:style>
  <w:style w:type="paragraph" w:styleId="Header">
    <w:name w:val="header"/>
    <w:basedOn w:val="Normal"/>
    <w:link w:val="HeaderChar"/>
    <w:uiPriority w:val="99"/>
    <w:unhideWhenUsed/>
    <w:rsid w:val="00CF4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6AE"/>
    <w:rPr>
      <w:rFonts w:ascii="Calibri" w:eastAsia="Calibri" w:hAnsi="Calibri" w:cs="Calibri"/>
      <w:color w:val="000000"/>
      <w:sz w:val="23"/>
      <w:lang w:eastAsia="en-IE"/>
    </w:rPr>
  </w:style>
  <w:style w:type="paragraph" w:styleId="Footer">
    <w:name w:val="footer"/>
    <w:basedOn w:val="Normal"/>
    <w:link w:val="FooterChar"/>
    <w:uiPriority w:val="99"/>
    <w:unhideWhenUsed/>
    <w:rsid w:val="00CF4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6AE"/>
    <w:rPr>
      <w:rFonts w:ascii="Calibri" w:eastAsia="Calibri" w:hAnsi="Calibri" w:cs="Calibri"/>
      <w:color w:val="000000"/>
      <w:sz w:val="23"/>
      <w:lang w:eastAsia="en-IE"/>
    </w:rPr>
  </w:style>
  <w:style w:type="character" w:customStyle="1" w:styleId="Heading1Char">
    <w:name w:val="Heading 1 Char"/>
    <w:basedOn w:val="DefaultParagraphFont"/>
    <w:link w:val="Heading1"/>
    <w:uiPriority w:val="9"/>
    <w:rsid w:val="001E6284"/>
    <w:rPr>
      <w:rFonts w:ascii="Calibri" w:eastAsia="Calibri" w:hAnsi="Calibri" w:cs="Calibri"/>
      <w:b/>
      <w:bCs/>
      <w:kern w:val="0"/>
      <w:sz w:val="23"/>
      <w:szCs w:val="23"/>
      <w:lang w:val="en-US"/>
      <w14:ligatures w14:val="none"/>
    </w:rPr>
  </w:style>
  <w:style w:type="paragraph" w:styleId="BodyText">
    <w:name w:val="Body Text"/>
    <w:basedOn w:val="Normal"/>
    <w:link w:val="BodyTextChar"/>
    <w:uiPriority w:val="1"/>
    <w:qFormat/>
    <w:rsid w:val="001E6284"/>
    <w:pPr>
      <w:widowControl w:val="0"/>
      <w:autoSpaceDE w:val="0"/>
      <w:autoSpaceDN w:val="0"/>
      <w:spacing w:after="0" w:line="240" w:lineRule="auto"/>
      <w:ind w:left="527" w:hanging="428"/>
    </w:pPr>
    <w:rPr>
      <w:color w:val="auto"/>
      <w:kern w:val="0"/>
      <w:szCs w:val="23"/>
      <w:lang w:val="en-US" w:eastAsia="en-US"/>
      <w14:ligatures w14:val="none"/>
    </w:rPr>
  </w:style>
  <w:style w:type="character" w:customStyle="1" w:styleId="BodyTextChar">
    <w:name w:val="Body Text Char"/>
    <w:basedOn w:val="DefaultParagraphFont"/>
    <w:link w:val="BodyText"/>
    <w:uiPriority w:val="1"/>
    <w:rsid w:val="001E6284"/>
    <w:rPr>
      <w:rFonts w:ascii="Calibri" w:eastAsia="Calibri" w:hAnsi="Calibri" w:cs="Calibri"/>
      <w:kern w:val="0"/>
      <w:sz w:val="23"/>
      <w:szCs w:val="23"/>
      <w:lang w:val="en-US"/>
      <w14:ligatures w14:val="none"/>
    </w:rPr>
  </w:style>
  <w:style w:type="character" w:styleId="UnresolvedMention">
    <w:name w:val="Unresolved Mention"/>
    <w:basedOn w:val="DefaultParagraphFont"/>
    <w:uiPriority w:val="99"/>
    <w:semiHidden/>
    <w:unhideWhenUsed/>
    <w:rsid w:val="003F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570">
      <w:bodyDiv w:val="1"/>
      <w:marLeft w:val="0"/>
      <w:marRight w:val="0"/>
      <w:marTop w:val="0"/>
      <w:marBottom w:val="0"/>
      <w:divBdr>
        <w:top w:val="none" w:sz="0" w:space="0" w:color="auto"/>
        <w:left w:val="none" w:sz="0" w:space="0" w:color="auto"/>
        <w:bottom w:val="none" w:sz="0" w:space="0" w:color="auto"/>
        <w:right w:val="none" w:sz="0" w:space="0" w:color="auto"/>
      </w:divBdr>
      <w:divsChild>
        <w:div w:id="313995516">
          <w:marLeft w:val="0"/>
          <w:marRight w:val="0"/>
          <w:marTop w:val="0"/>
          <w:marBottom w:val="0"/>
          <w:divBdr>
            <w:top w:val="none" w:sz="0" w:space="0" w:color="auto"/>
            <w:left w:val="none" w:sz="0" w:space="0" w:color="auto"/>
            <w:bottom w:val="none" w:sz="0" w:space="0" w:color="auto"/>
            <w:right w:val="none" w:sz="0" w:space="0" w:color="auto"/>
          </w:divBdr>
          <w:divsChild>
            <w:div w:id="231237820">
              <w:marLeft w:val="0"/>
              <w:marRight w:val="0"/>
              <w:marTop w:val="0"/>
              <w:marBottom w:val="0"/>
              <w:divBdr>
                <w:top w:val="none" w:sz="0" w:space="0" w:color="auto"/>
                <w:left w:val="none" w:sz="0" w:space="0" w:color="auto"/>
                <w:bottom w:val="none" w:sz="0" w:space="0" w:color="auto"/>
                <w:right w:val="none" w:sz="0" w:space="0" w:color="auto"/>
              </w:divBdr>
            </w:div>
            <w:div w:id="724794937">
              <w:marLeft w:val="0"/>
              <w:marRight w:val="0"/>
              <w:marTop w:val="0"/>
              <w:marBottom w:val="0"/>
              <w:divBdr>
                <w:top w:val="none" w:sz="0" w:space="0" w:color="auto"/>
                <w:left w:val="none" w:sz="0" w:space="0" w:color="auto"/>
                <w:bottom w:val="none" w:sz="0" w:space="0" w:color="auto"/>
                <w:right w:val="none" w:sz="0" w:space="0" w:color="auto"/>
              </w:divBdr>
            </w:div>
            <w:div w:id="978071747">
              <w:marLeft w:val="0"/>
              <w:marRight w:val="0"/>
              <w:marTop w:val="0"/>
              <w:marBottom w:val="0"/>
              <w:divBdr>
                <w:top w:val="none" w:sz="0" w:space="0" w:color="auto"/>
                <w:left w:val="none" w:sz="0" w:space="0" w:color="auto"/>
                <w:bottom w:val="none" w:sz="0" w:space="0" w:color="auto"/>
                <w:right w:val="none" w:sz="0" w:space="0" w:color="auto"/>
              </w:divBdr>
            </w:div>
            <w:div w:id="1399160265">
              <w:marLeft w:val="0"/>
              <w:marRight w:val="0"/>
              <w:marTop w:val="0"/>
              <w:marBottom w:val="0"/>
              <w:divBdr>
                <w:top w:val="none" w:sz="0" w:space="0" w:color="auto"/>
                <w:left w:val="none" w:sz="0" w:space="0" w:color="auto"/>
                <w:bottom w:val="none" w:sz="0" w:space="0" w:color="auto"/>
                <w:right w:val="none" w:sz="0" w:space="0" w:color="auto"/>
              </w:divBdr>
            </w:div>
            <w:div w:id="1951617852">
              <w:marLeft w:val="0"/>
              <w:marRight w:val="0"/>
              <w:marTop w:val="0"/>
              <w:marBottom w:val="0"/>
              <w:divBdr>
                <w:top w:val="none" w:sz="0" w:space="0" w:color="auto"/>
                <w:left w:val="none" w:sz="0" w:space="0" w:color="auto"/>
                <w:bottom w:val="none" w:sz="0" w:space="0" w:color="auto"/>
                <w:right w:val="none" w:sz="0" w:space="0" w:color="auto"/>
              </w:divBdr>
            </w:div>
          </w:divsChild>
        </w:div>
        <w:div w:id="410664422">
          <w:marLeft w:val="0"/>
          <w:marRight w:val="0"/>
          <w:marTop w:val="0"/>
          <w:marBottom w:val="0"/>
          <w:divBdr>
            <w:top w:val="none" w:sz="0" w:space="0" w:color="auto"/>
            <w:left w:val="none" w:sz="0" w:space="0" w:color="auto"/>
            <w:bottom w:val="none" w:sz="0" w:space="0" w:color="auto"/>
            <w:right w:val="none" w:sz="0" w:space="0" w:color="auto"/>
          </w:divBdr>
          <w:divsChild>
            <w:div w:id="221867417">
              <w:marLeft w:val="0"/>
              <w:marRight w:val="0"/>
              <w:marTop w:val="0"/>
              <w:marBottom w:val="0"/>
              <w:divBdr>
                <w:top w:val="none" w:sz="0" w:space="0" w:color="auto"/>
                <w:left w:val="none" w:sz="0" w:space="0" w:color="auto"/>
                <w:bottom w:val="none" w:sz="0" w:space="0" w:color="auto"/>
                <w:right w:val="none" w:sz="0" w:space="0" w:color="auto"/>
              </w:divBdr>
            </w:div>
            <w:div w:id="638269231">
              <w:marLeft w:val="0"/>
              <w:marRight w:val="0"/>
              <w:marTop w:val="0"/>
              <w:marBottom w:val="0"/>
              <w:divBdr>
                <w:top w:val="none" w:sz="0" w:space="0" w:color="auto"/>
                <w:left w:val="none" w:sz="0" w:space="0" w:color="auto"/>
                <w:bottom w:val="none" w:sz="0" w:space="0" w:color="auto"/>
                <w:right w:val="none" w:sz="0" w:space="0" w:color="auto"/>
              </w:divBdr>
            </w:div>
            <w:div w:id="819079587">
              <w:marLeft w:val="0"/>
              <w:marRight w:val="0"/>
              <w:marTop w:val="0"/>
              <w:marBottom w:val="0"/>
              <w:divBdr>
                <w:top w:val="none" w:sz="0" w:space="0" w:color="auto"/>
                <w:left w:val="none" w:sz="0" w:space="0" w:color="auto"/>
                <w:bottom w:val="none" w:sz="0" w:space="0" w:color="auto"/>
                <w:right w:val="none" w:sz="0" w:space="0" w:color="auto"/>
              </w:divBdr>
            </w:div>
            <w:div w:id="1492260113">
              <w:marLeft w:val="0"/>
              <w:marRight w:val="0"/>
              <w:marTop w:val="0"/>
              <w:marBottom w:val="0"/>
              <w:divBdr>
                <w:top w:val="none" w:sz="0" w:space="0" w:color="auto"/>
                <w:left w:val="none" w:sz="0" w:space="0" w:color="auto"/>
                <w:bottom w:val="none" w:sz="0" w:space="0" w:color="auto"/>
                <w:right w:val="none" w:sz="0" w:space="0" w:color="auto"/>
              </w:divBdr>
            </w:div>
            <w:div w:id="1663050101">
              <w:marLeft w:val="0"/>
              <w:marRight w:val="0"/>
              <w:marTop w:val="0"/>
              <w:marBottom w:val="0"/>
              <w:divBdr>
                <w:top w:val="none" w:sz="0" w:space="0" w:color="auto"/>
                <w:left w:val="none" w:sz="0" w:space="0" w:color="auto"/>
                <w:bottom w:val="none" w:sz="0" w:space="0" w:color="auto"/>
                <w:right w:val="none" w:sz="0" w:space="0" w:color="auto"/>
              </w:divBdr>
            </w:div>
          </w:divsChild>
        </w:div>
        <w:div w:id="582833993">
          <w:marLeft w:val="0"/>
          <w:marRight w:val="0"/>
          <w:marTop w:val="0"/>
          <w:marBottom w:val="0"/>
          <w:divBdr>
            <w:top w:val="none" w:sz="0" w:space="0" w:color="auto"/>
            <w:left w:val="none" w:sz="0" w:space="0" w:color="auto"/>
            <w:bottom w:val="none" w:sz="0" w:space="0" w:color="auto"/>
            <w:right w:val="none" w:sz="0" w:space="0" w:color="auto"/>
          </w:divBdr>
          <w:divsChild>
            <w:div w:id="184562698">
              <w:marLeft w:val="0"/>
              <w:marRight w:val="0"/>
              <w:marTop w:val="0"/>
              <w:marBottom w:val="0"/>
              <w:divBdr>
                <w:top w:val="none" w:sz="0" w:space="0" w:color="auto"/>
                <w:left w:val="none" w:sz="0" w:space="0" w:color="auto"/>
                <w:bottom w:val="none" w:sz="0" w:space="0" w:color="auto"/>
                <w:right w:val="none" w:sz="0" w:space="0" w:color="auto"/>
              </w:divBdr>
            </w:div>
            <w:div w:id="319431520">
              <w:marLeft w:val="0"/>
              <w:marRight w:val="0"/>
              <w:marTop w:val="0"/>
              <w:marBottom w:val="0"/>
              <w:divBdr>
                <w:top w:val="none" w:sz="0" w:space="0" w:color="auto"/>
                <w:left w:val="none" w:sz="0" w:space="0" w:color="auto"/>
                <w:bottom w:val="none" w:sz="0" w:space="0" w:color="auto"/>
                <w:right w:val="none" w:sz="0" w:space="0" w:color="auto"/>
              </w:divBdr>
            </w:div>
            <w:div w:id="378751491">
              <w:marLeft w:val="0"/>
              <w:marRight w:val="0"/>
              <w:marTop w:val="0"/>
              <w:marBottom w:val="0"/>
              <w:divBdr>
                <w:top w:val="none" w:sz="0" w:space="0" w:color="auto"/>
                <w:left w:val="none" w:sz="0" w:space="0" w:color="auto"/>
                <w:bottom w:val="none" w:sz="0" w:space="0" w:color="auto"/>
                <w:right w:val="none" w:sz="0" w:space="0" w:color="auto"/>
              </w:divBdr>
            </w:div>
            <w:div w:id="509024959">
              <w:marLeft w:val="0"/>
              <w:marRight w:val="0"/>
              <w:marTop w:val="0"/>
              <w:marBottom w:val="0"/>
              <w:divBdr>
                <w:top w:val="none" w:sz="0" w:space="0" w:color="auto"/>
                <w:left w:val="none" w:sz="0" w:space="0" w:color="auto"/>
                <w:bottom w:val="none" w:sz="0" w:space="0" w:color="auto"/>
                <w:right w:val="none" w:sz="0" w:space="0" w:color="auto"/>
              </w:divBdr>
            </w:div>
            <w:div w:id="555506434">
              <w:marLeft w:val="0"/>
              <w:marRight w:val="0"/>
              <w:marTop w:val="0"/>
              <w:marBottom w:val="0"/>
              <w:divBdr>
                <w:top w:val="none" w:sz="0" w:space="0" w:color="auto"/>
                <w:left w:val="none" w:sz="0" w:space="0" w:color="auto"/>
                <w:bottom w:val="none" w:sz="0" w:space="0" w:color="auto"/>
                <w:right w:val="none" w:sz="0" w:space="0" w:color="auto"/>
              </w:divBdr>
            </w:div>
            <w:div w:id="564610062">
              <w:marLeft w:val="0"/>
              <w:marRight w:val="0"/>
              <w:marTop w:val="0"/>
              <w:marBottom w:val="0"/>
              <w:divBdr>
                <w:top w:val="none" w:sz="0" w:space="0" w:color="auto"/>
                <w:left w:val="none" w:sz="0" w:space="0" w:color="auto"/>
                <w:bottom w:val="none" w:sz="0" w:space="0" w:color="auto"/>
                <w:right w:val="none" w:sz="0" w:space="0" w:color="auto"/>
              </w:divBdr>
            </w:div>
            <w:div w:id="1265916520">
              <w:marLeft w:val="0"/>
              <w:marRight w:val="0"/>
              <w:marTop w:val="0"/>
              <w:marBottom w:val="0"/>
              <w:divBdr>
                <w:top w:val="none" w:sz="0" w:space="0" w:color="auto"/>
                <w:left w:val="none" w:sz="0" w:space="0" w:color="auto"/>
                <w:bottom w:val="none" w:sz="0" w:space="0" w:color="auto"/>
                <w:right w:val="none" w:sz="0" w:space="0" w:color="auto"/>
              </w:divBdr>
            </w:div>
            <w:div w:id="1404063679">
              <w:marLeft w:val="0"/>
              <w:marRight w:val="0"/>
              <w:marTop w:val="0"/>
              <w:marBottom w:val="0"/>
              <w:divBdr>
                <w:top w:val="none" w:sz="0" w:space="0" w:color="auto"/>
                <w:left w:val="none" w:sz="0" w:space="0" w:color="auto"/>
                <w:bottom w:val="none" w:sz="0" w:space="0" w:color="auto"/>
                <w:right w:val="none" w:sz="0" w:space="0" w:color="auto"/>
              </w:divBdr>
            </w:div>
            <w:div w:id="1766029409">
              <w:marLeft w:val="0"/>
              <w:marRight w:val="0"/>
              <w:marTop w:val="0"/>
              <w:marBottom w:val="0"/>
              <w:divBdr>
                <w:top w:val="none" w:sz="0" w:space="0" w:color="auto"/>
                <w:left w:val="none" w:sz="0" w:space="0" w:color="auto"/>
                <w:bottom w:val="none" w:sz="0" w:space="0" w:color="auto"/>
                <w:right w:val="none" w:sz="0" w:space="0" w:color="auto"/>
              </w:divBdr>
            </w:div>
            <w:div w:id="1928029505">
              <w:marLeft w:val="0"/>
              <w:marRight w:val="0"/>
              <w:marTop w:val="0"/>
              <w:marBottom w:val="0"/>
              <w:divBdr>
                <w:top w:val="none" w:sz="0" w:space="0" w:color="auto"/>
                <w:left w:val="none" w:sz="0" w:space="0" w:color="auto"/>
                <w:bottom w:val="none" w:sz="0" w:space="0" w:color="auto"/>
                <w:right w:val="none" w:sz="0" w:space="0" w:color="auto"/>
              </w:divBdr>
            </w:div>
          </w:divsChild>
        </w:div>
        <w:div w:id="778917547">
          <w:marLeft w:val="0"/>
          <w:marRight w:val="0"/>
          <w:marTop w:val="0"/>
          <w:marBottom w:val="0"/>
          <w:divBdr>
            <w:top w:val="none" w:sz="0" w:space="0" w:color="auto"/>
            <w:left w:val="none" w:sz="0" w:space="0" w:color="auto"/>
            <w:bottom w:val="none" w:sz="0" w:space="0" w:color="auto"/>
            <w:right w:val="none" w:sz="0" w:space="0" w:color="auto"/>
          </w:divBdr>
          <w:divsChild>
            <w:div w:id="419639928">
              <w:marLeft w:val="0"/>
              <w:marRight w:val="0"/>
              <w:marTop w:val="0"/>
              <w:marBottom w:val="0"/>
              <w:divBdr>
                <w:top w:val="none" w:sz="0" w:space="0" w:color="auto"/>
                <w:left w:val="none" w:sz="0" w:space="0" w:color="auto"/>
                <w:bottom w:val="none" w:sz="0" w:space="0" w:color="auto"/>
                <w:right w:val="none" w:sz="0" w:space="0" w:color="auto"/>
              </w:divBdr>
            </w:div>
            <w:div w:id="767433548">
              <w:marLeft w:val="0"/>
              <w:marRight w:val="0"/>
              <w:marTop w:val="0"/>
              <w:marBottom w:val="0"/>
              <w:divBdr>
                <w:top w:val="none" w:sz="0" w:space="0" w:color="auto"/>
                <w:left w:val="none" w:sz="0" w:space="0" w:color="auto"/>
                <w:bottom w:val="none" w:sz="0" w:space="0" w:color="auto"/>
                <w:right w:val="none" w:sz="0" w:space="0" w:color="auto"/>
              </w:divBdr>
            </w:div>
            <w:div w:id="811944184">
              <w:marLeft w:val="0"/>
              <w:marRight w:val="0"/>
              <w:marTop w:val="0"/>
              <w:marBottom w:val="0"/>
              <w:divBdr>
                <w:top w:val="none" w:sz="0" w:space="0" w:color="auto"/>
                <w:left w:val="none" w:sz="0" w:space="0" w:color="auto"/>
                <w:bottom w:val="none" w:sz="0" w:space="0" w:color="auto"/>
                <w:right w:val="none" w:sz="0" w:space="0" w:color="auto"/>
              </w:divBdr>
            </w:div>
            <w:div w:id="1254819023">
              <w:marLeft w:val="0"/>
              <w:marRight w:val="0"/>
              <w:marTop w:val="0"/>
              <w:marBottom w:val="0"/>
              <w:divBdr>
                <w:top w:val="none" w:sz="0" w:space="0" w:color="auto"/>
                <w:left w:val="none" w:sz="0" w:space="0" w:color="auto"/>
                <w:bottom w:val="none" w:sz="0" w:space="0" w:color="auto"/>
                <w:right w:val="none" w:sz="0" w:space="0" w:color="auto"/>
              </w:divBdr>
            </w:div>
            <w:div w:id="1982733523">
              <w:marLeft w:val="0"/>
              <w:marRight w:val="0"/>
              <w:marTop w:val="0"/>
              <w:marBottom w:val="0"/>
              <w:divBdr>
                <w:top w:val="none" w:sz="0" w:space="0" w:color="auto"/>
                <w:left w:val="none" w:sz="0" w:space="0" w:color="auto"/>
                <w:bottom w:val="none" w:sz="0" w:space="0" w:color="auto"/>
                <w:right w:val="none" w:sz="0" w:space="0" w:color="auto"/>
              </w:divBdr>
            </w:div>
            <w:div w:id="1994478876">
              <w:marLeft w:val="0"/>
              <w:marRight w:val="0"/>
              <w:marTop w:val="0"/>
              <w:marBottom w:val="0"/>
              <w:divBdr>
                <w:top w:val="none" w:sz="0" w:space="0" w:color="auto"/>
                <w:left w:val="none" w:sz="0" w:space="0" w:color="auto"/>
                <w:bottom w:val="none" w:sz="0" w:space="0" w:color="auto"/>
                <w:right w:val="none" w:sz="0" w:space="0" w:color="auto"/>
              </w:divBdr>
            </w:div>
          </w:divsChild>
        </w:div>
        <w:div w:id="1620455817">
          <w:marLeft w:val="0"/>
          <w:marRight w:val="0"/>
          <w:marTop w:val="0"/>
          <w:marBottom w:val="0"/>
          <w:divBdr>
            <w:top w:val="none" w:sz="0" w:space="0" w:color="auto"/>
            <w:left w:val="none" w:sz="0" w:space="0" w:color="auto"/>
            <w:bottom w:val="none" w:sz="0" w:space="0" w:color="auto"/>
            <w:right w:val="none" w:sz="0" w:space="0" w:color="auto"/>
          </w:divBdr>
          <w:divsChild>
            <w:div w:id="167645654">
              <w:marLeft w:val="0"/>
              <w:marRight w:val="0"/>
              <w:marTop w:val="0"/>
              <w:marBottom w:val="0"/>
              <w:divBdr>
                <w:top w:val="none" w:sz="0" w:space="0" w:color="auto"/>
                <w:left w:val="none" w:sz="0" w:space="0" w:color="auto"/>
                <w:bottom w:val="none" w:sz="0" w:space="0" w:color="auto"/>
                <w:right w:val="none" w:sz="0" w:space="0" w:color="auto"/>
              </w:divBdr>
            </w:div>
            <w:div w:id="499085220">
              <w:marLeft w:val="0"/>
              <w:marRight w:val="0"/>
              <w:marTop w:val="0"/>
              <w:marBottom w:val="0"/>
              <w:divBdr>
                <w:top w:val="none" w:sz="0" w:space="0" w:color="auto"/>
                <w:left w:val="none" w:sz="0" w:space="0" w:color="auto"/>
                <w:bottom w:val="none" w:sz="0" w:space="0" w:color="auto"/>
                <w:right w:val="none" w:sz="0" w:space="0" w:color="auto"/>
              </w:divBdr>
            </w:div>
            <w:div w:id="615988402">
              <w:marLeft w:val="0"/>
              <w:marRight w:val="0"/>
              <w:marTop w:val="0"/>
              <w:marBottom w:val="0"/>
              <w:divBdr>
                <w:top w:val="none" w:sz="0" w:space="0" w:color="auto"/>
                <w:left w:val="none" w:sz="0" w:space="0" w:color="auto"/>
                <w:bottom w:val="none" w:sz="0" w:space="0" w:color="auto"/>
                <w:right w:val="none" w:sz="0" w:space="0" w:color="auto"/>
              </w:divBdr>
            </w:div>
            <w:div w:id="991106949">
              <w:marLeft w:val="0"/>
              <w:marRight w:val="0"/>
              <w:marTop w:val="0"/>
              <w:marBottom w:val="0"/>
              <w:divBdr>
                <w:top w:val="none" w:sz="0" w:space="0" w:color="auto"/>
                <w:left w:val="none" w:sz="0" w:space="0" w:color="auto"/>
                <w:bottom w:val="none" w:sz="0" w:space="0" w:color="auto"/>
                <w:right w:val="none" w:sz="0" w:space="0" w:color="auto"/>
              </w:divBdr>
            </w:div>
            <w:div w:id="1409229787">
              <w:marLeft w:val="0"/>
              <w:marRight w:val="0"/>
              <w:marTop w:val="0"/>
              <w:marBottom w:val="0"/>
              <w:divBdr>
                <w:top w:val="none" w:sz="0" w:space="0" w:color="auto"/>
                <w:left w:val="none" w:sz="0" w:space="0" w:color="auto"/>
                <w:bottom w:val="none" w:sz="0" w:space="0" w:color="auto"/>
                <w:right w:val="none" w:sz="0" w:space="0" w:color="auto"/>
              </w:divBdr>
            </w:div>
          </w:divsChild>
        </w:div>
        <w:div w:id="1714578113">
          <w:marLeft w:val="0"/>
          <w:marRight w:val="0"/>
          <w:marTop w:val="0"/>
          <w:marBottom w:val="0"/>
          <w:divBdr>
            <w:top w:val="none" w:sz="0" w:space="0" w:color="auto"/>
            <w:left w:val="none" w:sz="0" w:space="0" w:color="auto"/>
            <w:bottom w:val="none" w:sz="0" w:space="0" w:color="auto"/>
            <w:right w:val="none" w:sz="0" w:space="0" w:color="auto"/>
          </w:divBdr>
          <w:divsChild>
            <w:div w:id="9453021">
              <w:marLeft w:val="0"/>
              <w:marRight w:val="0"/>
              <w:marTop w:val="0"/>
              <w:marBottom w:val="0"/>
              <w:divBdr>
                <w:top w:val="none" w:sz="0" w:space="0" w:color="auto"/>
                <w:left w:val="none" w:sz="0" w:space="0" w:color="auto"/>
                <w:bottom w:val="none" w:sz="0" w:space="0" w:color="auto"/>
                <w:right w:val="none" w:sz="0" w:space="0" w:color="auto"/>
              </w:divBdr>
            </w:div>
            <w:div w:id="55444607">
              <w:marLeft w:val="0"/>
              <w:marRight w:val="0"/>
              <w:marTop w:val="0"/>
              <w:marBottom w:val="0"/>
              <w:divBdr>
                <w:top w:val="none" w:sz="0" w:space="0" w:color="auto"/>
                <w:left w:val="none" w:sz="0" w:space="0" w:color="auto"/>
                <w:bottom w:val="none" w:sz="0" w:space="0" w:color="auto"/>
                <w:right w:val="none" w:sz="0" w:space="0" w:color="auto"/>
              </w:divBdr>
            </w:div>
            <w:div w:id="128862432">
              <w:marLeft w:val="0"/>
              <w:marRight w:val="0"/>
              <w:marTop w:val="0"/>
              <w:marBottom w:val="0"/>
              <w:divBdr>
                <w:top w:val="none" w:sz="0" w:space="0" w:color="auto"/>
                <w:left w:val="none" w:sz="0" w:space="0" w:color="auto"/>
                <w:bottom w:val="none" w:sz="0" w:space="0" w:color="auto"/>
                <w:right w:val="none" w:sz="0" w:space="0" w:color="auto"/>
              </w:divBdr>
            </w:div>
            <w:div w:id="207835595">
              <w:marLeft w:val="0"/>
              <w:marRight w:val="0"/>
              <w:marTop w:val="0"/>
              <w:marBottom w:val="0"/>
              <w:divBdr>
                <w:top w:val="none" w:sz="0" w:space="0" w:color="auto"/>
                <w:left w:val="none" w:sz="0" w:space="0" w:color="auto"/>
                <w:bottom w:val="none" w:sz="0" w:space="0" w:color="auto"/>
                <w:right w:val="none" w:sz="0" w:space="0" w:color="auto"/>
              </w:divBdr>
            </w:div>
            <w:div w:id="261379209">
              <w:marLeft w:val="0"/>
              <w:marRight w:val="0"/>
              <w:marTop w:val="0"/>
              <w:marBottom w:val="0"/>
              <w:divBdr>
                <w:top w:val="none" w:sz="0" w:space="0" w:color="auto"/>
                <w:left w:val="none" w:sz="0" w:space="0" w:color="auto"/>
                <w:bottom w:val="none" w:sz="0" w:space="0" w:color="auto"/>
                <w:right w:val="none" w:sz="0" w:space="0" w:color="auto"/>
              </w:divBdr>
            </w:div>
            <w:div w:id="327710326">
              <w:marLeft w:val="0"/>
              <w:marRight w:val="0"/>
              <w:marTop w:val="0"/>
              <w:marBottom w:val="0"/>
              <w:divBdr>
                <w:top w:val="none" w:sz="0" w:space="0" w:color="auto"/>
                <w:left w:val="none" w:sz="0" w:space="0" w:color="auto"/>
                <w:bottom w:val="none" w:sz="0" w:space="0" w:color="auto"/>
                <w:right w:val="none" w:sz="0" w:space="0" w:color="auto"/>
              </w:divBdr>
            </w:div>
            <w:div w:id="667246552">
              <w:marLeft w:val="0"/>
              <w:marRight w:val="0"/>
              <w:marTop w:val="0"/>
              <w:marBottom w:val="0"/>
              <w:divBdr>
                <w:top w:val="none" w:sz="0" w:space="0" w:color="auto"/>
                <w:left w:val="none" w:sz="0" w:space="0" w:color="auto"/>
                <w:bottom w:val="none" w:sz="0" w:space="0" w:color="auto"/>
                <w:right w:val="none" w:sz="0" w:space="0" w:color="auto"/>
              </w:divBdr>
            </w:div>
            <w:div w:id="690836181">
              <w:marLeft w:val="0"/>
              <w:marRight w:val="0"/>
              <w:marTop w:val="0"/>
              <w:marBottom w:val="0"/>
              <w:divBdr>
                <w:top w:val="none" w:sz="0" w:space="0" w:color="auto"/>
                <w:left w:val="none" w:sz="0" w:space="0" w:color="auto"/>
                <w:bottom w:val="none" w:sz="0" w:space="0" w:color="auto"/>
                <w:right w:val="none" w:sz="0" w:space="0" w:color="auto"/>
              </w:divBdr>
            </w:div>
            <w:div w:id="739256085">
              <w:marLeft w:val="0"/>
              <w:marRight w:val="0"/>
              <w:marTop w:val="0"/>
              <w:marBottom w:val="0"/>
              <w:divBdr>
                <w:top w:val="none" w:sz="0" w:space="0" w:color="auto"/>
                <w:left w:val="none" w:sz="0" w:space="0" w:color="auto"/>
                <w:bottom w:val="none" w:sz="0" w:space="0" w:color="auto"/>
                <w:right w:val="none" w:sz="0" w:space="0" w:color="auto"/>
              </w:divBdr>
            </w:div>
            <w:div w:id="939490546">
              <w:marLeft w:val="0"/>
              <w:marRight w:val="0"/>
              <w:marTop w:val="0"/>
              <w:marBottom w:val="0"/>
              <w:divBdr>
                <w:top w:val="none" w:sz="0" w:space="0" w:color="auto"/>
                <w:left w:val="none" w:sz="0" w:space="0" w:color="auto"/>
                <w:bottom w:val="none" w:sz="0" w:space="0" w:color="auto"/>
                <w:right w:val="none" w:sz="0" w:space="0" w:color="auto"/>
              </w:divBdr>
            </w:div>
            <w:div w:id="943532782">
              <w:marLeft w:val="0"/>
              <w:marRight w:val="0"/>
              <w:marTop w:val="0"/>
              <w:marBottom w:val="0"/>
              <w:divBdr>
                <w:top w:val="none" w:sz="0" w:space="0" w:color="auto"/>
                <w:left w:val="none" w:sz="0" w:space="0" w:color="auto"/>
                <w:bottom w:val="none" w:sz="0" w:space="0" w:color="auto"/>
                <w:right w:val="none" w:sz="0" w:space="0" w:color="auto"/>
              </w:divBdr>
            </w:div>
            <w:div w:id="966394487">
              <w:marLeft w:val="0"/>
              <w:marRight w:val="0"/>
              <w:marTop w:val="0"/>
              <w:marBottom w:val="0"/>
              <w:divBdr>
                <w:top w:val="none" w:sz="0" w:space="0" w:color="auto"/>
                <w:left w:val="none" w:sz="0" w:space="0" w:color="auto"/>
                <w:bottom w:val="none" w:sz="0" w:space="0" w:color="auto"/>
                <w:right w:val="none" w:sz="0" w:space="0" w:color="auto"/>
              </w:divBdr>
            </w:div>
            <w:div w:id="971057813">
              <w:marLeft w:val="0"/>
              <w:marRight w:val="0"/>
              <w:marTop w:val="0"/>
              <w:marBottom w:val="0"/>
              <w:divBdr>
                <w:top w:val="none" w:sz="0" w:space="0" w:color="auto"/>
                <w:left w:val="none" w:sz="0" w:space="0" w:color="auto"/>
                <w:bottom w:val="none" w:sz="0" w:space="0" w:color="auto"/>
                <w:right w:val="none" w:sz="0" w:space="0" w:color="auto"/>
              </w:divBdr>
            </w:div>
            <w:div w:id="1493986505">
              <w:marLeft w:val="0"/>
              <w:marRight w:val="0"/>
              <w:marTop w:val="0"/>
              <w:marBottom w:val="0"/>
              <w:divBdr>
                <w:top w:val="none" w:sz="0" w:space="0" w:color="auto"/>
                <w:left w:val="none" w:sz="0" w:space="0" w:color="auto"/>
                <w:bottom w:val="none" w:sz="0" w:space="0" w:color="auto"/>
                <w:right w:val="none" w:sz="0" w:space="0" w:color="auto"/>
              </w:divBdr>
            </w:div>
            <w:div w:id="1925146242">
              <w:marLeft w:val="0"/>
              <w:marRight w:val="0"/>
              <w:marTop w:val="0"/>
              <w:marBottom w:val="0"/>
              <w:divBdr>
                <w:top w:val="none" w:sz="0" w:space="0" w:color="auto"/>
                <w:left w:val="none" w:sz="0" w:space="0" w:color="auto"/>
                <w:bottom w:val="none" w:sz="0" w:space="0" w:color="auto"/>
                <w:right w:val="none" w:sz="0" w:space="0" w:color="auto"/>
              </w:divBdr>
            </w:div>
            <w:div w:id="1938438823">
              <w:marLeft w:val="0"/>
              <w:marRight w:val="0"/>
              <w:marTop w:val="0"/>
              <w:marBottom w:val="0"/>
              <w:divBdr>
                <w:top w:val="none" w:sz="0" w:space="0" w:color="auto"/>
                <w:left w:val="none" w:sz="0" w:space="0" w:color="auto"/>
                <w:bottom w:val="none" w:sz="0" w:space="0" w:color="auto"/>
                <w:right w:val="none" w:sz="0" w:space="0" w:color="auto"/>
              </w:divBdr>
            </w:div>
            <w:div w:id="2076122734">
              <w:marLeft w:val="0"/>
              <w:marRight w:val="0"/>
              <w:marTop w:val="0"/>
              <w:marBottom w:val="0"/>
              <w:divBdr>
                <w:top w:val="none" w:sz="0" w:space="0" w:color="auto"/>
                <w:left w:val="none" w:sz="0" w:space="0" w:color="auto"/>
                <w:bottom w:val="none" w:sz="0" w:space="0" w:color="auto"/>
                <w:right w:val="none" w:sz="0" w:space="0" w:color="auto"/>
              </w:divBdr>
            </w:div>
            <w:div w:id="2122801750">
              <w:marLeft w:val="0"/>
              <w:marRight w:val="0"/>
              <w:marTop w:val="0"/>
              <w:marBottom w:val="0"/>
              <w:divBdr>
                <w:top w:val="none" w:sz="0" w:space="0" w:color="auto"/>
                <w:left w:val="none" w:sz="0" w:space="0" w:color="auto"/>
                <w:bottom w:val="none" w:sz="0" w:space="0" w:color="auto"/>
                <w:right w:val="none" w:sz="0" w:space="0" w:color="auto"/>
              </w:divBdr>
            </w:div>
          </w:divsChild>
        </w:div>
        <w:div w:id="1846632641">
          <w:marLeft w:val="0"/>
          <w:marRight w:val="0"/>
          <w:marTop w:val="0"/>
          <w:marBottom w:val="0"/>
          <w:divBdr>
            <w:top w:val="none" w:sz="0" w:space="0" w:color="auto"/>
            <w:left w:val="none" w:sz="0" w:space="0" w:color="auto"/>
            <w:bottom w:val="none" w:sz="0" w:space="0" w:color="auto"/>
            <w:right w:val="none" w:sz="0" w:space="0" w:color="auto"/>
          </w:divBdr>
          <w:divsChild>
            <w:div w:id="70203260">
              <w:marLeft w:val="0"/>
              <w:marRight w:val="0"/>
              <w:marTop w:val="0"/>
              <w:marBottom w:val="0"/>
              <w:divBdr>
                <w:top w:val="none" w:sz="0" w:space="0" w:color="auto"/>
                <w:left w:val="none" w:sz="0" w:space="0" w:color="auto"/>
                <w:bottom w:val="none" w:sz="0" w:space="0" w:color="auto"/>
                <w:right w:val="none" w:sz="0" w:space="0" w:color="auto"/>
              </w:divBdr>
            </w:div>
            <w:div w:id="800878202">
              <w:marLeft w:val="0"/>
              <w:marRight w:val="0"/>
              <w:marTop w:val="0"/>
              <w:marBottom w:val="0"/>
              <w:divBdr>
                <w:top w:val="none" w:sz="0" w:space="0" w:color="auto"/>
                <w:left w:val="none" w:sz="0" w:space="0" w:color="auto"/>
                <w:bottom w:val="none" w:sz="0" w:space="0" w:color="auto"/>
                <w:right w:val="none" w:sz="0" w:space="0" w:color="auto"/>
              </w:divBdr>
            </w:div>
            <w:div w:id="1395157316">
              <w:marLeft w:val="0"/>
              <w:marRight w:val="0"/>
              <w:marTop w:val="0"/>
              <w:marBottom w:val="0"/>
              <w:divBdr>
                <w:top w:val="none" w:sz="0" w:space="0" w:color="auto"/>
                <w:left w:val="none" w:sz="0" w:space="0" w:color="auto"/>
                <w:bottom w:val="none" w:sz="0" w:space="0" w:color="auto"/>
                <w:right w:val="none" w:sz="0" w:space="0" w:color="auto"/>
              </w:divBdr>
            </w:div>
            <w:div w:id="1423338366">
              <w:marLeft w:val="0"/>
              <w:marRight w:val="0"/>
              <w:marTop w:val="0"/>
              <w:marBottom w:val="0"/>
              <w:divBdr>
                <w:top w:val="none" w:sz="0" w:space="0" w:color="auto"/>
                <w:left w:val="none" w:sz="0" w:space="0" w:color="auto"/>
                <w:bottom w:val="none" w:sz="0" w:space="0" w:color="auto"/>
                <w:right w:val="none" w:sz="0" w:space="0" w:color="auto"/>
              </w:divBdr>
            </w:div>
            <w:div w:id="1625699825">
              <w:marLeft w:val="0"/>
              <w:marRight w:val="0"/>
              <w:marTop w:val="0"/>
              <w:marBottom w:val="0"/>
              <w:divBdr>
                <w:top w:val="none" w:sz="0" w:space="0" w:color="auto"/>
                <w:left w:val="none" w:sz="0" w:space="0" w:color="auto"/>
                <w:bottom w:val="none" w:sz="0" w:space="0" w:color="auto"/>
                <w:right w:val="none" w:sz="0" w:space="0" w:color="auto"/>
              </w:divBdr>
            </w:div>
            <w:div w:id="1823740679">
              <w:marLeft w:val="0"/>
              <w:marRight w:val="0"/>
              <w:marTop w:val="0"/>
              <w:marBottom w:val="0"/>
              <w:divBdr>
                <w:top w:val="none" w:sz="0" w:space="0" w:color="auto"/>
                <w:left w:val="none" w:sz="0" w:space="0" w:color="auto"/>
                <w:bottom w:val="none" w:sz="0" w:space="0" w:color="auto"/>
                <w:right w:val="none" w:sz="0" w:space="0" w:color="auto"/>
              </w:divBdr>
            </w:div>
            <w:div w:id="1990598902">
              <w:marLeft w:val="0"/>
              <w:marRight w:val="0"/>
              <w:marTop w:val="0"/>
              <w:marBottom w:val="0"/>
              <w:divBdr>
                <w:top w:val="none" w:sz="0" w:space="0" w:color="auto"/>
                <w:left w:val="none" w:sz="0" w:space="0" w:color="auto"/>
                <w:bottom w:val="none" w:sz="0" w:space="0" w:color="auto"/>
                <w:right w:val="none" w:sz="0" w:space="0" w:color="auto"/>
              </w:divBdr>
            </w:div>
            <w:div w:id="2136680365">
              <w:marLeft w:val="0"/>
              <w:marRight w:val="0"/>
              <w:marTop w:val="0"/>
              <w:marBottom w:val="0"/>
              <w:divBdr>
                <w:top w:val="none" w:sz="0" w:space="0" w:color="auto"/>
                <w:left w:val="none" w:sz="0" w:space="0" w:color="auto"/>
                <w:bottom w:val="none" w:sz="0" w:space="0" w:color="auto"/>
                <w:right w:val="none" w:sz="0" w:space="0" w:color="auto"/>
              </w:divBdr>
            </w:div>
          </w:divsChild>
        </w:div>
        <w:div w:id="1855074321">
          <w:marLeft w:val="0"/>
          <w:marRight w:val="0"/>
          <w:marTop w:val="0"/>
          <w:marBottom w:val="0"/>
          <w:divBdr>
            <w:top w:val="none" w:sz="0" w:space="0" w:color="auto"/>
            <w:left w:val="none" w:sz="0" w:space="0" w:color="auto"/>
            <w:bottom w:val="none" w:sz="0" w:space="0" w:color="auto"/>
            <w:right w:val="none" w:sz="0" w:space="0" w:color="auto"/>
          </w:divBdr>
          <w:divsChild>
            <w:div w:id="96946632">
              <w:marLeft w:val="0"/>
              <w:marRight w:val="0"/>
              <w:marTop w:val="0"/>
              <w:marBottom w:val="0"/>
              <w:divBdr>
                <w:top w:val="none" w:sz="0" w:space="0" w:color="auto"/>
                <w:left w:val="none" w:sz="0" w:space="0" w:color="auto"/>
                <w:bottom w:val="none" w:sz="0" w:space="0" w:color="auto"/>
                <w:right w:val="none" w:sz="0" w:space="0" w:color="auto"/>
              </w:divBdr>
            </w:div>
            <w:div w:id="161747352">
              <w:marLeft w:val="0"/>
              <w:marRight w:val="0"/>
              <w:marTop w:val="0"/>
              <w:marBottom w:val="0"/>
              <w:divBdr>
                <w:top w:val="none" w:sz="0" w:space="0" w:color="auto"/>
                <w:left w:val="none" w:sz="0" w:space="0" w:color="auto"/>
                <w:bottom w:val="none" w:sz="0" w:space="0" w:color="auto"/>
                <w:right w:val="none" w:sz="0" w:space="0" w:color="auto"/>
              </w:divBdr>
            </w:div>
            <w:div w:id="212733655">
              <w:marLeft w:val="0"/>
              <w:marRight w:val="0"/>
              <w:marTop w:val="0"/>
              <w:marBottom w:val="0"/>
              <w:divBdr>
                <w:top w:val="none" w:sz="0" w:space="0" w:color="auto"/>
                <w:left w:val="none" w:sz="0" w:space="0" w:color="auto"/>
                <w:bottom w:val="none" w:sz="0" w:space="0" w:color="auto"/>
                <w:right w:val="none" w:sz="0" w:space="0" w:color="auto"/>
              </w:divBdr>
            </w:div>
            <w:div w:id="262812053">
              <w:marLeft w:val="0"/>
              <w:marRight w:val="0"/>
              <w:marTop w:val="0"/>
              <w:marBottom w:val="0"/>
              <w:divBdr>
                <w:top w:val="none" w:sz="0" w:space="0" w:color="auto"/>
                <w:left w:val="none" w:sz="0" w:space="0" w:color="auto"/>
                <w:bottom w:val="none" w:sz="0" w:space="0" w:color="auto"/>
                <w:right w:val="none" w:sz="0" w:space="0" w:color="auto"/>
              </w:divBdr>
            </w:div>
            <w:div w:id="344208368">
              <w:marLeft w:val="0"/>
              <w:marRight w:val="0"/>
              <w:marTop w:val="0"/>
              <w:marBottom w:val="0"/>
              <w:divBdr>
                <w:top w:val="none" w:sz="0" w:space="0" w:color="auto"/>
                <w:left w:val="none" w:sz="0" w:space="0" w:color="auto"/>
                <w:bottom w:val="none" w:sz="0" w:space="0" w:color="auto"/>
                <w:right w:val="none" w:sz="0" w:space="0" w:color="auto"/>
              </w:divBdr>
            </w:div>
            <w:div w:id="358362235">
              <w:marLeft w:val="0"/>
              <w:marRight w:val="0"/>
              <w:marTop w:val="0"/>
              <w:marBottom w:val="0"/>
              <w:divBdr>
                <w:top w:val="none" w:sz="0" w:space="0" w:color="auto"/>
                <w:left w:val="none" w:sz="0" w:space="0" w:color="auto"/>
                <w:bottom w:val="none" w:sz="0" w:space="0" w:color="auto"/>
                <w:right w:val="none" w:sz="0" w:space="0" w:color="auto"/>
              </w:divBdr>
            </w:div>
            <w:div w:id="678510694">
              <w:marLeft w:val="0"/>
              <w:marRight w:val="0"/>
              <w:marTop w:val="0"/>
              <w:marBottom w:val="0"/>
              <w:divBdr>
                <w:top w:val="none" w:sz="0" w:space="0" w:color="auto"/>
                <w:left w:val="none" w:sz="0" w:space="0" w:color="auto"/>
                <w:bottom w:val="none" w:sz="0" w:space="0" w:color="auto"/>
                <w:right w:val="none" w:sz="0" w:space="0" w:color="auto"/>
              </w:divBdr>
            </w:div>
            <w:div w:id="903759340">
              <w:marLeft w:val="0"/>
              <w:marRight w:val="0"/>
              <w:marTop w:val="0"/>
              <w:marBottom w:val="0"/>
              <w:divBdr>
                <w:top w:val="none" w:sz="0" w:space="0" w:color="auto"/>
                <w:left w:val="none" w:sz="0" w:space="0" w:color="auto"/>
                <w:bottom w:val="none" w:sz="0" w:space="0" w:color="auto"/>
                <w:right w:val="none" w:sz="0" w:space="0" w:color="auto"/>
              </w:divBdr>
            </w:div>
            <w:div w:id="1678459927">
              <w:marLeft w:val="0"/>
              <w:marRight w:val="0"/>
              <w:marTop w:val="0"/>
              <w:marBottom w:val="0"/>
              <w:divBdr>
                <w:top w:val="none" w:sz="0" w:space="0" w:color="auto"/>
                <w:left w:val="none" w:sz="0" w:space="0" w:color="auto"/>
                <w:bottom w:val="none" w:sz="0" w:space="0" w:color="auto"/>
                <w:right w:val="none" w:sz="0" w:space="0" w:color="auto"/>
              </w:divBdr>
            </w:div>
            <w:div w:id="1961260367">
              <w:marLeft w:val="0"/>
              <w:marRight w:val="0"/>
              <w:marTop w:val="0"/>
              <w:marBottom w:val="0"/>
              <w:divBdr>
                <w:top w:val="none" w:sz="0" w:space="0" w:color="auto"/>
                <w:left w:val="none" w:sz="0" w:space="0" w:color="auto"/>
                <w:bottom w:val="none" w:sz="0" w:space="0" w:color="auto"/>
                <w:right w:val="none" w:sz="0" w:space="0" w:color="auto"/>
              </w:divBdr>
            </w:div>
          </w:divsChild>
        </w:div>
        <w:div w:id="1878007797">
          <w:marLeft w:val="0"/>
          <w:marRight w:val="0"/>
          <w:marTop w:val="0"/>
          <w:marBottom w:val="0"/>
          <w:divBdr>
            <w:top w:val="none" w:sz="0" w:space="0" w:color="auto"/>
            <w:left w:val="none" w:sz="0" w:space="0" w:color="auto"/>
            <w:bottom w:val="none" w:sz="0" w:space="0" w:color="auto"/>
            <w:right w:val="none" w:sz="0" w:space="0" w:color="auto"/>
          </w:divBdr>
          <w:divsChild>
            <w:div w:id="2166088">
              <w:marLeft w:val="0"/>
              <w:marRight w:val="0"/>
              <w:marTop w:val="0"/>
              <w:marBottom w:val="0"/>
              <w:divBdr>
                <w:top w:val="none" w:sz="0" w:space="0" w:color="auto"/>
                <w:left w:val="none" w:sz="0" w:space="0" w:color="auto"/>
                <w:bottom w:val="none" w:sz="0" w:space="0" w:color="auto"/>
                <w:right w:val="none" w:sz="0" w:space="0" w:color="auto"/>
              </w:divBdr>
            </w:div>
            <w:div w:id="79909941">
              <w:marLeft w:val="0"/>
              <w:marRight w:val="0"/>
              <w:marTop w:val="0"/>
              <w:marBottom w:val="0"/>
              <w:divBdr>
                <w:top w:val="none" w:sz="0" w:space="0" w:color="auto"/>
                <w:left w:val="none" w:sz="0" w:space="0" w:color="auto"/>
                <w:bottom w:val="none" w:sz="0" w:space="0" w:color="auto"/>
                <w:right w:val="none" w:sz="0" w:space="0" w:color="auto"/>
              </w:divBdr>
            </w:div>
            <w:div w:id="140316100">
              <w:marLeft w:val="0"/>
              <w:marRight w:val="0"/>
              <w:marTop w:val="0"/>
              <w:marBottom w:val="0"/>
              <w:divBdr>
                <w:top w:val="none" w:sz="0" w:space="0" w:color="auto"/>
                <w:left w:val="none" w:sz="0" w:space="0" w:color="auto"/>
                <w:bottom w:val="none" w:sz="0" w:space="0" w:color="auto"/>
                <w:right w:val="none" w:sz="0" w:space="0" w:color="auto"/>
              </w:divBdr>
            </w:div>
            <w:div w:id="143662857">
              <w:marLeft w:val="0"/>
              <w:marRight w:val="0"/>
              <w:marTop w:val="0"/>
              <w:marBottom w:val="0"/>
              <w:divBdr>
                <w:top w:val="none" w:sz="0" w:space="0" w:color="auto"/>
                <w:left w:val="none" w:sz="0" w:space="0" w:color="auto"/>
                <w:bottom w:val="none" w:sz="0" w:space="0" w:color="auto"/>
                <w:right w:val="none" w:sz="0" w:space="0" w:color="auto"/>
              </w:divBdr>
            </w:div>
            <w:div w:id="170724235">
              <w:marLeft w:val="0"/>
              <w:marRight w:val="0"/>
              <w:marTop w:val="0"/>
              <w:marBottom w:val="0"/>
              <w:divBdr>
                <w:top w:val="none" w:sz="0" w:space="0" w:color="auto"/>
                <w:left w:val="none" w:sz="0" w:space="0" w:color="auto"/>
                <w:bottom w:val="none" w:sz="0" w:space="0" w:color="auto"/>
                <w:right w:val="none" w:sz="0" w:space="0" w:color="auto"/>
              </w:divBdr>
            </w:div>
            <w:div w:id="206572717">
              <w:marLeft w:val="0"/>
              <w:marRight w:val="0"/>
              <w:marTop w:val="0"/>
              <w:marBottom w:val="0"/>
              <w:divBdr>
                <w:top w:val="none" w:sz="0" w:space="0" w:color="auto"/>
                <w:left w:val="none" w:sz="0" w:space="0" w:color="auto"/>
                <w:bottom w:val="none" w:sz="0" w:space="0" w:color="auto"/>
                <w:right w:val="none" w:sz="0" w:space="0" w:color="auto"/>
              </w:divBdr>
            </w:div>
            <w:div w:id="253393178">
              <w:marLeft w:val="0"/>
              <w:marRight w:val="0"/>
              <w:marTop w:val="0"/>
              <w:marBottom w:val="0"/>
              <w:divBdr>
                <w:top w:val="none" w:sz="0" w:space="0" w:color="auto"/>
                <w:left w:val="none" w:sz="0" w:space="0" w:color="auto"/>
                <w:bottom w:val="none" w:sz="0" w:space="0" w:color="auto"/>
                <w:right w:val="none" w:sz="0" w:space="0" w:color="auto"/>
              </w:divBdr>
            </w:div>
            <w:div w:id="277219823">
              <w:marLeft w:val="0"/>
              <w:marRight w:val="0"/>
              <w:marTop w:val="0"/>
              <w:marBottom w:val="0"/>
              <w:divBdr>
                <w:top w:val="none" w:sz="0" w:space="0" w:color="auto"/>
                <w:left w:val="none" w:sz="0" w:space="0" w:color="auto"/>
                <w:bottom w:val="none" w:sz="0" w:space="0" w:color="auto"/>
                <w:right w:val="none" w:sz="0" w:space="0" w:color="auto"/>
              </w:divBdr>
            </w:div>
            <w:div w:id="305816590">
              <w:marLeft w:val="0"/>
              <w:marRight w:val="0"/>
              <w:marTop w:val="0"/>
              <w:marBottom w:val="0"/>
              <w:divBdr>
                <w:top w:val="none" w:sz="0" w:space="0" w:color="auto"/>
                <w:left w:val="none" w:sz="0" w:space="0" w:color="auto"/>
                <w:bottom w:val="none" w:sz="0" w:space="0" w:color="auto"/>
                <w:right w:val="none" w:sz="0" w:space="0" w:color="auto"/>
              </w:divBdr>
            </w:div>
            <w:div w:id="332807380">
              <w:marLeft w:val="0"/>
              <w:marRight w:val="0"/>
              <w:marTop w:val="0"/>
              <w:marBottom w:val="0"/>
              <w:divBdr>
                <w:top w:val="none" w:sz="0" w:space="0" w:color="auto"/>
                <w:left w:val="none" w:sz="0" w:space="0" w:color="auto"/>
                <w:bottom w:val="none" w:sz="0" w:space="0" w:color="auto"/>
                <w:right w:val="none" w:sz="0" w:space="0" w:color="auto"/>
              </w:divBdr>
            </w:div>
            <w:div w:id="333605219">
              <w:marLeft w:val="0"/>
              <w:marRight w:val="0"/>
              <w:marTop w:val="0"/>
              <w:marBottom w:val="0"/>
              <w:divBdr>
                <w:top w:val="none" w:sz="0" w:space="0" w:color="auto"/>
                <w:left w:val="none" w:sz="0" w:space="0" w:color="auto"/>
                <w:bottom w:val="none" w:sz="0" w:space="0" w:color="auto"/>
                <w:right w:val="none" w:sz="0" w:space="0" w:color="auto"/>
              </w:divBdr>
            </w:div>
            <w:div w:id="345713474">
              <w:marLeft w:val="0"/>
              <w:marRight w:val="0"/>
              <w:marTop w:val="0"/>
              <w:marBottom w:val="0"/>
              <w:divBdr>
                <w:top w:val="none" w:sz="0" w:space="0" w:color="auto"/>
                <w:left w:val="none" w:sz="0" w:space="0" w:color="auto"/>
                <w:bottom w:val="none" w:sz="0" w:space="0" w:color="auto"/>
                <w:right w:val="none" w:sz="0" w:space="0" w:color="auto"/>
              </w:divBdr>
            </w:div>
            <w:div w:id="355811001">
              <w:marLeft w:val="0"/>
              <w:marRight w:val="0"/>
              <w:marTop w:val="0"/>
              <w:marBottom w:val="0"/>
              <w:divBdr>
                <w:top w:val="none" w:sz="0" w:space="0" w:color="auto"/>
                <w:left w:val="none" w:sz="0" w:space="0" w:color="auto"/>
                <w:bottom w:val="none" w:sz="0" w:space="0" w:color="auto"/>
                <w:right w:val="none" w:sz="0" w:space="0" w:color="auto"/>
              </w:divBdr>
            </w:div>
            <w:div w:id="372770350">
              <w:marLeft w:val="0"/>
              <w:marRight w:val="0"/>
              <w:marTop w:val="0"/>
              <w:marBottom w:val="0"/>
              <w:divBdr>
                <w:top w:val="none" w:sz="0" w:space="0" w:color="auto"/>
                <w:left w:val="none" w:sz="0" w:space="0" w:color="auto"/>
                <w:bottom w:val="none" w:sz="0" w:space="0" w:color="auto"/>
                <w:right w:val="none" w:sz="0" w:space="0" w:color="auto"/>
              </w:divBdr>
            </w:div>
            <w:div w:id="388772389">
              <w:marLeft w:val="0"/>
              <w:marRight w:val="0"/>
              <w:marTop w:val="0"/>
              <w:marBottom w:val="0"/>
              <w:divBdr>
                <w:top w:val="none" w:sz="0" w:space="0" w:color="auto"/>
                <w:left w:val="none" w:sz="0" w:space="0" w:color="auto"/>
                <w:bottom w:val="none" w:sz="0" w:space="0" w:color="auto"/>
                <w:right w:val="none" w:sz="0" w:space="0" w:color="auto"/>
              </w:divBdr>
            </w:div>
            <w:div w:id="403643492">
              <w:marLeft w:val="0"/>
              <w:marRight w:val="0"/>
              <w:marTop w:val="0"/>
              <w:marBottom w:val="0"/>
              <w:divBdr>
                <w:top w:val="none" w:sz="0" w:space="0" w:color="auto"/>
                <w:left w:val="none" w:sz="0" w:space="0" w:color="auto"/>
                <w:bottom w:val="none" w:sz="0" w:space="0" w:color="auto"/>
                <w:right w:val="none" w:sz="0" w:space="0" w:color="auto"/>
              </w:divBdr>
            </w:div>
            <w:div w:id="412514353">
              <w:marLeft w:val="0"/>
              <w:marRight w:val="0"/>
              <w:marTop w:val="0"/>
              <w:marBottom w:val="0"/>
              <w:divBdr>
                <w:top w:val="none" w:sz="0" w:space="0" w:color="auto"/>
                <w:left w:val="none" w:sz="0" w:space="0" w:color="auto"/>
                <w:bottom w:val="none" w:sz="0" w:space="0" w:color="auto"/>
                <w:right w:val="none" w:sz="0" w:space="0" w:color="auto"/>
              </w:divBdr>
            </w:div>
            <w:div w:id="422071917">
              <w:marLeft w:val="0"/>
              <w:marRight w:val="0"/>
              <w:marTop w:val="0"/>
              <w:marBottom w:val="0"/>
              <w:divBdr>
                <w:top w:val="none" w:sz="0" w:space="0" w:color="auto"/>
                <w:left w:val="none" w:sz="0" w:space="0" w:color="auto"/>
                <w:bottom w:val="none" w:sz="0" w:space="0" w:color="auto"/>
                <w:right w:val="none" w:sz="0" w:space="0" w:color="auto"/>
              </w:divBdr>
            </w:div>
            <w:div w:id="441000542">
              <w:marLeft w:val="0"/>
              <w:marRight w:val="0"/>
              <w:marTop w:val="0"/>
              <w:marBottom w:val="0"/>
              <w:divBdr>
                <w:top w:val="none" w:sz="0" w:space="0" w:color="auto"/>
                <w:left w:val="none" w:sz="0" w:space="0" w:color="auto"/>
                <w:bottom w:val="none" w:sz="0" w:space="0" w:color="auto"/>
                <w:right w:val="none" w:sz="0" w:space="0" w:color="auto"/>
              </w:divBdr>
            </w:div>
            <w:div w:id="471141814">
              <w:marLeft w:val="0"/>
              <w:marRight w:val="0"/>
              <w:marTop w:val="0"/>
              <w:marBottom w:val="0"/>
              <w:divBdr>
                <w:top w:val="none" w:sz="0" w:space="0" w:color="auto"/>
                <w:left w:val="none" w:sz="0" w:space="0" w:color="auto"/>
                <w:bottom w:val="none" w:sz="0" w:space="0" w:color="auto"/>
                <w:right w:val="none" w:sz="0" w:space="0" w:color="auto"/>
              </w:divBdr>
            </w:div>
            <w:div w:id="478571460">
              <w:marLeft w:val="0"/>
              <w:marRight w:val="0"/>
              <w:marTop w:val="0"/>
              <w:marBottom w:val="0"/>
              <w:divBdr>
                <w:top w:val="none" w:sz="0" w:space="0" w:color="auto"/>
                <w:left w:val="none" w:sz="0" w:space="0" w:color="auto"/>
                <w:bottom w:val="none" w:sz="0" w:space="0" w:color="auto"/>
                <w:right w:val="none" w:sz="0" w:space="0" w:color="auto"/>
              </w:divBdr>
            </w:div>
            <w:div w:id="526796783">
              <w:marLeft w:val="0"/>
              <w:marRight w:val="0"/>
              <w:marTop w:val="0"/>
              <w:marBottom w:val="0"/>
              <w:divBdr>
                <w:top w:val="none" w:sz="0" w:space="0" w:color="auto"/>
                <w:left w:val="none" w:sz="0" w:space="0" w:color="auto"/>
                <w:bottom w:val="none" w:sz="0" w:space="0" w:color="auto"/>
                <w:right w:val="none" w:sz="0" w:space="0" w:color="auto"/>
              </w:divBdr>
            </w:div>
            <w:div w:id="527063398">
              <w:marLeft w:val="0"/>
              <w:marRight w:val="0"/>
              <w:marTop w:val="0"/>
              <w:marBottom w:val="0"/>
              <w:divBdr>
                <w:top w:val="none" w:sz="0" w:space="0" w:color="auto"/>
                <w:left w:val="none" w:sz="0" w:space="0" w:color="auto"/>
                <w:bottom w:val="none" w:sz="0" w:space="0" w:color="auto"/>
                <w:right w:val="none" w:sz="0" w:space="0" w:color="auto"/>
              </w:divBdr>
            </w:div>
            <w:div w:id="535118643">
              <w:marLeft w:val="0"/>
              <w:marRight w:val="0"/>
              <w:marTop w:val="0"/>
              <w:marBottom w:val="0"/>
              <w:divBdr>
                <w:top w:val="none" w:sz="0" w:space="0" w:color="auto"/>
                <w:left w:val="none" w:sz="0" w:space="0" w:color="auto"/>
                <w:bottom w:val="none" w:sz="0" w:space="0" w:color="auto"/>
                <w:right w:val="none" w:sz="0" w:space="0" w:color="auto"/>
              </w:divBdr>
            </w:div>
            <w:div w:id="546113622">
              <w:marLeft w:val="0"/>
              <w:marRight w:val="0"/>
              <w:marTop w:val="0"/>
              <w:marBottom w:val="0"/>
              <w:divBdr>
                <w:top w:val="none" w:sz="0" w:space="0" w:color="auto"/>
                <w:left w:val="none" w:sz="0" w:space="0" w:color="auto"/>
                <w:bottom w:val="none" w:sz="0" w:space="0" w:color="auto"/>
                <w:right w:val="none" w:sz="0" w:space="0" w:color="auto"/>
              </w:divBdr>
            </w:div>
            <w:div w:id="561872478">
              <w:marLeft w:val="0"/>
              <w:marRight w:val="0"/>
              <w:marTop w:val="0"/>
              <w:marBottom w:val="0"/>
              <w:divBdr>
                <w:top w:val="none" w:sz="0" w:space="0" w:color="auto"/>
                <w:left w:val="none" w:sz="0" w:space="0" w:color="auto"/>
                <w:bottom w:val="none" w:sz="0" w:space="0" w:color="auto"/>
                <w:right w:val="none" w:sz="0" w:space="0" w:color="auto"/>
              </w:divBdr>
            </w:div>
            <w:div w:id="636837245">
              <w:marLeft w:val="0"/>
              <w:marRight w:val="0"/>
              <w:marTop w:val="0"/>
              <w:marBottom w:val="0"/>
              <w:divBdr>
                <w:top w:val="none" w:sz="0" w:space="0" w:color="auto"/>
                <w:left w:val="none" w:sz="0" w:space="0" w:color="auto"/>
                <w:bottom w:val="none" w:sz="0" w:space="0" w:color="auto"/>
                <w:right w:val="none" w:sz="0" w:space="0" w:color="auto"/>
              </w:divBdr>
            </w:div>
            <w:div w:id="645014245">
              <w:marLeft w:val="0"/>
              <w:marRight w:val="0"/>
              <w:marTop w:val="0"/>
              <w:marBottom w:val="0"/>
              <w:divBdr>
                <w:top w:val="none" w:sz="0" w:space="0" w:color="auto"/>
                <w:left w:val="none" w:sz="0" w:space="0" w:color="auto"/>
                <w:bottom w:val="none" w:sz="0" w:space="0" w:color="auto"/>
                <w:right w:val="none" w:sz="0" w:space="0" w:color="auto"/>
              </w:divBdr>
            </w:div>
            <w:div w:id="645938151">
              <w:marLeft w:val="0"/>
              <w:marRight w:val="0"/>
              <w:marTop w:val="0"/>
              <w:marBottom w:val="0"/>
              <w:divBdr>
                <w:top w:val="none" w:sz="0" w:space="0" w:color="auto"/>
                <w:left w:val="none" w:sz="0" w:space="0" w:color="auto"/>
                <w:bottom w:val="none" w:sz="0" w:space="0" w:color="auto"/>
                <w:right w:val="none" w:sz="0" w:space="0" w:color="auto"/>
              </w:divBdr>
            </w:div>
            <w:div w:id="648630448">
              <w:marLeft w:val="0"/>
              <w:marRight w:val="0"/>
              <w:marTop w:val="0"/>
              <w:marBottom w:val="0"/>
              <w:divBdr>
                <w:top w:val="none" w:sz="0" w:space="0" w:color="auto"/>
                <w:left w:val="none" w:sz="0" w:space="0" w:color="auto"/>
                <w:bottom w:val="none" w:sz="0" w:space="0" w:color="auto"/>
                <w:right w:val="none" w:sz="0" w:space="0" w:color="auto"/>
              </w:divBdr>
            </w:div>
            <w:div w:id="676150846">
              <w:marLeft w:val="0"/>
              <w:marRight w:val="0"/>
              <w:marTop w:val="0"/>
              <w:marBottom w:val="0"/>
              <w:divBdr>
                <w:top w:val="none" w:sz="0" w:space="0" w:color="auto"/>
                <w:left w:val="none" w:sz="0" w:space="0" w:color="auto"/>
                <w:bottom w:val="none" w:sz="0" w:space="0" w:color="auto"/>
                <w:right w:val="none" w:sz="0" w:space="0" w:color="auto"/>
              </w:divBdr>
            </w:div>
            <w:div w:id="699670942">
              <w:marLeft w:val="0"/>
              <w:marRight w:val="0"/>
              <w:marTop w:val="0"/>
              <w:marBottom w:val="0"/>
              <w:divBdr>
                <w:top w:val="none" w:sz="0" w:space="0" w:color="auto"/>
                <w:left w:val="none" w:sz="0" w:space="0" w:color="auto"/>
                <w:bottom w:val="none" w:sz="0" w:space="0" w:color="auto"/>
                <w:right w:val="none" w:sz="0" w:space="0" w:color="auto"/>
              </w:divBdr>
            </w:div>
            <w:div w:id="713625369">
              <w:marLeft w:val="0"/>
              <w:marRight w:val="0"/>
              <w:marTop w:val="0"/>
              <w:marBottom w:val="0"/>
              <w:divBdr>
                <w:top w:val="none" w:sz="0" w:space="0" w:color="auto"/>
                <w:left w:val="none" w:sz="0" w:space="0" w:color="auto"/>
                <w:bottom w:val="none" w:sz="0" w:space="0" w:color="auto"/>
                <w:right w:val="none" w:sz="0" w:space="0" w:color="auto"/>
              </w:divBdr>
            </w:div>
            <w:div w:id="749277028">
              <w:marLeft w:val="0"/>
              <w:marRight w:val="0"/>
              <w:marTop w:val="0"/>
              <w:marBottom w:val="0"/>
              <w:divBdr>
                <w:top w:val="none" w:sz="0" w:space="0" w:color="auto"/>
                <w:left w:val="none" w:sz="0" w:space="0" w:color="auto"/>
                <w:bottom w:val="none" w:sz="0" w:space="0" w:color="auto"/>
                <w:right w:val="none" w:sz="0" w:space="0" w:color="auto"/>
              </w:divBdr>
            </w:div>
            <w:div w:id="754474005">
              <w:marLeft w:val="0"/>
              <w:marRight w:val="0"/>
              <w:marTop w:val="0"/>
              <w:marBottom w:val="0"/>
              <w:divBdr>
                <w:top w:val="none" w:sz="0" w:space="0" w:color="auto"/>
                <w:left w:val="none" w:sz="0" w:space="0" w:color="auto"/>
                <w:bottom w:val="none" w:sz="0" w:space="0" w:color="auto"/>
                <w:right w:val="none" w:sz="0" w:space="0" w:color="auto"/>
              </w:divBdr>
            </w:div>
            <w:div w:id="768355439">
              <w:marLeft w:val="0"/>
              <w:marRight w:val="0"/>
              <w:marTop w:val="0"/>
              <w:marBottom w:val="0"/>
              <w:divBdr>
                <w:top w:val="none" w:sz="0" w:space="0" w:color="auto"/>
                <w:left w:val="none" w:sz="0" w:space="0" w:color="auto"/>
                <w:bottom w:val="none" w:sz="0" w:space="0" w:color="auto"/>
                <w:right w:val="none" w:sz="0" w:space="0" w:color="auto"/>
              </w:divBdr>
            </w:div>
            <w:div w:id="770660038">
              <w:marLeft w:val="0"/>
              <w:marRight w:val="0"/>
              <w:marTop w:val="0"/>
              <w:marBottom w:val="0"/>
              <w:divBdr>
                <w:top w:val="none" w:sz="0" w:space="0" w:color="auto"/>
                <w:left w:val="none" w:sz="0" w:space="0" w:color="auto"/>
                <w:bottom w:val="none" w:sz="0" w:space="0" w:color="auto"/>
                <w:right w:val="none" w:sz="0" w:space="0" w:color="auto"/>
              </w:divBdr>
            </w:div>
            <w:div w:id="776371123">
              <w:marLeft w:val="0"/>
              <w:marRight w:val="0"/>
              <w:marTop w:val="0"/>
              <w:marBottom w:val="0"/>
              <w:divBdr>
                <w:top w:val="none" w:sz="0" w:space="0" w:color="auto"/>
                <w:left w:val="none" w:sz="0" w:space="0" w:color="auto"/>
                <w:bottom w:val="none" w:sz="0" w:space="0" w:color="auto"/>
                <w:right w:val="none" w:sz="0" w:space="0" w:color="auto"/>
              </w:divBdr>
            </w:div>
            <w:div w:id="776561784">
              <w:marLeft w:val="0"/>
              <w:marRight w:val="0"/>
              <w:marTop w:val="0"/>
              <w:marBottom w:val="0"/>
              <w:divBdr>
                <w:top w:val="none" w:sz="0" w:space="0" w:color="auto"/>
                <w:left w:val="none" w:sz="0" w:space="0" w:color="auto"/>
                <w:bottom w:val="none" w:sz="0" w:space="0" w:color="auto"/>
                <w:right w:val="none" w:sz="0" w:space="0" w:color="auto"/>
              </w:divBdr>
            </w:div>
            <w:div w:id="808327619">
              <w:marLeft w:val="0"/>
              <w:marRight w:val="0"/>
              <w:marTop w:val="0"/>
              <w:marBottom w:val="0"/>
              <w:divBdr>
                <w:top w:val="none" w:sz="0" w:space="0" w:color="auto"/>
                <w:left w:val="none" w:sz="0" w:space="0" w:color="auto"/>
                <w:bottom w:val="none" w:sz="0" w:space="0" w:color="auto"/>
                <w:right w:val="none" w:sz="0" w:space="0" w:color="auto"/>
              </w:divBdr>
            </w:div>
            <w:div w:id="849100605">
              <w:marLeft w:val="0"/>
              <w:marRight w:val="0"/>
              <w:marTop w:val="0"/>
              <w:marBottom w:val="0"/>
              <w:divBdr>
                <w:top w:val="none" w:sz="0" w:space="0" w:color="auto"/>
                <w:left w:val="none" w:sz="0" w:space="0" w:color="auto"/>
                <w:bottom w:val="none" w:sz="0" w:space="0" w:color="auto"/>
                <w:right w:val="none" w:sz="0" w:space="0" w:color="auto"/>
              </w:divBdr>
            </w:div>
            <w:div w:id="852105791">
              <w:marLeft w:val="0"/>
              <w:marRight w:val="0"/>
              <w:marTop w:val="0"/>
              <w:marBottom w:val="0"/>
              <w:divBdr>
                <w:top w:val="none" w:sz="0" w:space="0" w:color="auto"/>
                <w:left w:val="none" w:sz="0" w:space="0" w:color="auto"/>
                <w:bottom w:val="none" w:sz="0" w:space="0" w:color="auto"/>
                <w:right w:val="none" w:sz="0" w:space="0" w:color="auto"/>
              </w:divBdr>
            </w:div>
            <w:div w:id="903297686">
              <w:marLeft w:val="0"/>
              <w:marRight w:val="0"/>
              <w:marTop w:val="0"/>
              <w:marBottom w:val="0"/>
              <w:divBdr>
                <w:top w:val="none" w:sz="0" w:space="0" w:color="auto"/>
                <w:left w:val="none" w:sz="0" w:space="0" w:color="auto"/>
                <w:bottom w:val="none" w:sz="0" w:space="0" w:color="auto"/>
                <w:right w:val="none" w:sz="0" w:space="0" w:color="auto"/>
              </w:divBdr>
            </w:div>
            <w:div w:id="932781426">
              <w:marLeft w:val="0"/>
              <w:marRight w:val="0"/>
              <w:marTop w:val="0"/>
              <w:marBottom w:val="0"/>
              <w:divBdr>
                <w:top w:val="none" w:sz="0" w:space="0" w:color="auto"/>
                <w:left w:val="none" w:sz="0" w:space="0" w:color="auto"/>
                <w:bottom w:val="none" w:sz="0" w:space="0" w:color="auto"/>
                <w:right w:val="none" w:sz="0" w:space="0" w:color="auto"/>
              </w:divBdr>
            </w:div>
            <w:div w:id="985669014">
              <w:marLeft w:val="0"/>
              <w:marRight w:val="0"/>
              <w:marTop w:val="0"/>
              <w:marBottom w:val="0"/>
              <w:divBdr>
                <w:top w:val="none" w:sz="0" w:space="0" w:color="auto"/>
                <w:left w:val="none" w:sz="0" w:space="0" w:color="auto"/>
                <w:bottom w:val="none" w:sz="0" w:space="0" w:color="auto"/>
                <w:right w:val="none" w:sz="0" w:space="0" w:color="auto"/>
              </w:divBdr>
            </w:div>
            <w:div w:id="1035034493">
              <w:marLeft w:val="0"/>
              <w:marRight w:val="0"/>
              <w:marTop w:val="0"/>
              <w:marBottom w:val="0"/>
              <w:divBdr>
                <w:top w:val="none" w:sz="0" w:space="0" w:color="auto"/>
                <w:left w:val="none" w:sz="0" w:space="0" w:color="auto"/>
                <w:bottom w:val="none" w:sz="0" w:space="0" w:color="auto"/>
                <w:right w:val="none" w:sz="0" w:space="0" w:color="auto"/>
              </w:divBdr>
            </w:div>
            <w:div w:id="1064642166">
              <w:marLeft w:val="0"/>
              <w:marRight w:val="0"/>
              <w:marTop w:val="0"/>
              <w:marBottom w:val="0"/>
              <w:divBdr>
                <w:top w:val="none" w:sz="0" w:space="0" w:color="auto"/>
                <w:left w:val="none" w:sz="0" w:space="0" w:color="auto"/>
                <w:bottom w:val="none" w:sz="0" w:space="0" w:color="auto"/>
                <w:right w:val="none" w:sz="0" w:space="0" w:color="auto"/>
              </w:divBdr>
            </w:div>
            <w:div w:id="1073237075">
              <w:marLeft w:val="0"/>
              <w:marRight w:val="0"/>
              <w:marTop w:val="0"/>
              <w:marBottom w:val="0"/>
              <w:divBdr>
                <w:top w:val="none" w:sz="0" w:space="0" w:color="auto"/>
                <w:left w:val="none" w:sz="0" w:space="0" w:color="auto"/>
                <w:bottom w:val="none" w:sz="0" w:space="0" w:color="auto"/>
                <w:right w:val="none" w:sz="0" w:space="0" w:color="auto"/>
              </w:divBdr>
            </w:div>
            <w:div w:id="1081874544">
              <w:marLeft w:val="0"/>
              <w:marRight w:val="0"/>
              <w:marTop w:val="0"/>
              <w:marBottom w:val="0"/>
              <w:divBdr>
                <w:top w:val="none" w:sz="0" w:space="0" w:color="auto"/>
                <w:left w:val="none" w:sz="0" w:space="0" w:color="auto"/>
                <w:bottom w:val="none" w:sz="0" w:space="0" w:color="auto"/>
                <w:right w:val="none" w:sz="0" w:space="0" w:color="auto"/>
              </w:divBdr>
            </w:div>
            <w:div w:id="1146318813">
              <w:marLeft w:val="0"/>
              <w:marRight w:val="0"/>
              <w:marTop w:val="0"/>
              <w:marBottom w:val="0"/>
              <w:divBdr>
                <w:top w:val="none" w:sz="0" w:space="0" w:color="auto"/>
                <w:left w:val="none" w:sz="0" w:space="0" w:color="auto"/>
                <w:bottom w:val="none" w:sz="0" w:space="0" w:color="auto"/>
                <w:right w:val="none" w:sz="0" w:space="0" w:color="auto"/>
              </w:divBdr>
            </w:div>
            <w:div w:id="1169908629">
              <w:marLeft w:val="0"/>
              <w:marRight w:val="0"/>
              <w:marTop w:val="0"/>
              <w:marBottom w:val="0"/>
              <w:divBdr>
                <w:top w:val="none" w:sz="0" w:space="0" w:color="auto"/>
                <w:left w:val="none" w:sz="0" w:space="0" w:color="auto"/>
                <w:bottom w:val="none" w:sz="0" w:space="0" w:color="auto"/>
                <w:right w:val="none" w:sz="0" w:space="0" w:color="auto"/>
              </w:divBdr>
            </w:div>
            <w:div w:id="1170439733">
              <w:marLeft w:val="0"/>
              <w:marRight w:val="0"/>
              <w:marTop w:val="0"/>
              <w:marBottom w:val="0"/>
              <w:divBdr>
                <w:top w:val="none" w:sz="0" w:space="0" w:color="auto"/>
                <w:left w:val="none" w:sz="0" w:space="0" w:color="auto"/>
                <w:bottom w:val="none" w:sz="0" w:space="0" w:color="auto"/>
                <w:right w:val="none" w:sz="0" w:space="0" w:color="auto"/>
              </w:divBdr>
            </w:div>
            <w:div w:id="1185243315">
              <w:marLeft w:val="0"/>
              <w:marRight w:val="0"/>
              <w:marTop w:val="0"/>
              <w:marBottom w:val="0"/>
              <w:divBdr>
                <w:top w:val="none" w:sz="0" w:space="0" w:color="auto"/>
                <w:left w:val="none" w:sz="0" w:space="0" w:color="auto"/>
                <w:bottom w:val="none" w:sz="0" w:space="0" w:color="auto"/>
                <w:right w:val="none" w:sz="0" w:space="0" w:color="auto"/>
              </w:divBdr>
            </w:div>
            <w:div w:id="1186097714">
              <w:marLeft w:val="0"/>
              <w:marRight w:val="0"/>
              <w:marTop w:val="0"/>
              <w:marBottom w:val="0"/>
              <w:divBdr>
                <w:top w:val="none" w:sz="0" w:space="0" w:color="auto"/>
                <w:left w:val="none" w:sz="0" w:space="0" w:color="auto"/>
                <w:bottom w:val="none" w:sz="0" w:space="0" w:color="auto"/>
                <w:right w:val="none" w:sz="0" w:space="0" w:color="auto"/>
              </w:divBdr>
            </w:div>
            <w:div w:id="1216702462">
              <w:marLeft w:val="0"/>
              <w:marRight w:val="0"/>
              <w:marTop w:val="0"/>
              <w:marBottom w:val="0"/>
              <w:divBdr>
                <w:top w:val="none" w:sz="0" w:space="0" w:color="auto"/>
                <w:left w:val="none" w:sz="0" w:space="0" w:color="auto"/>
                <w:bottom w:val="none" w:sz="0" w:space="0" w:color="auto"/>
                <w:right w:val="none" w:sz="0" w:space="0" w:color="auto"/>
              </w:divBdr>
            </w:div>
            <w:div w:id="1239630734">
              <w:marLeft w:val="0"/>
              <w:marRight w:val="0"/>
              <w:marTop w:val="0"/>
              <w:marBottom w:val="0"/>
              <w:divBdr>
                <w:top w:val="none" w:sz="0" w:space="0" w:color="auto"/>
                <w:left w:val="none" w:sz="0" w:space="0" w:color="auto"/>
                <w:bottom w:val="none" w:sz="0" w:space="0" w:color="auto"/>
                <w:right w:val="none" w:sz="0" w:space="0" w:color="auto"/>
              </w:divBdr>
            </w:div>
            <w:div w:id="1264994273">
              <w:marLeft w:val="0"/>
              <w:marRight w:val="0"/>
              <w:marTop w:val="0"/>
              <w:marBottom w:val="0"/>
              <w:divBdr>
                <w:top w:val="none" w:sz="0" w:space="0" w:color="auto"/>
                <w:left w:val="none" w:sz="0" w:space="0" w:color="auto"/>
                <w:bottom w:val="none" w:sz="0" w:space="0" w:color="auto"/>
                <w:right w:val="none" w:sz="0" w:space="0" w:color="auto"/>
              </w:divBdr>
            </w:div>
            <w:div w:id="1301808360">
              <w:marLeft w:val="0"/>
              <w:marRight w:val="0"/>
              <w:marTop w:val="0"/>
              <w:marBottom w:val="0"/>
              <w:divBdr>
                <w:top w:val="none" w:sz="0" w:space="0" w:color="auto"/>
                <w:left w:val="none" w:sz="0" w:space="0" w:color="auto"/>
                <w:bottom w:val="none" w:sz="0" w:space="0" w:color="auto"/>
                <w:right w:val="none" w:sz="0" w:space="0" w:color="auto"/>
              </w:divBdr>
            </w:div>
            <w:div w:id="1302493176">
              <w:marLeft w:val="0"/>
              <w:marRight w:val="0"/>
              <w:marTop w:val="0"/>
              <w:marBottom w:val="0"/>
              <w:divBdr>
                <w:top w:val="none" w:sz="0" w:space="0" w:color="auto"/>
                <w:left w:val="none" w:sz="0" w:space="0" w:color="auto"/>
                <w:bottom w:val="none" w:sz="0" w:space="0" w:color="auto"/>
                <w:right w:val="none" w:sz="0" w:space="0" w:color="auto"/>
              </w:divBdr>
            </w:div>
            <w:div w:id="1390687788">
              <w:marLeft w:val="0"/>
              <w:marRight w:val="0"/>
              <w:marTop w:val="0"/>
              <w:marBottom w:val="0"/>
              <w:divBdr>
                <w:top w:val="none" w:sz="0" w:space="0" w:color="auto"/>
                <w:left w:val="none" w:sz="0" w:space="0" w:color="auto"/>
                <w:bottom w:val="none" w:sz="0" w:space="0" w:color="auto"/>
                <w:right w:val="none" w:sz="0" w:space="0" w:color="auto"/>
              </w:divBdr>
            </w:div>
            <w:div w:id="1396707571">
              <w:marLeft w:val="0"/>
              <w:marRight w:val="0"/>
              <w:marTop w:val="0"/>
              <w:marBottom w:val="0"/>
              <w:divBdr>
                <w:top w:val="none" w:sz="0" w:space="0" w:color="auto"/>
                <w:left w:val="none" w:sz="0" w:space="0" w:color="auto"/>
                <w:bottom w:val="none" w:sz="0" w:space="0" w:color="auto"/>
                <w:right w:val="none" w:sz="0" w:space="0" w:color="auto"/>
              </w:divBdr>
            </w:div>
            <w:div w:id="1430195028">
              <w:marLeft w:val="0"/>
              <w:marRight w:val="0"/>
              <w:marTop w:val="0"/>
              <w:marBottom w:val="0"/>
              <w:divBdr>
                <w:top w:val="none" w:sz="0" w:space="0" w:color="auto"/>
                <w:left w:val="none" w:sz="0" w:space="0" w:color="auto"/>
                <w:bottom w:val="none" w:sz="0" w:space="0" w:color="auto"/>
                <w:right w:val="none" w:sz="0" w:space="0" w:color="auto"/>
              </w:divBdr>
            </w:div>
            <w:div w:id="1485318229">
              <w:marLeft w:val="0"/>
              <w:marRight w:val="0"/>
              <w:marTop w:val="0"/>
              <w:marBottom w:val="0"/>
              <w:divBdr>
                <w:top w:val="none" w:sz="0" w:space="0" w:color="auto"/>
                <w:left w:val="none" w:sz="0" w:space="0" w:color="auto"/>
                <w:bottom w:val="none" w:sz="0" w:space="0" w:color="auto"/>
                <w:right w:val="none" w:sz="0" w:space="0" w:color="auto"/>
              </w:divBdr>
            </w:div>
            <w:div w:id="1529568014">
              <w:marLeft w:val="0"/>
              <w:marRight w:val="0"/>
              <w:marTop w:val="0"/>
              <w:marBottom w:val="0"/>
              <w:divBdr>
                <w:top w:val="none" w:sz="0" w:space="0" w:color="auto"/>
                <w:left w:val="none" w:sz="0" w:space="0" w:color="auto"/>
                <w:bottom w:val="none" w:sz="0" w:space="0" w:color="auto"/>
                <w:right w:val="none" w:sz="0" w:space="0" w:color="auto"/>
              </w:divBdr>
            </w:div>
            <w:div w:id="1570191217">
              <w:marLeft w:val="0"/>
              <w:marRight w:val="0"/>
              <w:marTop w:val="0"/>
              <w:marBottom w:val="0"/>
              <w:divBdr>
                <w:top w:val="none" w:sz="0" w:space="0" w:color="auto"/>
                <w:left w:val="none" w:sz="0" w:space="0" w:color="auto"/>
                <w:bottom w:val="none" w:sz="0" w:space="0" w:color="auto"/>
                <w:right w:val="none" w:sz="0" w:space="0" w:color="auto"/>
              </w:divBdr>
            </w:div>
            <w:div w:id="1578709492">
              <w:marLeft w:val="0"/>
              <w:marRight w:val="0"/>
              <w:marTop w:val="0"/>
              <w:marBottom w:val="0"/>
              <w:divBdr>
                <w:top w:val="none" w:sz="0" w:space="0" w:color="auto"/>
                <w:left w:val="none" w:sz="0" w:space="0" w:color="auto"/>
                <w:bottom w:val="none" w:sz="0" w:space="0" w:color="auto"/>
                <w:right w:val="none" w:sz="0" w:space="0" w:color="auto"/>
              </w:divBdr>
            </w:div>
            <w:div w:id="1614358004">
              <w:marLeft w:val="0"/>
              <w:marRight w:val="0"/>
              <w:marTop w:val="0"/>
              <w:marBottom w:val="0"/>
              <w:divBdr>
                <w:top w:val="none" w:sz="0" w:space="0" w:color="auto"/>
                <w:left w:val="none" w:sz="0" w:space="0" w:color="auto"/>
                <w:bottom w:val="none" w:sz="0" w:space="0" w:color="auto"/>
                <w:right w:val="none" w:sz="0" w:space="0" w:color="auto"/>
              </w:divBdr>
            </w:div>
            <w:div w:id="1616525766">
              <w:marLeft w:val="0"/>
              <w:marRight w:val="0"/>
              <w:marTop w:val="0"/>
              <w:marBottom w:val="0"/>
              <w:divBdr>
                <w:top w:val="none" w:sz="0" w:space="0" w:color="auto"/>
                <w:left w:val="none" w:sz="0" w:space="0" w:color="auto"/>
                <w:bottom w:val="none" w:sz="0" w:space="0" w:color="auto"/>
                <w:right w:val="none" w:sz="0" w:space="0" w:color="auto"/>
              </w:divBdr>
            </w:div>
            <w:div w:id="1622111350">
              <w:marLeft w:val="0"/>
              <w:marRight w:val="0"/>
              <w:marTop w:val="0"/>
              <w:marBottom w:val="0"/>
              <w:divBdr>
                <w:top w:val="none" w:sz="0" w:space="0" w:color="auto"/>
                <w:left w:val="none" w:sz="0" w:space="0" w:color="auto"/>
                <w:bottom w:val="none" w:sz="0" w:space="0" w:color="auto"/>
                <w:right w:val="none" w:sz="0" w:space="0" w:color="auto"/>
              </w:divBdr>
            </w:div>
            <w:div w:id="1648126148">
              <w:marLeft w:val="0"/>
              <w:marRight w:val="0"/>
              <w:marTop w:val="0"/>
              <w:marBottom w:val="0"/>
              <w:divBdr>
                <w:top w:val="none" w:sz="0" w:space="0" w:color="auto"/>
                <w:left w:val="none" w:sz="0" w:space="0" w:color="auto"/>
                <w:bottom w:val="none" w:sz="0" w:space="0" w:color="auto"/>
                <w:right w:val="none" w:sz="0" w:space="0" w:color="auto"/>
              </w:divBdr>
            </w:div>
            <w:div w:id="1658609539">
              <w:marLeft w:val="0"/>
              <w:marRight w:val="0"/>
              <w:marTop w:val="0"/>
              <w:marBottom w:val="0"/>
              <w:divBdr>
                <w:top w:val="none" w:sz="0" w:space="0" w:color="auto"/>
                <w:left w:val="none" w:sz="0" w:space="0" w:color="auto"/>
                <w:bottom w:val="none" w:sz="0" w:space="0" w:color="auto"/>
                <w:right w:val="none" w:sz="0" w:space="0" w:color="auto"/>
              </w:divBdr>
            </w:div>
            <w:div w:id="1708334104">
              <w:marLeft w:val="0"/>
              <w:marRight w:val="0"/>
              <w:marTop w:val="0"/>
              <w:marBottom w:val="0"/>
              <w:divBdr>
                <w:top w:val="none" w:sz="0" w:space="0" w:color="auto"/>
                <w:left w:val="none" w:sz="0" w:space="0" w:color="auto"/>
                <w:bottom w:val="none" w:sz="0" w:space="0" w:color="auto"/>
                <w:right w:val="none" w:sz="0" w:space="0" w:color="auto"/>
              </w:divBdr>
            </w:div>
            <w:div w:id="1718049480">
              <w:marLeft w:val="0"/>
              <w:marRight w:val="0"/>
              <w:marTop w:val="0"/>
              <w:marBottom w:val="0"/>
              <w:divBdr>
                <w:top w:val="none" w:sz="0" w:space="0" w:color="auto"/>
                <w:left w:val="none" w:sz="0" w:space="0" w:color="auto"/>
                <w:bottom w:val="none" w:sz="0" w:space="0" w:color="auto"/>
                <w:right w:val="none" w:sz="0" w:space="0" w:color="auto"/>
              </w:divBdr>
            </w:div>
            <w:div w:id="1756441621">
              <w:marLeft w:val="0"/>
              <w:marRight w:val="0"/>
              <w:marTop w:val="0"/>
              <w:marBottom w:val="0"/>
              <w:divBdr>
                <w:top w:val="none" w:sz="0" w:space="0" w:color="auto"/>
                <w:left w:val="none" w:sz="0" w:space="0" w:color="auto"/>
                <w:bottom w:val="none" w:sz="0" w:space="0" w:color="auto"/>
                <w:right w:val="none" w:sz="0" w:space="0" w:color="auto"/>
              </w:divBdr>
            </w:div>
            <w:div w:id="1780561526">
              <w:marLeft w:val="0"/>
              <w:marRight w:val="0"/>
              <w:marTop w:val="0"/>
              <w:marBottom w:val="0"/>
              <w:divBdr>
                <w:top w:val="none" w:sz="0" w:space="0" w:color="auto"/>
                <w:left w:val="none" w:sz="0" w:space="0" w:color="auto"/>
                <w:bottom w:val="none" w:sz="0" w:space="0" w:color="auto"/>
                <w:right w:val="none" w:sz="0" w:space="0" w:color="auto"/>
              </w:divBdr>
            </w:div>
            <w:div w:id="1781996502">
              <w:marLeft w:val="0"/>
              <w:marRight w:val="0"/>
              <w:marTop w:val="0"/>
              <w:marBottom w:val="0"/>
              <w:divBdr>
                <w:top w:val="none" w:sz="0" w:space="0" w:color="auto"/>
                <w:left w:val="none" w:sz="0" w:space="0" w:color="auto"/>
                <w:bottom w:val="none" w:sz="0" w:space="0" w:color="auto"/>
                <w:right w:val="none" w:sz="0" w:space="0" w:color="auto"/>
              </w:divBdr>
            </w:div>
            <w:div w:id="1792284537">
              <w:marLeft w:val="0"/>
              <w:marRight w:val="0"/>
              <w:marTop w:val="0"/>
              <w:marBottom w:val="0"/>
              <w:divBdr>
                <w:top w:val="none" w:sz="0" w:space="0" w:color="auto"/>
                <w:left w:val="none" w:sz="0" w:space="0" w:color="auto"/>
                <w:bottom w:val="none" w:sz="0" w:space="0" w:color="auto"/>
                <w:right w:val="none" w:sz="0" w:space="0" w:color="auto"/>
              </w:divBdr>
            </w:div>
            <w:div w:id="1840385775">
              <w:marLeft w:val="0"/>
              <w:marRight w:val="0"/>
              <w:marTop w:val="0"/>
              <w:marBottom w:val="0"/>
              <w:divBdr>
                <w:top w:val="none" w:sz="0" w:space="0" w:color="auto"/>
                <w:left w:val="none" w:sz="0" w:space="0" w:color="auto"/>
                <w:bottom w:val="none" w:sz="0" w:space="0" w:color="auto"/>
                <w:right w:val="none" w:sz="0" w:space="0" w:color="auto"/>
              </w:divBdr>
            </w:div>
            <w:div w:id="1844197749">
              <w:marLeft w:val="0"/>
              <w:marRight w:val="0"/>
              <w:marTop w:val="0"/>
              <w:marBottom w:val="0"/>
              <w:divBdr>
                <w:top w:val="none" w:sz="0" w:space="0" w:color="auto"/>
                <w:left w:val="none" w:sz="0" w:space="0" w:color="auto"/>
                <w:bottom w:val="none" w:sz="0" w:space="0" w:color="auto"/>
                <w:right w:val="none" w:sz="0" w:space="0" w:color="auto"/>
              </w:divBdr>
            </w:div>
            <w:div w:id="1865753635">
              <w:marLeft w:val="0"/>
              <w:marRight w:val="0"/>
              <w:marTop w:val="0"/>
              <w:marBottom w:val="0"/>
              <w:divBdr>
                <w:top w:val="none" w:sz="0" w:space="0" w:color="auto"/>
                <w:left w:val="none" w:sz="0" w:space="0" w:color="auto"/>
                <w:bottom w:val="none" w:sz="0" w:space="0" w:color="auto"/>
                <w:right w:val="none" w:sz="0" w:space="0" w:color="auto"/>
              </w:divBdr>
            </w:div>
            <w:div w:id="1908301743">
              <w:marLeft w:val="0"/>
              <w:marRight w:val="0"/>
              <w:marTop w:val="0"/>
              <w:marBottom w:val="0"/>
              <w:divBdr>
                <w:top w:val="none" w:sz="0" w:space="0" w:color="auto"/>
                <w:left w:val="none" w:sz="0" w:space="0" w:color="auto"/>
                <w:bottom w:val="none" w:sz="0" w:space="0" w:color="auto"/>
                <w:right w:val="none" w:sz="0" w:space="0" w:color="auto"/>
              </w:divBdr>
            </w:div>
            <w:div w:id="1943801992">
              <w:marLeft w:val="0"/>
              <w:marRight w:val="0"/>
              <w:marTop w:val="0"/>
              <w:marBottom w:val="0"/>
              <w:divBdr>
                <w:top w:val="none" w:sz="0" w:space="0" w:color="auto"/>
                <w:left w:val="none" w:sz="0" w:space="0" w:color="auto"/>
                <w:bottom w:val="none" w:sz="0" w:space="0" w:color="auto"/>
                <w:right w:val="none" w:sz="0" w:space="0" w:color="auto"/>
              </w:divBdr>
            </w:div>
            <w:div w:id="1946843723">
              <w:marLeft w:val="0"/>
              <w:marRight w:val="0"/>
              <w:marTop w:val="0"/>
              <w:marBottom w:val="0"/>
              <w:divBdr>
                <w:top w:val="none" w:sz="0" w:space="0" w:color="auto"/>
                <w:left w:val="none" w:sz="0" w:space="0" w:color="auto"/>
                <w:bottom w:val="none" w:sz="0" w:space="0" w:color="auto"/>
                <w:right w:val="none" w:sz="0" w:space="0" w:color="auto"/>
              </w:divBdr>
            </w:div>
            <w:div w:id="1968848749">
              <w:marLeft w:val="0"/>
              <w:marRight w:val="0"/>
              <w:marTop w:val="0"/>
              <w:marBottom w:val="0"/>
              <w:divBdr>
                <w:top w:val="none" w:sz="0" w:space="0" w:color="auto"/>
                <w:left w:val="none" w:sz="0" w:space="0" w:color="auto"/>
                <w:bottom w:val="none" w:sz="0" w:space="0" w:color="auto"/>
                <w:right w:val="none" w:sz="0" w:space="0" w:color="auto"/>
              </w:divBdr>
            </w:div>
            <w:div w:id="2002734016">
              <w:marLeft w:val="0"/>
              <w:marRight w:val="0"/>
              <w:marTop w:val="0"/>
              <w:marBottom w:val="0"/>
              <w:divBdr>
                <w:top w:val="none" w:sz="0" w:space="0" w:color="auto"/>
                <w:left w:val="none" w:sz="0" w:space="0" w:color="auto"/>
                <w:bottom w:val="none" w:sz="0" w:space="0" w:color="auto"/>
                <w:right w:val="none" w:sz="0" w:space="0" w:color="auto"/>
              </w:divBdr>
            </w:div>
            <w:div w:id="2023580902">
              <w:marLeft w:val="0"/>
              <w:marRight w:val="0"/>
              <w:marTop w:val="0"/>
              <w:marBottom w:val="0"/>
              <w:divBdr>
                <w:top w:val="none" w:sz="0" w:space="0" w:color="auto"/>
                <w:left w:val="none" w:sz="0" w:space="0" w:color="auto"/>
                <w:bottom w:val="none" w:sz="0" w:space="0" w:color="auto"/>
                <w:right w:val="none" w:sz="0" w:space="0" w:color="auto"/>
              </w:divBdr>
            </w:div>
            <w:div w:id="2113620644">
              <w:marLeft w:val="0"/>
              <w:marRight w:val="0"/>
              <w:marTop w:val="0"/>
              <w:marBottom w:val="0"/>
              <w:divBdr>
                <w:top w:val="none" w:sz="0" w:space="0" w:color="auto"/>
                <w:left w:val="none" w:sz="0" w:space="0" w:color="auto"/>
                <w:bottom w:val="none" w:sz="0" w:space="0" w:color="auto"/>
                <w:right w:val="none" w:sz="0" w:space="0" w:color="auto"/>
              </w:divBdr>
            </w:div>
            <w:div w:id="2130126878">
              <w:marLeft w:val="0"/>
              <w:marRight w:val="0"/>
              <w:marTop w:val="0"/>
              <w:marBottom w:val="0"/>
              <w:divBdr>
                <w:top w:val="none" w:sz="0" w:space="0" w:color="auto"/>
                <w:left w:val="none" w:sz="0" w:space="0" w:color="auto"/>
                <w:bottom w:val="none" w:sz="0" w:space="0" w:color="auto"/>
                <w:right w:val="none" w:sz="0" w:space="0" w:color="auto"/>
              </w:divBdr>
            </w:div>
            <w:div w:id="2137481427">
              <w:marLeft w:val="0"/>
              <w:marRight w:val="0"/>
              <w:marTop w:val="0"/>
              <w:marBottom w:val="0"/>
              <w:divBdr>
                <w:top w:val="none" w:sz="0" w:space="0" w:color="auto"/>
                <w:left w:val="none" w:sz="0" w:space="0" w:color="auto"/>
                <w:bottom w:val="none" w:sz="0" w:space="0" w:color="auto"/>
                <w:right w:val="none" w:sz="0" w:space="0" w:color="auto"/>
              </w:divBdr>
            </w:div>
          </w:divsChild>
        </w:div>
        <w:div w:id="1987974619">
          <w:marLeft w:val="0"/>
          <w:marRight w:val="0"/>
          <w:marTop w:val="0"/>
          <w:marBottom w:val="0"/>
          <w:divBdr>
            <w:top w:val="none" w:sz="0" w:space="0" w:color="auto"/>
            <w:left w:val="none" w:sz="0" w:space="0" w:color="auto"/>
            <w:bottom w:val="none" w:sz="0" w:space="0" w:color="auto"/>
            <w:right w:val="none" w:sz="0" w:space="0" w:color="auto"/>
          </w:divBdr>
          <w:divsChild>
            <w:div w:id="1735346074">
              <w:marLeft w:val="0"/>
              <w:marRight w:val="0"/>
              <w:marTop w:val="0"/>
              <w:marBottom w:val="0"/>
              <w:divBdr>
                <w:top w:val="none" w:sz="0" w:space="0" w:color="auto"/>
                <w:left w:val="none" w:sz="0" w:space="0" w:color="auto"/>
                <w:bottom w:val="none" w:sz="0" w:space="0" w:color="auto"/>
                <w:right w:val="none" w:sz="0" w:space="0" w:color="auto"/>
              </w:divBdr>
            </w:div>
            <w:div w:id="20429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5634">
      <w:bodyDiv w:val="1"/>
      <w:marLeft w:val="0"/>
      <w:marRight w:val="0"/>
      <w:marTop w:val="0"/>
      <w:marBottom w:val="0"/>
      <w:divBdr>
        <w:top w:val="none" w:sz="0" w:space="0" w:color="auto"/>
        <w:left w:val="none" w:sz="0" w:space="0" w:color="auto"/>
        <w:bottom w:val="none" w:sz="0" w:space="0" w:color="auto"/>
        <w:right w:val="none" w:sz="0" w:space="0" w:color="auto"/>
      </w:divBdr>
    </w:div>
    <w:div w:id="325255649">
      <w:bodyDiv w:val="1"/>
      <w:marLeft w:val="0"/>
      <w:marRight w:val="0"/>
      <w:marTop w:val="0"/>
      <w:marBottom w:val="0"/>
      <w:divBdr>
        <w:top w:val="none" w:sz="0" w:space="0" w:color="auto"/>
        <w:left w:val="none" w:sz="0" w:space="0" w:color="auto"/>
        <w:bottom w:val="none" w:sz="0" w:space="0" w:color="auto"/>
        <w:right w:val="none" w:sz="0" w:space="0" w:color="auto"/>
      </w:divBdr>
    </w:div>
    <w:div w:id="1491478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dcc.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65EF-BF12-4FB7-968D-C49F29CA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9575</Words>
  <Characters>54581</Characters>
  <Application>Microsoft Office Word</Application>
  <DocSecurity>0</DocSecurity>
  <Lines>454</Lines>
  <Paragraphs>128</Paragraphs>
  <ScaleCrop>false</ScaleCrop>
  <Company/>
  <LinksUpToDate>false</LinksUpToDate>
  <CharactersWithSpaces>64028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Ward</dc:creator>
  <cp:keywords/>
  <dc:description/>
  <cp:lastModifiedBy>Rachel Fleming</cp:lastModifiedBy>
  <cp:revision>796</cp:revision>
  <cp:lastPrinted>2025-02-08T00:07:00Z</cp:lastPrinted>
  <dcterms:created xsi:type="dcterms:W3CDTF">2025-01-07T20:15:00Z</dcterms:created>
  <dcterms:modified xsi:type="dcterms:W3CDTF">2025-02-10T11:03:00Z</dcterms:modified>
</cp:coreProperties>
</file>