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7AEBE" w14:textId="2A2645AF" w:rsidR="001D665A" w:rsidRPr="00D9079F" w:rsidRDefault="001D665A" w:rsidP="00F87229">
      <w:pPr>
        <w:pStyle w:val="Title"/>
        <w:jc w:val="left"/>
        <w:rPr>
          <w:rFonts w:ascii="Arial" w:hAnsi="Arial" w:cs="Arial"/>
          <w:sz w:val="24"/>
        </w:rPr>
      </w:pPr>
    </w:p>
    <w:p w14:paraId="73D78F27" w14:textId="77777777" w:rsidR="001D665A" w:rsidRPr="00DD6BD9" w:rsidRDefault="001D665A" w:rsidP="001D665A">
      <w:pPr>
        <w:pStyle w:val="Title"/>
        <w:rPr>
          <w:rFonts w:asciiTheme="minorHAnsi" w:hAnsiTheme="minorHAnsi" w:cs="Arial"/>
        </w:rPr>
      </w:pPr>
      <w:r w:rsidRPr="00DD6BD9">
        <w:rPr>
          <w:rFonts w:asciiTheme="minorHAnsi" w:hAnsiTheme="minorHAnsi" w:cs="Arial"/>
        </w:rPr>
        <w:t>COMHAIRLE CONTAE BAILE ÁTHA CLIATH THEAS</w:t>
      </w:r>
    </w:p>
    <w:p w14:paraId="2F9BCD18" w14:textId="77777777" w:rsidR="001D665A" w:rsidRPr="00DD6BD9" w:rsidRDefault="001D665A" w:rsidP="001D665A">
      <w:pPr>
        <w:pStyle w:val="Title"/>
        <w:rPr>
          <w:rFonts w:asciiTheme="minorHAnsi" w:hAnsiTheme="minorHAnsi" w:cs="Arial"/>
        </w:rPr>
      </w:pPr>
      <w:r w:rsidRPr="00DD6BD9">
        <w:rPr>
          <w:rFonts w:asciiTheme="minorHAnsi" w:hAnsiTheme="minorHAnsi" w:cs="Arial"/>
        </w:rPr>
        <w:t>South Dublin County Council</w:t>
      </w:r>
    </w:p>
    <w:p w14:paraId="0717EA5D" w14:textId="77777777" w:rsidR="001D665A" w:rsidRPr="00600FCF" w:rsidRDefault="001D665A" w:rsidP="001D665A">
      <w:pPr>
        <w:pStyle w:val="Heading1"/>
        <w:jc w:val="center"/>
        <w:rPr>
          <w:rFonts w:asciiTheme="minorHAnsi" w:hAnsiTheme="minorHAnsi" w:cs="Arial"/>
          <w:sz w:val="32"/>
          <w:szCs w:val="24"/>
        </w:rPr>
      </w:pPr>
      <w:r w:rsidRPr="00DD6BD9">
        <w:rPr>
          <w:rFonts w:asciiTheme="minorHAnsi" w:hAnsiTheme="minorHAnsi" w:cs="Arial"/>
          <w:sz w:val="32"/>
          <w:szCs w:val="24"/>
        </w:rPr>
        <w:t>Record of Executive Business and Chief Executive’s Orders</w:t>
      </w:r>
    </w:p>
    <w:p w14:paraId="3B86A0B1" w14:textId="77777777" w:rsidR="001D665A" w:rsidRPr="0017230C" w:rsidRDefault="001D665A" w:rsidP="001D665A">
      <w:pPr>
        <w:autoSpaceDE w:val="0"/>
        <w:autoSpaceDN w:val="0"/>
        <w:adjustRightInd w:val="0"/>
        <w:spacing w:before="100" w:after="100"/>
        <w:jc w:val="center"/>
        <w:rPr>
          <w:rFonts w:asciiTheme="minorHAnsi" w:eastAsia="Calibri" w:hAnsiTheme="minorHAnsi" w:cstheme="minorHAnsi"/>
          <w:sz w:val="22"/>
          <w:szCs w:val="22"/>
          <w:lang w:val="en-IE"/>
        </w:rPr>
      </w:pPr>
      <w:r w:rsidRPr="0017230C">
        <w:rPr>
          <w:rFonts w:asciiTheme="minorHAnsi" w:eastAsia="Calibri" w:hAnsiTheme="minorHAnsi" w:cstheme="minorHAnsi"/>
          <w:sz w:val="22"/>
          <w:szCs w:val="22"/>
          <w:lang w:val="en-IE"/>
        </w:rPr>
        <w:t>Planning and Development Act 2000 (Part XI) (as amended)</w:t>
      </w:r>
    </w:p>
    <w:p w14:paraId="19253A3A" w14:textId="2F0F6C85" w:rsidR="002276D6" w:rsidRDefault="001D665A" w:rsidP="002276D6">
      <w:pPr>
        <w:autoSpaceDE w:val="0"/>
        <w:autoSpaceDN w:val="0"/>
        <w:adjustRightInd w:val="0"/>
        <w:spacing w:before="100" w:after="100"/>
        <w:jc w:val="center"/>
        <w:rPr>
          <w:rFonts w:asciiTheme="minorHAnsi" w:eastAsia="Calibri" w:hAnsiTheme="minorHAnsi" w:cstheme="minorHAnsi"/>
          <w:sz w:val="22"/>
          <w:szCs w:val="22"/>
          <w:lang w:val="en-IE"/>
        </w:rPr>
      </w:pPr>
      <w:r w:rsidRPr="0017230C">
        <w:rPr>
          <w:rFonts w:asciiTheme="minorHAnsi" w:eastAsia="Calibri" w:hAnsiTheme="minorHAnsi" w:cstheme="minorHAnsi"/>
          <w:sz w:val="22"/>
          <w:szCs w:val="22"/>
          <w:lang w:val="en-IE"/>
        </w:rPr>
        <w:t xml:space="preserve">Planning and Development Regulations, 2001(Part 8) (as amended) </w:t>
      </w:r>
    </w:p>
    <w:p w14:paraId="3D5C420E" w14:textId="77777777" w:rsidR="0007725E" w:rsidRDefault="0007725E" w:rsidP="0007725E">
      <w:pPr>
        <w:spacing w:after="160"/>
        <w:jc w:val="center"/>
        <w:rPr>
          <w:rFonts w:ascii="Calibri" w:eastAsia="Calibri" w:hAnsi="Calibri" w:cs="Arial"/>
          <w:b/>
          <w:bCs/>
          <w:sz w:val="22"/>
          <w:szCs w:val="22"/>
        </w:rPr>
      </w:pPr>
      <w:r>
        <w:rPr>
          <w:rFonts w:ascii="Calibri" w:eastAsia="Calibri" w:hAnsi="Calibri" w:cs="Arial"/>
          <w:b/>
          <w:bCs/>
          <w:sz w:val="22"/>
          <w:szCs w:val="22"/>
        </w:rPr>
        <w:t>Brine Saturation Plant - Palmerstown</w:t>
      </w:r>
    </w:p>
    <w:p w14:paraId="41F4B18A" w14:textId="790002CF" w:rsidR="001D665A" w:rsidRPr="0017230C" w:rsidRDefault="001D665A" w:rsidP="001D665A">
      <w:pPr>
        <w:spacing w:after="160"/>
        <w:jc w:val="center"/>
        <w:rPr>
          <w:rFonts w:asciiTheme="minorHAnsi" w:eastAsia="Calibri" w:hAnsiTheme="minorHAnsi" w:cstheme="minorHAnsi"/>
          <w:b/>
          <w:sz w:val="22"/>
          <w:szCs w:val="22"/>
          <w:lang w:val="en-IE"/>
        </w:rPr>
      </w:pPr>
      <w:r w:rsidRPr="0017230C">
        <w:rPr>
          <w:rFonts w:asciiTheme="minorHAnsi" w:eastAsia="Calibri" w:hAnsiTheme="minorHAnsi" w:cstheme="minorHAnsi"/>
          <w:b/>
          <w:sz w:val="22"/>
          <w:szCs w:val="22"/>
          <w:lang w:val="en-IE"/>
        </w:rPr>
        <w:t xml:space="preserve">Appropriate Assessment (AA) Screening Determination </w:t>
      </w:r>
    </w:p>
    <w:p w14:paraId="634BDDE3" w14:textId="77777777" w:rsidR="001D665A" w:rsidRPr="0017230C" w:rsidRDefault="001D665A" w:rsidP="001D665A">
      <w:pPr>
        <w:widowControl w:val="0"/>
        <w:spacing w:line="201" w:lineRule="atLeast"/>
        <w:jc w:val="center"/>
        <w:rPr>
          <w:rFonts w:asciiTheme="minorHAnsi" w:hAnsiTheme="minorHAnsi" w:cstheme="minorHAnsi"/>
          <w:b/>
          <w:snapToGrid w:val="0"/>
          <w:sz w:val="22"/>
          <w:szCs w:val="22"/>
        </w:rPr>
      </w:pPr>
    </w:p>
    <w:p w14:paraId="0F8E8728" w14:textId="77777777" w:rsidR="0007725E" w:rsidRPr="005B78CA" w:rsidRDefault="0007725E" w:rsidP="0007725E">
      <w:pPr>
        <w:spacing w:after="160"/>
        <w:jc w:val="both"/>
        <w:rPr>
          <w:rFonts w:asciiTheme="minorHAnsi" w:eastAsia="Calibri" w:hAnsiTheme="minorHAnsi" w:cstheme="minorHAnsi"/>
          <w:sz w:val="22"/>
          <w:szCs w:val="22"/>
          <w:lang w:val="en-IE"/>
        </w:rPr>
      </w:pPr>
      <w:r w:rsidRPr="005B78CA">
        <w:rPr>
          <w:rFonts w:asciiTheme="minorHAnsi" w:eastAsia="Calibri" w:hAnsiTheme="minorHAnsi" w:cstheme="minorHAnsi"/>
          <w:sz w:val="22"/>
          <w:szCs w:val="22"/>
          <w:lang w:val="en-IE"/>
        </w:rPr>
        <w:t>Pursuant to the requirements of the above, South Dublin County Council is proposing</w:t>
      </w:r>
      <w:bookmarkStart w:id="0" w:name="_Hlk72394468"/>
      <w:r w:rsidRPr="005B78CA">
        <w:rPr>
          <w:rFonts w:asciiTheme="minorHAnsi" w:eastAsia="Calibri" w:hAnsiTheme="minorHAnsi" w:cstheme="minorHAnsi"/>
          <w:sz w:val="22"/>
          <w:szCs w:val="22"/>
          <w:lang w:val="en-IE"/>
        </w:rPr>
        <w:t xml:space="preserve"> to construct a brine saturation plant at the existing salt depot in Palmerstown.</w:t>
      </w:r>
      <w:bookmarkEnd w:id="0"/>
    </w:p>
    <w:p w14:paraId="42BF3498" w14:textId="77777777" w:rsidR="001D665A" w:rsidRPr="005B78CA" w:rsidRDefault="001D665A" w:rsidP="001D665A">
      <w:pPr>
        <w:jc w:val="both"/>
        <w:rPr>
          <w:rFonts w:asciiTheme="minorHAnsi" w:eastAsia="Calibri" w:hAnsiTheme="minorHAnsi" w:cstheme="minorHAnsi"/>
          <w:sz w:val="22"/>
          <w:szCs w:val="22"/>
          <w:lang w:val="en-IE"/>
        </w:rPr>
      </w:pPr>
      <w:r w:rsidRPr="005B78CA">
        <w:rPr>
          <w:rFonts w:asciiTheme="minorHAnsi" w:eastAsia="Calibri" w:hAnsiTheme="minorHAnsi" w:cstheme="minorHAnsi"/>
          <w:sz w:val="22"/>
          <w:szCs w:val="22"/>
          <w:lang w:val="en-IE"/>
        </w:rPr>
        <w:t>It is intended to place the plans and particulars for the development on public display in accordance with the requirements of the Planning and Development Act 2000 to 2011 (as amended) and Planning and Development Regulations, 2001 to 2012 - Part 8.</w:t>
      </w:r>
    </w:p>
    <w:p w14:paraId="3C5179E5" w14:textId="77777777" w:rsidR="001D665A" w:rsidRPr="005B78CA" w:rsidRDefault="001D665A" w:rsidP="001D665A">
      <w:pPr>
        <w:jc w:val="both"/>
        <w:rPr>
          <w:rFonts w:asciiTheme="minorHAnsi" w:eastAsia="Calibri" w:hAnsiTheme="minorHAnsi" w:cstheme="minorHAnsi"/>
          <w:sz w:val="22"/>
          <w:szCs w:val="22"/>
          <w:lang w:val="en-IE"/>
        </w:rPr>
      </w:pPr>
    </w:p>
    <w:p w14:paraId="6D5EA7CB" w14:textId="227E99C4" w:rsidR="00C17C6C" w:rsidRPr="005B78CA" w:rsidRDefault="001D665A" w:rsidP="00C17C6C">
      <w:pPr>
        <w:spacing w:after="160"/>
        <w:jc w:val="both"/>
        <w:rPr>
          <w:rFonts w:asciiTheme="minorHAnsi" w:eastAsia="Calibri" w:hAnsiTheme="minorHAnsi" w:cstheme="minorHAnsi"/>
          <w:sz w:val="22"/>
          <w:szCs w:val="22"/>
          <w:lang w:val="en-IE"/>
        </w:rPr>
      </w:pPr>
      <w:r w:rsidRPr="005B78CA">
        <w:rPr>
          <w:rFonts w:asciiTheme="minorHAnsi" w:eastAsia="Calibri" w:hAnsiTheme="minorHAnsi" w:cstheme="minorHAnsi"/>
          <w:sz w:val="22"/>
          <w:szCs w:val="22"/>
          <w:lang w:val="en-IE"/>
        </w:rPr>
        <w:t xml:space="preserve">Having regard to Article 6(3) of the Habitats Directive, the guidance contained in the Department of Housing Planning Community and Local Government’s </w:t>
      </w:r>
      <w:r w:rsidRPr="005B78CA">
        <w:rPr>
          <w:rFonts w:asciiTheme="minorHAnsi" w:eastAsia="Calibri" w:hAnsiTheme="minorHAnsi" w:cstheme="minorHAnsi"/>
          <w:i/>
          <w:sz w:val="22"/>
          <w:szCs w:val="22"/>
          <w:lang w:val="en-IE"/>
        </w:rPr>
        <w:t>“Appropriate Assessment of Plans and Projects in Ireland Guidance for Planning Authorities”</w:t>
      </w:r>
      <w:r w:rsidRPr="005B78CA">
        <w:rPr>
          <w:rFonts w:asciiTheme="minorHAnsi" w:eastAsia="Calibri" w:hAnsiTheme="minorHAnsi" w:cstheme="minorHAnsi"/>
          <w:sz w:val="22"/>
          <w:szCs w:val="22"/>
          <w:lang w:val="en-IE"/>
        </w:rPr>
        <w:t xml:space="preserve"> (2010) </w:t>
      </w:r>
      <w:r w:rsidRPr="005B78CA">
        <w:rPr>
          <w:rFonts w:asciiTheme="minorHAnsi" w:eastAsia="Calibri" w:hAnsiTheme="minorHAnsi" w:cstheme="minorHAnsi"/>
          <w:iCs/>
          <w:sz w:val="22"/>
          <w:szCs w:val="22"/>
          <w:lang w:val="en-IE"/>
        </w:rPr>
        <w:t>Screening of the development for Appropriate Assessment</w:t>
      </w:r>
      <w:bookmarkStart w:id="1" w:name="_Hlk7710514"/>
      <w:r w:rsidRPr="005B78CA">
        <w:rPr>
          <w:rFonts w:asciiTheme="minorHAnsi" w:eastAsia="Calibri" w:hAnsiTheme="minorHAnsi" w:cstheme="minorHAnsi"/>
          <w:iCs/>
          <w:sz w:val="22"/>
          <w:szCs w:val="22"/>
          <w:lang w:val="en-IE"/>
        </w:rPr>
        <w:t xml:space="preserve"> was </w:t>
      </w:r>
      <w:r w:rsidRPr="005B78CA">
        <w:rPr>
          <w:rFonts w:asciiTheme="minorHAnsi" w:eastAsia="Calibri" w:hAnsiTheme="minorHAnsi" w:cstheme="minorHAnsi"/>
          <w:sz w:val="22"/>
          <w:szCs w:val="22"/>
          <w:lang w:val="en-IE"/>
        </w:rPr>
        <w:t xml:space="preserve">carried out by </w:t>
      </w:r>
      <w:bookmarkEnd w:id="1"/>
      <w:r w:rsidR="0007725E" w:rsidRPr="005B78CA">
        <w:rPr>
          <w:rFonts w:asciiTheme="minorHAnsi" w:eastAsia="Calibri" w:hAnsiTheme="minorHAnsi" w:cstheme="minorHAnsi"/>
          <w:sz w:val="22"/>
          <w:szCs w:val="22"/>
          <w:lang w:val="en-IE"/>
        </w:rPr>
        <w:t>CAAS Ltd.</w:t>
      </w:r>
    </w:p>
    <w:p w14:paraId="16C42D40" w14:textId="3282B60A" w:rsidR="00C17C6C" w:rsidRPr="005B78CA" w:rsidRDefault="001D665A" w:rsidP="005B78CA">
      <w:pPr>
        <w:pStyle w:val="Default"/>
        <w:rPr>
          <w:rFonts w:asciiTheme="minorHAnsi" w:hAnsiTheme="minorHAnsi" w:cstheme="minorHAnsi"/>
          <w:sz w:val="22"/>
          <w:szCs w:val="22"/>
        </w:rPr>
      </w:pPr>
      <w:r w:rsidRPr="005B78CA">
        <w:rPr>
          <w:rFonts w:asciiTheme="minorHAnsi" w:hAnsiTheme="minorHAnsi" w:cstheme="minorHAnsi"/>
          <w:sz w:val="22"/>
          <w:szCs w:val="22"/>
        </w:rPr>
        <w:t xml:space="preserve">Following initial screening of the proposed development, and based upon best scientific judgement, it is concluded that there will be </w:t>
      </w:r>
      <w:r w:rsidRPr="005B78CA">
        <w:rPr>
          <w:rFonts w:asciiTheme="minorHAnsi" w:hAnsiTheme="minorHAnsi" w:cstheme="minorHAnsi"/>
          <w:i/>
          <w:iCs/>
          <w:sz w:val="22"/>
          <w:szCs w:val="22"/>
        </w:rPr>
        <w:t xml:space="preserve">no likely significant effects </w:t>
      </w:r>
      <w:r w:rsidRPr="005B78CA">
        <w:rPr>
          <w:rFonts w:asciiTheme="minorHAnsi" w:hAnsiTheme="minorHAnsi" w:cstheme="minorHAnsi"/>
          <w:sz w:val="22"/>
          <w:szCs w:val="22"/>
        </w:rPr>
        <w:t>from the project on the</w:t>
      </w:r>
      <w:r w:rsidR="005B78CA" w:rsidRPr="005B78CA">
        <w:rPr>
          <w:rFonts w:asciiTheme="minorHAnsi" w:hAnsiTheme="minorHAnsi" w:cstheme="minorHAnsi"/>
          <w:sz w:val="22"/>
          <w:szCs w:val="22"/>
        </w:rPr>
        <w:t xml:space="preserve"> following</w:t>
      </w:r>
      <w:r w:rsidRPr="005B78CA">
        <w:rPr>
          <w:rFonts w:asciiTheme="minorHAnsi" w:hAnsiTheme="minorHAnsi" w:cstheme="minorHAnsi"/>
          <w:sz w:val="22"/>
          <w:szCs w:val="22"/>
        </w:rPr>
        <w:t xml:space="preserve"> Natura 2000 sites: </w:t>
      </w:r>
      <w:r w:rsidR="002276D6" w:rsidRPr="005B78CA">
        <w:rPr>
          <w:rFonts w:asciiTheme="minorHAnsi" w:hAnsiTheme="minorHAnsi" w:cstheme="minorHAnsi"/>
          <w:sz w:val="22"/>
          <w:szCs w:val="22"/>
        </w:rPr>
        <w:t>Glenasmole Valley SAC</w:t>
      </w:r>
      <w:r w:rsidR="005B78CA" w:rsidRPr="005B78CA">
        <w:rPr>
          <w:rFonts w:asciiTheme="minorHAnsi" w:hAnsiTheme="minorHAnsi" w:cstheme="minorHAnsi"/>
          <w:sz w:val="22"/>
          <w:szCs w:val="22"/>
        </w:rPr>
        <w:t xml:space="preserve">, </w:t>
      </w:r>
      <w:r w:rsidR="002276D6" w:rsidRPr="005B78CA">
        <w:rPr>
          <w:rFonts w:asciiTheme="minorHAnsi" w:hAnsiTheme="minorHAnsi" w:cstheme="minorHAnsi"/>
          <w:sz w:val="22"/>
          <w:szCs w:val="22"/>
        </w:rPr>
        <w:t>Wicklow Mountains SAC</w:t>
      </w:r>
      <w:r w:rsidR="005B78CA" w:rsidRPr="005B78CA">
        <w:rPr>
          <w:rFonts w:asciiTheme="minorHAnsi" w:hAnsiTheme="minorHAnsi" w:cstheme="minorHAnsi"/>
          <w:sz w:val="22"/>
          <w:szCs w:val="22"/>
        </w:rPr>
        <w:t xml:space="preserve">, </w:t>
      </w:r>
      <w:r w:rsidR="002276D6" w:rsidRPr="005B78CA">
        <w:rPr>
          <w:rFonts w:asciiTheme="minorHAnsi" w:hAnsiTheme="minorHAnsi" w:cstheme="minorHAnsi"/>
          <w:sz w:val="22"/>
          <w:szCs w:val="22"/>
        </w:rPr>
        <w:t>Wicklow Mountains SPA</w:t>
      </w:r>
      <w:r w:rsidR="005B78CA" w:rsidRPr="005B78CA">
        <w:rPr>
          <w:rFonts w:asciiTheme="minorHAnsi" w:hAnsiTheme="minorHAnsi" w:cstheme="minorHAnsi"/>
          <w:sz w:val="22"/>
          <w:szCs w:val="22"/>
        </w:rPr>
        <w:t xml:space="preserve">, </w:t>
      </w:r>
      <w:r w:rsidR="002276D6" w:rsidRPr="005B78CA">
        <w:rPr>
          <w:rFonts w:asciiTheme="minorHAnsi" w:hAnsiTheme="minorHAnsi" w:cstheme="minorHAnsi"/>
          <w:sz w:val="22"/>
          <w:szCs w:val="22"/>
        </w:rPr>
        <w:t>South Dublin Bay SAC</w:t>
      </w:r>
      <w:r w:rsidR="005B78CA" w:rsidRPr="005B78CA">
        <w:rPr>
          <w:rFonts w:asciiTheme="minorHAnsi" w:hAnsiTheme="minorHAnsi" w:cstheme="minorHAnsi"/>
          <w:sz w:val="22"/>
          <w:szCs w:val="22"/>
        </w:rPr>
        <w:t xml:space="preserve">, </w:t>
      </w:r>
      <w:r w:rsidR="002276D6" w:rsidRPr="005B78CA">
        <w:rPr>
          <w:rFonts w:asciiTheme="minorHAnsi" w:hAnsiTheme="minorHAnsi" w:cstheme="minorHAnsi"/>
          <w:sz w:val="22"/>
          <w:szCs w:val="22"/>
        </w:rPr>
        <w:t>South Dublin Bay and River Tolka</w:t>
      </w:r>
      <w:r w:rsidR="00C17C6C" w:rsidRPr="005B78CA">
        <w:rPr>
          <w:rFonts w:asciiTheme="minorHAnsi" w:hAnsiTheme="minorHAnsi" w:cstheme="minorHAnsi"/>
          <w:sz w:val="22"/>
          <w:szCs w:val="22"/>
        </w:rPr>
        <w:t xml:space="preserve"> Estuary</w:t>
      </w:r>
      <w:r w:rsidR="002276D6" w:rsidRPr="005B78CA">
        <w:rPr>
          <w:rFonts w:asciiTheme="minorHAnsi" w:hAnsiTheme="minorHAnsi" w:cstheme="minorHAnsi"/>
          <w:sz w:val="22"/>
          <w:szCs w:val="22"/>
        </w:rPr>
        <w:t xml:space="preserve"> SPA</w:t>
      </w:r>
      <w:r w:rsidR="005B78CA" w:rsidRPr="005B78CA">
        <w:rPr>
          <w:rFonts w:asciiTheme="minorHAnsi" w:hAnsiTheme="minorHAnsi" w:cstheme="minorHAnsi"/>
          <w:sz w:val="22"/>
          <w:szCs w:val="22"/>
        </w:rPr>
        <w:t xml:space="preserve">, </w:t>
      </w:r>
      <w:r w:rsidR="002276D6" w:rsidRPr="005B78CA">
        <w:rPr>
          <w:rFonts w:asciiTheme="minorHAnsi" w:hAnsiTheme="minorHAnsi" w:cstheme="minorHAnsi"/>
          <w:sz w:val="22"/>
          <w:szCs w:val="22"/>
        </w:rPr>
        <w:t>North Dublin Bay SAC</w:t>
      </w:r>
      <w:r w:rsidR="005B78CA" w:rsidRPr="005B78CA">
        <w:rPr>
          <w:rFonts w:asciiTheme="minorHAnsi" w:hAnsiTheme="minorHAnsi" w:cstheme="minorHAnsi"/>
          <w:sz w:val="22"/>
          <w:szCs w:val="22"/>
        </w:rPr>
        <w:t xml:space="preserve">, </w:t>
      </w:r>
      <w:r w:rsidR="002276D6" w:rsidRPr="005B78CA">
        <w:rPr>
          <w:rFonts w:asciiTheme="minorHAnsi" w:hAnsiTheme="minorHAnsi" w:cstheme="minorHAnsi"/>
          <w:sz w:val="22"/>
          <w:szCs w:val="22"/>
        </w:rPr>
        <w:t>North Bull Island SPA</w:t>
      </w:r>
      <w:r w:rsidR="005B78CA" w:rsidRPr="005B78CA">
        <w:rPr>
          <w:rFonts w:asciiTheme="minorHAnsi" w:hAnsiTheme="minorHAnsi" w:cstheme="minorHAnsi"/>
          <w:sz w:val="22"/>
          <w:szCs w:val="22"/>
        </w:rPr>
        <w:t xml:space="preserve">, </w:t>
      </w:r>
      <w:r w:rsidR="00C17C6C" w:rsidRPr="005B78CA">
        <w:rPr>
          <w:rFonts w:asciiTheme="minorHAnsi" w:hAnsiTheme="minorHAnsi" w:cstheme="minorHAnsi"/>
          <w:sz w:val="22"/>
          <w:szCs w:val="22"/>
        </w:rPr>
        <w:t>Rye Water Valler/Cartron SAC</w:t>
      </w:r>
      <w:r w:rsidR="005B78CA" w:rsidRPr="005B78CA">
        <w:rPr>
          <w:rFonts w:asciiTheme="minorHAnsi" w:hAnsiTheme="minorHAnsi" w:cstheme="minorHAnsi"/>
          <w:sz w:val="22"/>
          <w:szCs w:val="22"/>
        </w:rPr>
        <w:t xml:space="preserve"> and </w:t>
      </w:r>
      <w:r w:rsidR="00C17C6C" w:rsidRPr="005B78CA">
        <w:rPr>
          <w:rFonts w:asciiTheme="minorHAnsi" w:hAnsiTheme="minorHAnsi" w:cstheme="minorHAnsi"/>
          <w:sz w:val="22"/>
          <w:szCs w:val="22"/>
        </w:rPr>
        <w:t>Knocksink Wood SAC</w:t>
      </w:r>
      <w:r w:rsidR="005B78CA" w:rsidRPr="005B78CA">
        <w:rPr>
          <w:rFonts w:asciiTheme="minorHAnsi" w:hAnsiTheme="minorHAnsi" w:cstheme="minorHAnsi"/>
          <w:sz w:val="22"/>
          <w:szCs w:val="22"/>
        </w:rPr>
        <w:t>.</w:t>
      </w:r>
    </w:p>
    <w:p w14:paraId="53FEF174" w14:textId="498EE4C8" w:rsidR="001D665A" w:rsidRPr="005B78CA" w:rsidRDefault="001D665A" w:rsidP="001D665A">
      <w:pPr>
        <w:spacing w:after="160"/>
        <w:jc w:val="both"/>
        <w:rPr>
          <w:rFonts w:asciiTheme="minorHAnsi" w:hAnsiTheme="minorHAnsi" w:cstheme="minorHAnsi"/>
          <w:sz w:val="22"/>
          <w:szCs w:val="22"/>
          <w:lang w:val="en-IE"/>
        </w:rPr>
      </w:pPr>
      <w:r w:rsidRPr="005B78CA">
        <w:rPr>
          <w:rFonts w:asciiTheme="minorHAnsi" w:hAnsiTheme="minorHAnsi" w:cstheme="minorHAnsi"/>
          <w:sz w:val="22"/>
          <w:szCs w:val="22"/>
          <w:lang w:val="en-IE"/>
        </w:rPr>
        <w:t xml:space="preserve">Following an examination, analysis and evaluation of the relevant information and potential for significant effects on the </w:t>
      </w:r>
      <w:r w:rsidR="000368DE" w:rsidRPr="005B78CA">
        <w:rPr>
          <w:rFonts w:asciiTheme="minorHAnsi" w:hAnsiTheme="minorHAnsi" w:cstheme="minorHAnsi"/>
          <w:sz w:val="22"/>
          <w:szCs w:val="22"/>
          <w:lang w:val="en-IE"/>
        </w:rPr>
        <w:t>conservation</w:t>
      </w:r>
      <w:r w:rsidRPr="005B78CA">
        <w:rPr>
          <w:rFonts w:asciiTheme="minorHAnsi" w:hAnsiTheme="minorHAnsi" w:cstheme="minorHAnsi"/>
          <w:sz w:val="22"/>
          <w:szCs w:val="22"/>
          <w:lang w:val="en-IE"/>
        </w:rPr>
        <w:t xml:space="preserve"> objectives of Natura 2000 sites, and application of the Precautionary Principle, the </w:t>
      </w:r>
      <w:r w:rsidR="005B78CA">
        <w:rPr>
          <w:rFonts w:asciiTheme="minorHAnsi" w:hAnsiTheme="minorHAnsi" w:cstheme="minorHAnsi"/>
          <w:sz w:val="22"/>
          <w:szCs w:val="22"/>
          <w:lang w:val="en-IE"/>
        </w:rPr>
        <w:t xml:space="preserve">Screening </w:t>
      </w:r>
      <w:r w:rsidRPr="005B78CA">
        <w:rPr>
          <w:rFonts w:asciiTheme="minorHAnsi" w:hAnsiTheme="minorHAnsi" w:cstheme="minorHAnsi"/>
          <w:sz w:val="22"/>
          <w:szCs w:val="22"/>
          <w:lang w:val="en-IE"/>
        </w:rPr>
        <w:t xml:space="preserve">Report determines, on the basis of objective information that the proposed development; either alone or in-combination with other plans and projects, will not result in likely significant effects on any European site in view of their conservation objectives. </w:t>
      </w:r>
    </w:p>
    <w:p w14:paraId="09DC363B" w14:textId="7E60E2B6" w:rsidR="000368DE" w:rsidRPr="005B78CA" w:rsidRDefault="000368DE" w:rsidP="001D665A">
      <w:pPr>
        <w:spacing w:after="160"/>
        <w:jc w:val="both"/>
        <w:rPr>
          <w:rFonts w:asciiTheme="minorHAnsi" w:hAnsiTheme="minorHAnsi" w:cstheme="minorHAnsi"/>
          <w:sz w:val="22"/>
          <w:szCs w:val="22"/>
          <w:lang w:val="en-IE"/>
        </w:rPr>
      </w:pPr>
      <w:r w:rsidRPr="005B78CA">
        <w:rPr>
          <w:rFonts w:asciiTheme="minorHAnsi" w:hAnsiTheme="minorHAnsi" w:cstheme="minorHAnsi"/>
          <w:sz w:val="22"/>
          <w:szCs w:val="22"/>
          <w:lang w:val="en-IE"/>
        </w:rPr>
        <w:t xml:space="preserve">On the basis of the screening exercise, it can be concluded that the possibility of any significant adverse impacts on the Natura 2000 sites within the zone of </w:t>
      </w:r>
      <w:r w:rsidR="009D0E2F" w:rsidRPr="005B78CA">
        <w:rPr>
          <w:rFonts w:asciiTheme="minorHAnsi" w:hAnsiTheme="minorHAnsi" w:cstheme="minorHAnsi"/>
          <w:sz w:val="22"/>
          <w:szCs w:val="22"/>
          <w:lang w:val="en-IE"/>
        </w:rPr>
        <w:t>influence</w:t>
      </w:r>
      <w:r w:rsidRPr="005B78CA">
        <w:rPr>
          <w:rFonts w:asciiTheme="minorHAnsi" w:hAnsiTheme="minorHAnsi" w:cstheme="minorHAnsi"/>
          <w:sz w:val="22"/>
          <w:szCs w:val="22"/>
          <w:lang w:val="en-IE"/>
        </w:rPr>
        <w:t>, whether arising from the project itself or in combination with other plans and projects, can be excluded beyond a reasonable scientific doubt on the basis of the best scientific knowledge available.</w:t>
      </w:r>
    </w:p>
    <w:p w14:paraId="7681D99C" w14:textId="6DDDCC17" w:rsidR="001D665A" w:rsidRPr="005B78CA" w:rsidRDefault="001D665A" w:rsidP="001D665A">
      <w:pPr>
        <w:jc w:val="both"/>
        <w:rPr>
          <w:rFonts w:asciiTheme="minorHAnsi" w:hAnsiTheme="minorHAnsi" w:cstheme="minorHAnsi"/>
          <w:sz w:val="22"/>
          <w:szCs w:val="22"/>
          <w:lang w:val="en-IE"/>
        </w:rPr>
      </w:pPr>
      <w:r w:rsidRPr="005B78CA">
        <w:rPr>
          <w:rFonts w:asciiTheme="minorHAnsi" w:hAnsiTheme="minorHAnsi" w:cstheme="minorHAnsi"/>
          <w:sz w:val="22"/>
          <w:szCs w:val="22"/>
          <w:lang w:val="en-IE"/>
        </w:rPr>
        <w:t>For the reasons outlined above it is considered that the proposal will not present a risk to any Natura 2000 sites. As such this screening exercise concludes that an Appropriate Assessment is not required for this project.</w:t>
      </w:r>
    </w:p>
    <w:p w14:paraId="52C8CD97" w14:textId="09EBA287" w:rsidR="001D665A" w:rsidRPr="0017230C" w:rsidRDefault="001D665A" w:rsidP="001D665A">
      <w:pPr>
        <w:widowControl w:val="0"/>
        <w:spacing w:line="201" w:lineRule="atLeast"/>
        <w:jc w:val="both"/>
        <w:rPr>
          <w:rFonts w:asciiTheme="minorHAnsi" w:hAnsiTheme="minorHAnsi" w:cstheme="minorHAnsi"/>
          <w:snapToGrid w:val="0"/>
          <w:sz w:val="22"/>
          <w:szCs w:val="22"/>
        </w:rPr>
      </w:pPr>
      <w:r w:rsidRPr="005B78CA">
        <w:rPr>
          <w:rFonts w:asciiTheme="minorHAnsi" w:hAnsiTheme="minorHAnsi" w:cstheme="minorHAnsi"/>
          <w:snapToGrid w:val="0"/>
          <w:sz w:val="22"/>
          <w:szCs w:val="22"/>
        </w:rPr>
        <w:t xml:space="preserve">                                                                 </w:t>
      </w:r>
    </w:p>
    <w:p w14:paraId="20D2F872" w14:textId="77777777" w:rsidR="00F87229" w:rsidRDefault="00F87229" w:rsidP="001D665A">
      <w:pPr>
        <w:widowControl w:val="0"/>
        <w:spacing w:line="201" w:lineRule="atLeast"/>
        <w:rPr>
          <w:rFonts w:asciiTheme="minorHAnsi" w:hAnsiTheme="minorHAnsi" w:cstheme="minorHAnsi"/>
          <w:snapToGrid w:val="0"/>
          <w:sz w:val="22"/>
          <w:szCs w:val="22"/>
        </w:rPr>
      </w:pPr>
    </w:p>
    <w:p w14:paraId="35ED1D2A" w14:textId="77777777" w:rsidR="00F87229" w:rsidRDefault="00F87229" w:rsidP="001D665A">
      <w:pPr>
        <w:widowControl w:val="0"/>
        <w:spacing w:line="201" w:lineRule="atLeast"/>
        <w:rPr>
          <w:rFonts w:asciiTheme="minorHAnsi" w:hAnsiTheme="minorHAnsi" w:cstheme="minorHAnsi"/>
          <w:snapToGrid w:val="0"/>
          <w:sz w:val="22"/>
          <w:szCs w:val="22"/>
        </w:rPr>
      </w:pPr>
    </w:p>
    <w:p w14:paraId="6FA9C87E" w14:textId="0DB3F88F" w:rsidR="001D665A" w:rsidRPr="009B5D45" w:rsidRDefault="001D665A" w:rsidP="001D665A">
      <w:pPr>
        <w:widowControl w:val="0"/>
        <w:spacing w:line="201" w:lineRule="atLeast"/>
        <w:rPr>
          <w:rFonts w:asciiTheme="minorHAnsi" w:hAnsiTheme="minorHAnsi" w:cstheme="minorHAnsi"/>
          <w:snapToGrid w:val="0"/>
          <w:sz w:val="22"/>
          <w:szCs w:val="22"/>
          <w:u w:val="single"/>
        </w:rPr>
      </w:pPr>
      <w:r w:rsidRPr="009B5D45">
        <w:rPr>
          <w:rFonts w:asciiTheme="minorHAnsi" w:hAnsiTheme="minorHAnsi" w:cstheme="minorHAnsi"/>
          <w:snapToGrid w:val="0"/>
          <w:sz w:val="22"/>
          <w:szCs w:val="22"/>
          <w:u w:val="single"/>
        </w:rPr>
        <w:t>_</w:t>
      </w:r>
      <w:r w:rsidR="009B5D45" w:rsidRPr="009B5D45">
        <w:rPr>
          <w:rFonts w:asciiTheme="minorHAnsi" w:hAnsiTheme="minorHAnsi" w:cstheme="minorHAnsi"/>
          <w:snapToGrid w:val="0"/>
          <w:sz w:val="22"/>
          <w:szCs w:val="22"/>
          <w:u w:val="single"/>
        </w:rPr>
        <w:t>Colin Clarke</w:t>
      </w:r>
      <w:r w:rsidRPr="009B5D45">
        <w:rPr>
          <w:rFonts w:asciiTheme="minorHAnsi" w:hAnsiTheme="minorHAnsi" w:cstheme="minorHAnsi"/>
          <w:b/>
          <w:snapToGrid w:val="0"/>
          <w:sz w:val="22"/>
          <w:szCs w:val="22"/>
          <w:u w:val="single"/>
        </w:rPr>
        <w:t xml:space="preserve">             </w:t>
      </w:r>
    </w:p>
    <w:p w14:paraId="5F7D8B53" w14:textId="4D32C88D" w:rsidR="001D665A" w:rsidRPr="0017230C" w:rsidRDefault="001D665A" w:rsidP="001D665A">
      <w:pPr>
        <w:widowControl w:val="0"/>
        <w:spacing w:line="201" w:lineRule="atLeast"/>
        <w:rPr>
          <w:rFonts w:asciiTheme="minorHAnsi" w:hAnsiTheme="minorHAnsi" w:cstheme="minorHAnsi"/>
          <w:b/>
          <w:snapToGrid w:val="0"/>
          <w:sz w:val="22"/>
          <w:szCs w:val="22"/>
        </w:rPr>
      </w:pPr>
      <w:r w:rsidRPr="0017230C">
        <w:rPr>
          <w:rFonts w:asciiTheme="minorHAnsi" w:hAnsiTheme="minorHAnsi" w:cstheme="minorHAnsi"/>
          <w:b/>
          <w:snapToGrid w:val="0"/>
          <w:sz w:val="22"/>
          <w:szCs w:val="22"/>
        </w:rPr>
        <w:t>Senior</w:t>
      </w:r>
      <w:r w:rsidR="005B78CA">
        <w:rPr>
          <w:rFonts w:asciiTheme="minorHAnsi" w:hAnsiTheme="minorHAnsi" w:cstheme="minorHAnsi"/>
          <w:b/>
          <w:snapToGrid w:val="0"/>
          <w:sz w:val="22"/>
          <w:szCs w:val="22"/>
        </w:rPr>
        <w:t xml:space="preserve"> Executive</w:t>
      </w:r>
      <w:r w:rsidRPr="0017230C">
        <w:rPr>
          <w:rFonts w:asciiTheme="minorHAnsi" w:hAnsiTheme="minorHAnsi" w:cstheme="minorHAnsi"/>
          <w:b/>
          <w:snapToGrid w:val="0"/>
          <w:sz w:val="22"/>
          <w:szCs w:val="22"/>
        </w:rPr>
        <w:t xml:space="preserve"> Planner </w:t>
      </w:r>
    </w:p>
    <w:p w14:paraId="6E56CB3D" w14:textId="77777777" w:rsidR="001D665A" w:rsidRPr="0017230C" w:rsidRDefault="001D665A" w:rsidP="001D665A">
      <w:pPr>
        <w:widowControl w:val="0"/>
        <w:spacing w:line="201" w:lineRule="atLeast"/>
        <w:rPr>
          <w:rFonts w:asciiTheme="minorHAnsi" w:hAnsiTheme="minorHAnsi" w:cstheme="minorHAnsi"/>
          <w:snapToGrid w:val="0"/>
          <w:sz w:val="22"/>
          <w:szCs w:val="22"/>
        </w:rPr>
      </w:pPr>
    </w:p>
    <w:p w14:paraId="12BFC612" w14:textId="77777777" w:rsidR="001D665A" w:rsidRPr="0017230C" w:rsidRDefault="001D665A" w:rsidP="001D665A">
      <w:pPr>
        <w:widowControl w:val="0"/>
        <w:spacing w:line="201" w:lineRule="atLeast"/>
        <w:ind w:left="1440" w:hanging="1440"/>
        <w:jc w:val="both"/>
        <w:rPr>
          <w:rFonts w:asciiTheme="minorHAnsi" w:hAnsiTheme="minorHAnsi" w:cstheme="minorHAnsi"/>
          <w:b/>
          <w:snapToGrid w:val="0"/>
          <w:sz w:val="22"/>
          <w:szCs w:val="22"/>
        </w:rPr>
      </w:pPr>
    </w:p>
    <w:p w14:paraId="553322D8" w14:textId="77777777" w:rsidR="00F87229" w:rsidRDefault="00F87229" w:rsidP="001D665A">
      <w:pPr>
        <w:widowControl w:val="0"/>
        <w:spacing w:line="201" w:lineRule="atLeast"/>
        <w:ind w:left="1440" w:hanging="1440"/>
        <w:jc w:val="both"/>
        <w:rPr>
          <w:rFonts w:asciiTheme="minorHAnsi" w:hAnsiTheme="minorHAnsi" w:cstheme="minorHAnsi"/>
          <w:b/>
          <w:snapToGrid w:val="0"/>
          <w:sz w:val="22"/>
          <w:szCs w:val="22"/>
        </w:rPr>
      </w:pPr>
    </w:p>
    <w:p w14:paraId="621E4B06" w14:textId="3044A9CE" w:rsidR="001D665A" w:rsidRPr="0017230C" w:rsidRDefault="001D665A" w:rsidP="001D665A">
      <w:pPr>
        <w:widowControl w:val="0"/>
        <w:spacing w:line="201" w:lineRule="atLeast"/>
        <w:ind w:left="1440" w:hanging="1440"/>
        <w:jc w:val="both"/>
        <w:rPr>
          <w:rFonts w:asciiTheme="minorHAnsi" w:hAnsiTheme="minorHAnsi" w:cstheme="minorHAnsi"/>
          <w:sz w:val="22"/>
          <w:szCs w:val="22"/>
          <w:lang w:val="en-IE"/>
        </w:rPr>
      </w:pPr>
      <w:r w:rsidRPr="0017230C">
        <w:rPr>
          <w:rFonts w:asciiTheme="minorHAnsi" w:hAnsiTheme="minorHAnsi" w:cstheme="minorHAnsi"/>
          <w:b/>
          <w:snapToGrid w:val="0"/>
          <w:sz w:val="22"/>
          <w:szCs w:val="22"/>
        </w:rPr>
        <w:t xml:space="preserve">Order: </w:t>
      </w:r>
      <w:r w:rsidRPr="0017230C">
        <w:rPr>
          <w:rFonts w:asciiTheme="minorHAnsi" w:hAnsiTheme="minorHAnsi" w:cstheme="minorHAnsi"/>
          <w:b/>
          <w:snapToGrid w:val="0"/>
          <w:sz w:val="22"/>
          <w:szCs w:val="22"/>
        </w:rPr>
        <w:tab/>
      </w:r>
      <w:r w:rsidRPr="0017230C">
        <w:rPr>
          <w:rFonts w:asciiTheme="minorHAnsi" w:hAnsiTheme="minorHAnsi" w:cstheme="minorHAnsi"/>
          <w:sz w:val="22"/>
          <w:szCs w:val="22"/>
          <w:lang w:val="en-IE"/>
        </w:rPr>
        <w:t>That South Dublin County Council as the Competent Authority having considered the AA Screening Report prepared</w:t>
      </w:r>
      <w:r w:rsidR="00C17C6C" w:rsidRPr="00C17C6C">
        <w:t xml:space="preserve"> </w:t>
      </w:r>
      <w:r w:rsidR="00C17C6C">
        <w:t xml:space="preserve">by </w:t>
      </w:r>
      <w:r w:rsidR="0007725E">
        <w:rPr>
          <w:rFonts w:asciiTheme="minorHAnsi" w:hAnsiTheme="minorHAnsi" w:cstheme="minorHAnsi"/>
          <w:sz w:val="22"/>
          <w:szCs w:val="22"/>
          <w:lang w:val="en-IE"/>
        </w:rPr>
        <w:t xml:space="preserve">CAAS </w:t>
      </w:r>
      <w:r w:rsidR="00C17C6C" w:rsidRPr="00C17C6C">
        <w:rPr>
          <w:rFonts w:asciiTheme="minorHAnsi" w:hAnsiTheme="minorHAnsi" w:cstheme="minorHAnsi"/>
          <w:sz w:val="22"/>
          <w:szCs w:val="22"/>
          <w:lang w:val="en-IE"/>
        </w:rPr>
        <w:t>Ltd. for South Dublin County Council</w:t>
      </w:r>
      <w:r w:rsidRPr="0017230C">
        <w:rPr>
          <w:rFonts w:asciiTheme="minorHAnsi" w:hAnsiTheme="minorHAnsi" w:cstheme="minorHAnsi"/>
          <w:sz w:val="22"/>
          <w:szCs w:val="22"/>
          <w:lang w:val="en-IE"/>
        </w:rPr>
        <w:t>, makes a determination that a Stage 2: Appropriate Assessment will not be required to inform the development of</w:t>
      </w:r>
      <w:r w:rsidRPr="0017230C">
        <w:rPr>
          <w:rFonts w:asciiTheme="minorHAnsi" w:hAnsiTheme="minorHAnsi" w:cstheme="minorHAnsi"/>
          <w:snapToGrid w:val="0"/>
          <w:sz w:val="22"/>
          <w:szCs w:val="22"/>
        </w:rPr>
        <w:t xml:space="preserve"> </w:t>
      </w:r>
      <w:r w:rsidR="0007725E">
        <w:rPr>
          <w:rFonts w:asciiTheme="minorHAnsi" w:hAnsiTheme="minorHAnsi" w:cstheme="minorHAnsi"/>
          <w:snapToGrid w:val="0"/>
          <w:sz w:val="22"/>
          <w:szCs w:val="22"/>
        </w:rPr>
        <w:t xml:space="preserve">a </w:t>
      </w:r>
      <w:bookmarkStart w:id="2" w:name="_Hlk149914750"/>
      <w:r w:rsidR="0007725E">
        <w:rPr>
          <w:rFonts w:asciiTheme="minorHAnsi" w:hAnsiTheme="minorHAnsi" w:cstheme="minorHAnsi"/>
          <w:snapToGrid w:val="0"/>
          <w:sz w:val="22"/>
          <w:szCs w:val="22"/>
        </w:rPr>
        <w:t>Brine Saturation Plant in Palmerstown Salt Depot</w:t>
      </w:r>
      <w:r w:rsidR="00C17C6C">
        <w:rPr>
          <w:rFonts w:asciiTheme="minorHAnsi" w:hAnsiTheme="minorHAnsi" w:cstheme="minorHAnsi"/>
          <w:snapToGrid w:val="0"/>
          <w:sz w:val="22"/>
          <w:szCs w:val="22"/>
        </w:rPr>
        <w:t xml:space="preserve"> </w:t>
      </w:r>
      <w:bookmarkEnd w:id="2"/>
      <w:r w:rsidRPr="0017230C">
        <w:rPr>
          <w:rFonts w:asciiTheme="minorHAnsi" w:hAnsiTheme="minorHAnsi" w:cstheme="minorHAnsi"/>
          <w:sz w:val="22"/>
          <w:szCs w:val="22"/>
          <w:lang w:val="en-IE"/>
        </w:rPr>
        <w:t>either alone or in combination with other plans or projects, with respect to any Natura 2000 site and its Conservation Objectives.</w:t>
      </w:r>
    </w:p>
    <w:p w14:paraId="3F30FEA5" w14:textId="77777777" w:rsidR="001D665A" w:rsidRPr="0017230C" w:rsidRDefault="001D665A" w:rsidP="001D665A">
      <w:pPr>
        <w:widowControl w:val="0"/>
        <w:spacing w:line="201" w:lineRule="atLeast"/>
        <w:ind w:left="1440" w:hanging="1440"/>
        <w:jc w:val="both"/>
        <w:rPr>
          <w:rFonts w:asciiTheme="minorHAnsi" w:hAnsiTheme="minorHAnsi" w:cstheme="minorHAnsi"/>
          <w:sz w:val="22"/>
          <w:szCs w:val="22"/>
        </w:rPr>
      </w:pPr>
    </w:p>
    <w:p w14:paraId="7D4DC6EF" w14:textId="77777777" w:rsidR="00F87229" w:rsidRDefault="00F87229" w:rsidP="00F87229">
      <w:pPr>
        <w:widowControl w:val="0"/>
        <w:spacing w:line="201" w:lineRule="atLeast"/>
        <w:rPr>
          <w:rFonts w:asciiTheme="minorHAnsi" w:hAnsiTheme="minorHAnsi" w:cstheme="minorHAnsi"/>
          <w:snapToGrid w:val="0"/>
          <w:sz w:val="22"/>
          <w:szCs w:val="22"/>
        </w:rPr>
      </w:pPr>
    </w:p>
    <w:p w14:paraId="436A1191" w14:textId="77777777" w:rsidR="00F87229" w:rsidRDefault="00F87229" w:rsidP="00F87229">
      <w:pPr>
        <w:widowControl w:val="0"/>
        <w:spacing w:line="201" w:lineRule="atLeast"/>
        <w:rPr>
          <w:rFonts w:asciiTheme="minorHAnsi" w:hAnsiTheme="minorHAnsi" w:cstheme="minorHAnsi"/>
          <w:snapToGrid w:val="0"/>
          <w:sz w:val="22"/>
          <w:szCs w:val="22"/>
        </w:rPr>
      </w:pPr>
    </w:p>
    <w:p w14:paraId="1FE1F053" w14:textId="42CA962D" w:rsidR="00D27253" w:rsidRDefault="009B5D45" w:rsidP="009B5D45">
      <w:pPr>
        <w:widowControl w:val="0"/>
        <w:spacing w:line="201" w:lineRule="atLeast"/>
        <w:rPr>
          <w:rFonts w:asciiTheme="minorHAnsi" w:hAnsiTheme="minorHAnsi" w:cstheme="minorHAnsi"/>
          <w:sz w:val="22"/>
          <w:szCs w:val="22"/>
        </w:rPr>
      </w:pPr>
      <w:r w:rsidRPr="009B5D45">
        <w:rPr>
          <w:rFonts w:asciiTheme="minorHAnsi" w:hAnsiTheme="minorHAnsi" w:cstheme="minorHAnsi"/>
          <w:snapToGrid w:val="0"/>
          <w:sz w:val="22"/>
          <w:szCs w:val="22"/>
          <w:u w:val="single"/>
        </w:rPr>
        <w:t>Eoin Burke</w:t>
      </w:r>
      <w:r w:rsidR="001D665A" w:rsidRPr="0017230C">
        <w:rPr>
          <w:rFonts w:asciiTheme="minorHAnsi" w:hAnsiTheme="minorHAnsi" w:cstheme="minorHAnsi"/>
          <w:snapToGrid w:val="0"/>
          <w:sz w:val="22"/>
          <w:szCs w:val="22"/>
        </w:rPr>
        <w:tab/>
      </w:r>
      <w:r w:rsidR="001D665A" w:rsidRPr="0017230C">
        <w:rPr>
          <w:rFonts w:asciiTheme="minorHAnsi" w:hAnsiTheme="minorHAnsi" w:cstheme="minorHAnsi"/>
          <w:snapToGrid w:val="0"/>
          <w:sz w:val="22"/>
          <w:szCs w:val="22"/>
        </w:rPr>
        <w:tab/>
      </w:r>
      <w:r w:rsidR="001D665A" w:rsidRPr="0017230C">
        <w:rPr>
          <w:rFonts w:asciiTheme="minorHAnsi" w:hAnsiTheme="minorHAnsi" w:cstheme="minorHAnsi"/>
          <w:snapToGrid w:val="0"/>
          <w:sz w:val="22"/>
          <w:szCs w:val="22"/>
        </w:rPr>
        <w:tab/>
      </w:r>
      <w:r w:rsidR="00F87229">
        <w:rPr>
          <w:rFonts w:asciiTheme="minorHAnsi" w:hAnsiTheme="minorHAnsi" w:cstheme="minorHAnsi"/>
          <w:snapToGrid w:val="0"/>
          <w:sz w:val="22"/>
          <w:szCs w:val="22"/>
        </w:rPr>
        <w:t xml:space="preserve">Date:  </w:t>
      </w:r>
      <w:r w:rsidRPr="009B5D45">
        <w:rPr>
          <w:rFonts w:asciiTheme="minorHAnsi" w:hAnsiTheme="minorHAnsi" w:cstheme="minorHAnsi"/>
          <w:b/>
          <w:bCs/>
          <w:snapToGrid w:val="0"/>
          <w:sz w:val="22"/>
          <w:szCs w:val="22"/>
        </w:rPr>
        <w:t>20/12/2023</w:t>
      </w:r>
    </w:p>
    <w:p w14:paraId="1E7434FB" w14:textId="773C8E67" w:rsidR="00F87229" w:rsidRPr="009B5D45" w:rsidRDefault="009B5D45">
      <w:pPr>
        <w:rPr>
          <w:rFonts w:asciiTheme="minorHAnsi" w:hAnsiTheme="minorHAnsi" w:cstheme="minorHAnsi"/>
          <w:b/>
          <w:bCs/>
          <w:sz w:val="22"/>
          <w:szCs w:val="22"/>
        </w:rPr>
      </w:pPr>
      <w:r w:rsidRPr="009B5D45">
        <w:rPr>
          <w:rFonts w:asciiTheme="minorHAnsi" w:hAnsiTheme="minorHAnsi" w:cstheme="minorHAnsi"/>
          <w:b/>
          <w:bCs/>
          <w:sz w:val="22"/>
          <w:szCs w:val="22"/>
        </w:rPr>
        <w:t xml:space="preserve">Senior Planner </w:t>
      </w:r>
    </w:p>
    <w:p w14:paraId="6326775D" w14:textId="77777777" w:rsidR="00F87229" w:rsidRDefault="00F87229" w:rsidP="00F87229">
      <w:pPr>
        <w:spacing w:line="360" w:lineRule="auto"/>
        <w:rPr>
          <w:rFonts w:asciiTheme="minorHAnsi" w:hAnsiTheme="minorHAnsi" w:cstheme="minorHAnsi"/>
          <w:b/>
          <w:bCs/>
          <w:sz w:val="22"/>
          <w:szCs w:val="22"/>
        </w:rPr>
      </w:pPr>
    </w:p>
    <w:p w14:paraId="38AAE337" w14:textId="3FBD7B0D" w:rsidR="00F87229" w:rsidRPr="00F87229" w:rsidRDefault="00F87229" w:rsidP="00F87229">
      <w:pPr>
        <w:spacing w:line="360" w:lineRule="auto"/>
        <w:rPr>
          <w:rFonts w:asciiTheme="minorHAnsi" w:hAnsiTheme="minorHAnsi" w:cstheme="minorHAnsi"/>
          <w:b/>
          <w:bCs/>
          <w:sz w:val="22"/>
          <w:szCs w:val="22"/>
          <w:lang w:val="en-US"/>
        </w:rPr>
      </w:pPr>
      <w:r w:rsidRPr="00F87229">
        <w:rPr>
          <w:rFonts w:asciiTheme="minorHAnsi" w:hAnsiTheme="minorHAnsi" w:cstheme="minorHAnsi"/>
          <w:b/>
          <w:bCs/>
          <w:sz w:val="22"/>
          <w:szCs w:val="22"/>
        </w:rPr>
        <w:t>To whom the appropriate powers have been delegated by the order number DELG 1</w:t>
      </w:r>
      <w:r>
        <w:rPr>
          <w:rFonts w:asciiTheme="minorHAnsi" w:hAnsiTheme="minorHAnsi" w:cstheme="minorHAnsi"/>
          <w:b/>
          <w:bCs/>
          <w:sz w:val="22"/>
          <w:szCs w:val="22"/>
        </w:rPr>
        <w:t xml:space="preserve">0123 </w:t>
      </w:r>
      <w:r w:rsidRPr="00F87229">
        <w:rPr>
          <w:rFonts w:asciiTheme="minorHAnsi" w:hAnsiTheme="minorHAnsi" w:cstheme="minorHAnsi"/>
          <w:b/>
          <w:bCs/>
          <w:sz w:val="22"/>
          <w:szCs w:val="22"/>
        </w:rPr>
        <w:t>of the Chief Executive of South Dublin County Council</w:t>
      </w:r>
    </w:p>
    <w:p w14:paraId="7447250E" w14:textId="77777777" w:rsidR="00F87229" w:rsidRPr="00F87229" w:rsidRDefault="00F87229">
      <w:pPr>
        <w:rPr>
          <w:rFonts w:asciiTheme="minorHAnsi" w:hAnsiTheme="minorHAnsi" w:cstheme="minorHAnsi"/>
          <w:sz w:val="22"/>
          <w:szCs w:val="22"/>
        </w:rPr>
      </w:pPr>
    </w:p>
    <w:sectPr w:rsidR="00F87229" w:rsidRPr="00F87229" w:rsidSect="007357D7">
      <w:headerReference w:type="even" r:id="rId6"/>
      <w:headerReference w:type="default" r:id="rId7"/>
      <w:footerReference w:type="even" r:id="rId8"/>
      <w:footerReference w:type="default" r:id="rId9"/>
      <w:headerReference w:type="first" r:id="rId10"/>
      <w:footerReference w:type="first" r:id="rId11"/>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47CF6" w14:textId="77777777" w:rsidR="00F87229" w:rsidRDefault="00F87229" w:rsidP="00F87229">
      <w:r>
        <w:separator/>
      </w:r>
    </w:p>
  </w:endnote>
  <w:endnote w:type="continuationSeparator" w:id="0">
    <w:p w14:paraId="48339B1F" w14:textId="77777777" w:rsidR="00F87229" w:rsidRDefault="00F87229" w:rsidP="00F87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025D4" w14:textId="77777777" w:rsidR="00DC5A3D" w:rsidRDefault="00DC5A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E6A0A" w14:textId="77777777" w:rsidR="00DC5A3D" w:rsidRDefault="00DC5A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F2980" w14:textId="77777777" w:rsidR="00DC5A3D" w:rsidRDefault="00DC5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D39D7" w14:textId="77777777" w:rsidR="00F87229" w:rsidRDefault="00F87229" w:rsidP="00F87229">
      <w:r>
        <w:separator/>
      </w:r>
    </w:p>
  </w:footnote>
  <w:footnote w:type="continuationSeparator" w:id="0">
    <w:p w14:paraId="42D168DA" w14:textId="77777777" w:rsidR="00F87229" w:rsidRDefault="00F87229" w:rsidP="00F87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CCEA2" w14:textId="77777777" w:rsidR="00DC5A3D" w:rsidRDefault="00DC5A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6BA1D" w14:textId="6DBE1EF2" w:rsidR="00F87229" w:rsidRPr="00F87229" w:rsidRDefault="00F87229">
    <w:pPr>
      <w:pStyle w:val="Header"/>
      <w:rPr>
        <w:b/>
        <w:bCs/>
      </w:rPr>
    </w:pPr>
    <w:r>
      <w:tab/>
    </w:r>
    <w:r>
      <w:tab/>
    </w:r>
    <w:r w:rsidRPr="00F87229">
      <w:rPr>
        <w:b/>
        <w:bCs/>
      </w:rPr>
      <w:t>PD</w:t>
    </w:r>
    <w:r w:rsidR="00DC5A3D" w:rsidRPr="00F87229">
      <w:rPr>
        <w:b/>
        <w:bCs/>
      </w:rPr>
      <w:t>/ 542</w:t>
    </w:r>
    <w:r w:rsidRPr="00F87229">
      <w:rPr>
        <w:b/>
        <w:bCs/>
      </w:rPr>
      <w:t xml:space="preserve"> /23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117C8" w14:textId="77777777" w:rsidR="00DC5A3D" w:rsidRDefault="00DC5A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65A"/>
    <w:rsid w:val="000368DE"/>
    <w:rsid w:val="0007725E"/>
    <w:rsid w:val="001424B2"/>
    <w:rsid w:val="001D665A"/>
    <w:rsid w:val="002276D6"/>
    <w:rsid w:val="005B78CA"/>
    <w:rsid w:val="006E573B"/>
    <w:rsid w:val="009B5D45"/>
    <w:rsid w:val="009D0E2F"/>
    <w:rsid w:val="00BF63C2"/>
    <w:rsid w:val="00C17C6C"/>
    <w:rsid w:val="00D27253"/>
    <w:rsid w:val="00DC5A3D"/>
    <w:rsid w:val="00F872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282FA"/>
  <w15:chartTrackingRefBased/>
  <w15:docId w15:val="{0CC9A176-1EAB-48FF-8610-BC9A1A159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65A"/>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9"/>
    <w:qFormat/>
    <w:rsid w:val="001D665A"/>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D665A"/>
    <w:rPr>
      <w:rFonts w:ascii="Times New Roman" w:eastAsia="Times New Roman" w:hAnsi="Times New Roman" w:cs="Times New Roman"/>
      <w:b/>
      <w:sz w:val="24"/>
      <w:szCs w:val="20"/>
      <w:lang w:val="en-GB"/>
    </w:rPr>
  </w:style>
  <w:style w:type="paragraph" w:styleId="Title">
    <w:name w:val="Title"/>
    <w:basedOn w:val="Normal"/>
    <w:link w:val="TitleChar"/>
    <w:uiPriority w:val="99"/>
    <w:qFormat/>
    <w:rsid w:val="001D665A"/>
    <w:pPr>
      <w:jc w:val="center"/>
    </w:pPr>
    <w:rPr>
      <w:b/>
      <w:sz w:val="32"/>
    </w:rPr>
  </w:style>
  <w:style w:type="character" w:customStyle="1" w:styleId="TitleChar">
    <w:name w:val="Title Char"/>
    <w:basedOn w:val="DefaultParagraphFont"/>
    <w:link w:val="Title"/>
    <w:uiPriority w:val="99"/>
    <w:rsid w:val="001D665A"/>
    <w:rPr>
      <w:rFonts w:ascii="Times New Roman" w:eastAsia="Times New Roman" w:hAnsi="Times New Roman" w:cs="Times New Roman"/>
      <w:b/>
      <w:sz w:val="32"/>
      <w:szCs w:val="24"/>
      <w:lang w:val="en-GB"/>
    </w:rPr>
  </w:style>
  <w:style w:type="paragraph" w:customStyle="1" w:styleId="Default">
    <w:name w:val="Default"/>
    <w:rsid w:val="001D665A"/>
    <w:pPr>
      <w:autoSpaceDE w:val="0"/>
      <w:autoSpaceDN w:val="0"/>
      <w:adjustRightInd w:val="0"/>
      <w:spacing w:after="0" w:line="240" w:lineRule="auto"/>
    </w:pPr>
    <w:rPr>
      <w:rFonts w:ascii="Arial" w:eastAsia="Times New Roman" w:hAnsi="Arial" w:cs="Arial"/>
      <w:color w:val="000000"/>
      <w:sz w:val="24"/>
      <w:szCs w:val="24"/>
      <w:lang w:eastAsia="en-IE"/>
    </w:rPr>
  </w:style>
  <w:style w:type="paragraph" w:styleId="Header">
    <w:name w:val="header"/>
    <w:basedOn w:val="Normal"/>
    <w:link w:val="HeaderChar"/>
    <w:uiPriority w:val="99"/>
    <w:unhideWhenUsed/>
    <w:rsid w:val="00F87229"/>
    <w:pPr>
      <w:tabs>
        <w:tab w:val="center" w:pos="4513"/>
        <w:tab w:val="right" w:pos="9026"/>
      </w:tabs>
    </w:pPr>
  </w:style>
  <w:style w:type="character" w:customStyle="1" w:styleId="HeaderChar">
    <w:name w:val="Header Char"/>
    <w:basedOn w:val="DefaultParagraphFont"/>
    <w:link w:val="Header"/>
    <w:uiPriority w:val="99"/>
    <w:rsid w:val="00F87229"/>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F87229"/>
    <w:pPr>
      <w:tabs>
        <w:tab w:val="center" w:pos="4513"/>
        <w:tab w:val="right" w:pos="9026"/>
      </w:tabs>
    </w:pPr>
  </w:style>
  <w:style w:type="character" w:customStyle="1" w:styleId="FooterChar">
    <w:name w:val="Footer Char"/>
    <w:basedOn w:val="DefaultParagraphFont"/>
    <w:link w:val="Footer"/>
    <w:uiPriority w:val="99"/>
    <w:rsid w:val="00F87229"/>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617946">
      <w:bodyDiv w:val="1"/>
      <w:marLeft w:val="0"/>
      <w:marRight w:val="0"/>
      <w:marTop w:val="0"/>
      <w:marBottom w:val="0"/>
      <w:divBdr>
        <w:top w:val="none" w:sz="0" w:space="0" w:color="auto"/>
        <w:left w:val="none" w:sz="0" w:space="0" w:color="auto"/>
        <w:bottom w:val="none" w:sz="0" w:space="0" w:color="auto"/>
        <w:right w:val="none" w:sz="0" w:space="0" w:color="auto"/>
      </w:divBdr>
    </w:div>
    <w:div w:id="642542081">
      <w:bodyDiv w:val="1"/>
      <w:marLeft w:val="0"/>
      <w:marRight w:val="0"/>
      <w:marTop w:val="0"/>
      <w:marBottom w:val="0"/>
      <w:divBdr>
        <w:top w:val="none" w:sz="0" w:space="0" w:color="auto"/>
        <w:left w:val="none" w:sz="0" w:space="0" w:color="auto"/>
        <w:bottom w:val="none" w:sz="0" w:space="0" w:color="auto"/>
        <w:right w:val="none" w:sz="0" w:space="0" w:color="auto"/>
      </w:divBdr>
    </w:div>
    <w:div w:id="182577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Jed McDermott</dc:creator>
  <cp:keywords/>
  <dc:description/>
  <cp:lastModifiedBy>Marian Dunne</cp:lastModifiedBy>
  <cp:revision>3</cp:revision>
  <dcterms:created xsi:type="dcterms:W3CDTF">2023-12-20T14:12:00Z</dcterms:created>
  <dcterms:modified xsi:type="dcterms:W3CDTF">2023-12-20T14:12:00Z</dcterms:modified>
</cp:coreProperties>
</file>