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8764" w14:textId="77777777" w:rsidR="0076505B" w:rsidRPr="0076505B" w:rsidRDefault="0076505B" w:rsidP="0076505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</w:pPr>
      <w:r w:rsidRPr="0076505B"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  <w:t>COMHAIRLE CONTAE ÁTHA CLIATH THEAS</w:t>
      </w:r>
      <w:r w:rsidRPr="0076505B"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  <w:br/>
        <w:t>SOUTH DUBLIN COUNTY COUNCIL</w:t>
      </w:r>
    </w:p>
    <w:p w14:paraId="5839D6FA" w14:textId="77777777" w:rsidR="0076505B" w:rsidRPr="0076505B" w:rsidRDefault="0076505B" w:rsidP="0076505B">
      <w:pPr>
        <w:spacing w:before="300" w:after="30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76505B">
        <w:rPr>
          <w:rFonts w:ascii="Verdana" w:eastAsia="Times New Roman" w:hAnsi="Verdana" w:cs="Times New Roman"/>
          <w:noProof/>
          <w:color w:val="000000"/>
          <w:sz w:val="24"/>
          <w:szCs w:val="24"/>
          <w:lang w:eastAsia="en-IE"/>
        </w:rPr>
        <w:drawing>
          <wp:inline distT="0" distB="0" distL="0" distR="0" wp14:anchorId="3AB5D8AC" wp14:editId="6D4616AC">
            <wp:extent cx="952500" cy="1162050"/>
            <wp:effectExtent l="0" t="0" r="0" b="0"/>
            <wp:docPr id="2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911E2" w14:textId="77777777" w:rsidR="0076505B" w:rsidRPr="0076505B" w:rsidRDefault="0076505B" w:rsidP="0076505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76505B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MEETING OF SOUTH DUBLIN COUNTY COUNCIL</w:t>
      </w:r>
    </w:p>
    <w:p w14:paraId="53ED9826" w14:textId="77777777" w:rsidR="00DD20E7" w:rsidRDefault="00DD20E7" w:rsidP="00DD20E7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Monday</w:t>
      </w:r>
      <w:r w:rsidRPr="007F7D2A">
        <w:rPr>
          <w:rFonts w:ascii="Verdana" w:hAnsi="Verdana"/>
          <w:b/>
          <w:bCs/>
          <w:u w:val="single"/>
        </w:rPr>
        <w:t>, 10</w:t>
      </w:r>
      <w:r w:rsidRPr="007F7D2A">
        <w:rPr>
          <w:rFonts w:ascii="Verdana" w:hAnsi="Verdana"/>
          <w:b/>
          <w:bCs/>
          <w:u w:val="single"/>
          <w:vertAlign w:val="superscript"/>
        </w:rPr>
        <w:t>th</w:t>
      </w:r>
      <w:r w:rsidRPr="007F7D2A">
        <w:rPr>
          <w:rFonts w:ascii="Verdana" w:hAnsi="Verdana"/>
          <w:b/>
          <w:bCs/>
          <w:u w:val="single"/>
        </w:rPr>
        <w:t xml:space="preserve"> </w:t>
      </w:r>
      <w:proofErr w:type="gramStart"/>
      <w:r w:rsidRPr="007F7D2A">
        <w:rPr>
          <w:rFonts w:ascii="Verdana" w:hAnsi="Verdana"/>
          <w:b/>
          <w:bCs/>
          <w:u w:val="single"/>
        </w:rPr>
        <w:t>July,</w:t>
      </w:r>
      <w:proofErr w:type="gramEnd"/>
      <w:r w:rsidRPr="007F7D2A">
        <w:rPr>
          <w:rFonts w:ascii="Verdana" w:hAnsi="Verdana"/>
          <w:b/>
          <w:bCs/>
          <w:u w:val="single"/>
        </w:rPr>
        <w:t xml:space="preserve"> 2023</w:t>
      </w:r>
    </w:p>
    <w:p w14:paraId="5CF2DA20" w14:textId="3DE59C78" w:rsidR="00DD20E7" w:rsidRPr="007F7D2A" w:rsidRDefault="00DD20E7" w:rsidP="00DD20E7">
      <w:pPr>
        <w:pStyle w:val="replymain"/>
        <w:jc w:val="center"/>
        <w:rPr>
          <w:rFonts w:ascii="Verdana" w:hAnsi="Verdana"/>
          <w:b/>
          <w:bCs/>
          <w:u w:val="single"/>
        </w:rPr>
      </w:pPr>
      <w:r w:rsidRPr="007F7D2A">
        <w:rPr>
          <w:rFonts w:ascii="Verdana" w:hAnsi="Verdana"/>
          <w:b/>
          <w:bCs/>
          <w:u w:val="single"/>
        </w:rPr>
        <w:t>HEADED ITEM NO. 1</w:t>
      </w:r>
      <w:r w:rsidR="007F7D2A" w:rsidRPr="007F7D2A">
        <w:rPr>
          <w:rFonts w:ascii="Verdana" w:hAnsi="Verdana"/>
          <w:b/>
          <w:bCs/>
          <w:u w:val="single"/>
        </w:rPr>
        <w:t>3</w:t>
      </w:r>
    </w:p>
    <w:p w14:paraId="0144A339" w14:textId="77777777" w:rsidR="00F06A3C" w:rsidRDefault="00F06A3C" w:rsidP="00F06A3C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Style w:val="Strong"/>
          <w:rFonts w:ascii="Verdana" w:hAnsi="Verdana"/>
          <w:color w:val="000000"/>
          <w:u w:val="single"/>
        </w:rPr>
        <w:t>COMMUNITY GRANTS FOR NOTING</w:t>
      </w:r>
    </w:p>
    <w:p w14:paraId="0C33728A" w14:textId="77777777" w:rsidR="0076505B" w:rsidRPr="0076505B" w:rsidRDefault="0076505B" w:rsidP="0076505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76505B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(a.) Community Infrastructure Fund</w:t>
      </w:r>
    </w:p>
    <w:p w14:paraId="31202243" w14:textId="1B6F56C4" w:rsidR="00E06058" w:rsidRPr="002256AD" w:rsidRDefault="0076505B" w:rsidP="00E060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</w:pPr>
      <w:r w:rsidRPr="005D180F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>The Community Infrastructure Fund of €350,000 provided in the Council’s 202</w:t>
      </w:r>
      <w:r w:rsidR="007B30C6" w:rsidRPr="005D180F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>3</w:t>
      </w:r>
      <w:r w:rsidRPr="005D180F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 xml:space="preserve"> Revenue Budget again offered community groups, including sports clubs, the opportunity to apply for funding to assist with the costs of either constructing new facilities or for the modernisation and/or expansion of existing facilities.  Groups, including boards of management of community facilities, could apply online for grants ranging from a minimum of €5,000 up to a maximum of €50,000 during the period from </w:t>
      </w:r>
      <w:r w:rsidR="005D180F" w:rsidRPr="005D180F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>1</w:t>
      </w:r>
      <w:r w:rsidR="005D180F" w:rsidRPr="005D180F">
        <w:rPr>
          <w:rFonts w:ascii="Verdana" w:eastAsia="Times New Roman" w:hAnsi="Verdana" w:cs="Times New Roman"/>
          <w:color w:val="000000" w:themeColor="text1"/>
          <w:sz w:val="24"/>
          <w:szCs w:val="24"/>
          <w:vertAlign w:val="superscript"/>
          <w:lang w:eastAsia="en-IE"/>
        </w:rPr>
        <w:t>st</w:t>
      </w:r>
      <w:r w:rsidR="005D180F" w:rsidRPr="005D180F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 xml:space="preserve"> May </w:t>
      </w:r>
      <w:r w:rsidRPr="005D180F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 xml:space="preserve">to </w:t>
      </w:r>
      <w:r w:rsidR="005D180F" w:rsidRPr="005D180F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>26</w:t>
      </w:r>
      <w:r w:rsidRPr="005D180F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 xml:space="preserve">th </w:t>
      </w:r>
      <w:r w:rsidR="005D180F" w:rsidRPr="005D180F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>May 2023</w:t>
      </w:r>
      <w:r w:rsidRPr="005D180F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 xml:space="preserve"> to respond to locally identified needs within their communities. </w:t>
      </w:r>
      <w:r w:rsidRPr="002B3B33">
        <w:rPr>
          <w:rFonts w:ascii="Verdana" w:eastAsia="Times New Roman" w:hAnsi="Verdana" w:cs="Times New Roman"/>
          <w:color w:val="FF0000"/>
          <w:sz w:val="24"/>
          <w:szCs w:val="24"/>
          <w:lang w:eastAsia="en-IE"/>
        </w:rPr>
        <w:t xml:space="preserve"> </w:t>
      </w:r>
      <w:r w:rsidRPr="00E06058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 xml:space="preserve">The fund was heavily </w:t>
      </w:r>
      <w:r w:rsidR="00E06058" w:rsidRPr="00E06058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>oversubscribed,</w:t>
      </w:r>
      <w:r w:rsidRPr="00E06058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 xml:space="preserve"> and a detailed assessment process based on the proposed projects' local community impact, value for money, funding, sustainability and viability </w:t>
      </w:r>
      <w:r w:rsidR="002256AD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>took place. A total amount of €350,000 in fun</w:t>
      </w:r>
      <w:r w:rsidR="002256AD" w:rsidRPr="002256AD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 xml:space="preserve">ding </w:t>
      </w:r>
      <w:r w:rsidR="00E06058" w:rsidRPr="002256AD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>for the following community infrastructure grants approved under the 2023 fund</w:t>
      </w:r>
      <w:r w:rsidR="002256AD" w:rsidRPr="002256AD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 xml:space="preserve"> are</w:t>
      </w:r>
      <w:r w:rsidR="00E06058" w:rsidRPr="002256AD">
        <w:rPr>
          <w:rFonts w:ascii="Verdana" w:eastAsia="Times New Roman" w:hAnsi="Verdana" w:cs="Times New Roman"/>
          <w:color w:val="000000" w:themeColor="text1"/>
          <w:sz w:val="24"/>
          <w:szCs w:val="24"/>
          <w:lang w:eastAsia="en-IE"/>
        </w:rPr>
        <w:t xml:space="preserve">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2649"/>
        <w:gridCol w:w="2340"/>
      </w:tblGrid>
      <w:tr w:rsidR="003800AE" w:rsidRPr="003800AE" w14:paraId="3351DEDF" w14:textId="77777777" w:rsidTr="002256AD">
        <w:trPr>
          <w:trHeight w:val="300"/>
        </w:trPr>
        <w:tc>
          <w:tcPr>
            <w:tcW w:w="3360" w:type="dxa"/>
            <w:noWrap/>
            <w:hideMark/>
          </w:tcPr>
          <w:p w14:paraId="332BC2FC" w14:textId="77777777" w:rsidR="003800AE" w:rsidRPr="002B3B33" w:rsidRDefault="003800A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B3B3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Facility/Group</w:t>
            </w:r>
          </w:p>
        </w:tc>
        <w:tc>
          <w:tcPr>
            <w:tcW w:w="2649" w:type="dxa"/>
            <w:noWrap/>
            <w:hideMark/>
          </w:tcPr>
          <w:p w14:paraId="30E41477" w14:textId="77777777" w:rsidR="003800AE" w:rsidRPr="002B3B33" w:rsidRDefault="003800A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B3B3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Project</w:t>
            </w:r>
          </w:p>
        </w:tc>
        <w:tc>
          <w:tcPr>
            <w:tcW w:w="2340" w:type="dxa"/>
            <w:noWrap/>
            <w:hideMark/>
          </w:tcPr>
          <w:p w14:paraId="38F1E7AE" w14:textId="77777777" w:rsidR="003800AE" w:rsidRPr="002B3B33" w:rsidRDefault="003800A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2B3B33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Amount Approved</w:t>
            </w:r>
          </w:p>
        </w:tc>
      </w:tr>
      <w:tr w:rsidR="00A85371" w:rsidRPr="003800AE" w14:paraId="39661E38" w14:textId="77777777" w:rsidTr="002256AD">
        <w:trPr>
          <w:trHeight w:val="600"/>
        </w:trPr>
        <w:tc>
          <w:tcPr>
            <w:tcW w:w="3360" w:type="dxa"/>
          </w:tcPr>
          <w:p w14:paraId="688B1E82" w14:textId="386F68A2" w:rsidR="00A85371" w:rsidRDefault="00A85371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Quarryvale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 xml:space="preserve"> Community &amp; Leisure Centre</w:t>
            </w:r>
          </w:p>
        </w:tc>
        <w:tc>
          <w:tcPr>
            <w:tcW w:w="2649" w:type="dxa"/>
          </w:tcPr>
          <w:p w14:paraId="3C1E525E" w14:textId="3C975681" w:rsidR="00A85371" w:rsidRPr="00E04A5C" w:rsidRDefault="00555B0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555B0E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 xml:space="preserve">Upgrade of Heating System and Community Centre Facilities  </w:t>
            </w:r>
          </w:p>
        </w:tc>
        <w:tc>
          <w:tcPr>
            <w:tcW w:w="2340" w:type="dxa"/>
            <w:noWrap/>
          </w:tcPr>
          <w:p w14:paraId="724AC4A0" w14:textId="5E2143BC" w:rsidR="00A85371" w:rsidRPr="003800AE" w:rsidRDefault="00A85371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€50,000</w:t>
            </w:r>
          </w:p>
        </w:tc>
      </w:tr>
      <w:tr w:rsidR="003800AE" w:rsidRPr="003800AE" w14:paraId="0F5F7AE5" w14:textId="77777777" w:rsidTr="002256AD">
        <w:trPr>
          <w:trHeight w:val="600"/>
        </w:trPr>
        <w:tc>
          <w:tcPr>
            <w:tcW w:w="3360" w:type="dxa"/>
            <w:hideMark/>
          </w:tcPr>
          <w:p w14:paraId="66DFD0A0" w14:textId="117D3AFF" w:rsidR="003800AE" w:rsidRPr="003800AE" w:rsidRDefault="007B30C6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Clondalkin Rugby Club</w:t>
            </w:r>
          </w:p>
        </w:tc>
        <w:tc>
          <w:tcPr>
            <w:tcW w:w="2649" w:type="dxa"/>
            <w:hideMark/>
          </w:tcPr>
          <w:p w14:paraId="33536C22" w14:textId="0848A2D8" w:rsidR="003800AE" w:rsidRPr="003800AE" w:rsidRDefault="00555B0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555B0E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Upgrade of Outdoor Training Facility Lights</w:t>
            </w:r>
          </w:p>
        </w:tc>
        <w:tc>
          <w:tcPr>
            <w:tcW w:w="2340" w:type="dxa"/>
            <w:noWrap/>
            <w:hideMark/>
          </w:tcPr>
          <w:p w14:paraId="22681E4F" w14:textId="2D62F303" w:rsidR="003800AE" w:rsidRPr="003800AE" w:rsidRDefault="003800A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3800A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€2</w:t>
            </w:r>
            <w:r w:rsidR="007B30C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0,000</w:t>
            </w:r>
          </w:p>
        </w:tc>
      </w:tr>
      <w:tr w:rsidR="00A85371" w:rsidRPr="003800AE" w14:paraId="7A0C320D" w14:textId="77777777" w:rsidTr="002256AD">
        <w:trPr>
          <w:trHeight w:val="600"/>
        </w:trPr>
        <w:tc>
          <w:tcPr>
            <w:tcW w:w="3360" w:type="dxa"/>
          </w:tcPr>
          <w:p w14:paraId="3E1B6596" w14:textId="524D0626" w:rsidR="00A85371" w:rsidRDefault="00A85371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Lucan United FC</w:t>
            </w:r>
          </w:p>
        </w:tc>
        <w:tc>
          <w:tcPr>
            <w:tcW w:w="2649" w:type="dxa"/>
          </w:tcPr>
          <w:p w14:paraId="3C14EDBB" w14:textId="373E3BF8" w:rsidR="00A85371" w:rsidRPr="00A85371" w:rsidRDefault="00555B0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555B0E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Provis</w:t>
            </w:r>
            <w:r w:rsidR="00D90764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i</w:t>
            </w:r>
            <w:r w:rsidRPr="00555B0E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on of an All Weather Pitch</w:t>
            </w:r>
          </w:p>
        </w:tc>
        <w:tc>
          <w:tcPr>
            <w:tcW w:w="2340" w:type="dxa"/>
            <w:noWrap/>
          </w:tcPr>
          <w:p w14:paraId="09F0E84B" w14:textId="3A2F6181" w:rsidR="00A85371" w:rsidRPr="003800AE" w:rsidRDefault="00A85371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€40,000</w:t>
            </w:r>
          </w:p>
        </w:tc>
      </w:tr>
      <w:tr w:rsidR="00A85371" w:rsidRPr="003800AE" w14:paraId="4FE51055" w14:textId="77777777" w:rsidTr="002256AD">
        <w:trPr>
          <w:trHeight w:val="600"/>
        </w:trPr>
        <w:tc>
          <w:tcPr>
            <w:tcW w:w="3360" w:type="dxa"/>
          </w:tcPr>
          <w:p w14:paraId="1B1C96C9" w14:textId="30819E02" w:rsidR="00A85371" w:rsidRDefault="00A85371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A853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lastRenderedPageBreak/>
              <w:t>Brookfield Youth and Community Centre</w:t>
            </w:r>
          </w:p>
        </w:tc>
        <w:tc>
          <w:tcPr>
            <w:tcW w:w="2649" w:type="dxa"/>
          </w:tcPr>
          <w:p w14:paraId="32D161CE" w14:textId="79EBB421" w:rsidR="00A85371" w:rsidRPr="00A85371" w:rsidRDefault="00555B0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555B0E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Upgrade and Installation of new Entrance Door</w:t>
            </w:r>
          </w:p>
        </w:tc>
        <w:tc>
          <w:tcPr>
            <w:tcW w:w="2340" w:type="dxa"/>
            <w:noWrap/>
          </w:tcPr>
          <w:p w14:paraId="25A1EBF0" w14:textId="2BCB871F" w:rsidR="00A85371" w:rsidRPr="003800AE" w:rsidRDefault="00A85371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€13,000</w:t>
            </w:r>
          </w:p>
        </w:tc>
      </w:tr>
      <w:tr w:rsidR="00A85371" w:rsidRPr="003800AE" w14:paraId="5A81D368" w14:textId="77777777" w:rsidTr="002256AD">
        <w:trPr>
          <w:trHeight w:val="600"/>
        </w:trPr>
        <w:tc>
          <w:tcPr>
            <w:tcW w:w="3360" w:type="dxa"/>
          </w:tcPr>
          <w:p w14:paraId="1309D733" w14:textId="1CFAA3B9" w:rsidR="00A85371" w:rsidRPr="00A85371" w:rsidRDefault="00A85371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A853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Firhouse</w:t>
            </w:r>
            <w:proofErr w:type="spellEnd"/>
            <w:r w:rsidRPr="00A853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 xml:space="preserve"> Community &amp; Leisure Club</w:t>
            </w:r>
          </w:p>
        </w:tc>
        <w:tc>
          <w:tcPr>
            <w:tcW w:w="2649" w:type="dxa"/>
          </w:tcPr>
          <w:p w14:paraId="7B917339" w14:textId="72B144BB" w:rsidR="00A85371" w:rsidRPr="00A85371" w:rsidRDefault="00555B0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555B0E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Upgrade and partition of community meeting rooms</w:t>
            </w:r>
          </w:p>
        </w:tc>
        <w:tc>
          <w:tcPr>
            <w:tcW w:w="2340" w:type="dxa"/>
            <w:noWrap/>
          </w:tcPr>
          <w:p w14:paraId="15FE5EA6" w14:textId="0344C2A3" w:rsidR="00A85371" w:rsidRDefault="00A85371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€10,820</w:t>
            </w:r>
          </w:p>
        </w:tc>
      </w:tr>
      <w:tr w:rsidR="003800AE" w:rsidRPr="003800AE" w14:paraId="1B594C34" w14:textId="77777777" w:rsidTr="002256AD">
        <w:trPr>
          <w:trHeight w:val="1200"/>
        </w:trPr>
        <w:tc>
          <w:tcPr>
            <w:tcW w:w="3360" w:type="dxa"/>
            <w:hideMark/>
          </w:tcPr>
          <w:p w14:paraId="5CFA4D86" w14:textId="04C9177B" w:rsidR="003800AE" w:rsidRPr="003800AE" w:rsidRDefault="003800A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3800A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 xml:space="preserve">Kingswood Community </w:t>
            </w:r>
            <w:r w:rsidR="007B30C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 xml:space="preserve">&amp; Leisure </w:t>
            </w:r>
            <w:r w:rsidRPr="003800A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Centre</w:t>
            </w:r>
          </w:p>
        </w:tc>
        <w:tc>
          <w:tcPr>
            <w:tcW w:w="2649" w:type="dxa"/>
            <w:hideMark/>
          </w:tcPr>
          <w:p w14:paraId="097CFF93" w14:textId="67D78E5E" w:rsidR="003800AE" w:rsidRPr="003800AE" w:rsidRDefault="00555B0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555B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Upgrade of Central heating system</w:t>
            </w:r>
          </w:p>
        </w:tc>
        <w:tc>
          <w:tcPr>
            <w:tcW w:w="2340" w:type="dxa"/>
            <w:noWrap/>
            <w:hideMark/>
          </w:tcPr>
          <w:p w14:paraId="1B65617A" w14:textId="6FCD3526" w:rsidR="003800AE" w:rsidRPr="003800AE" w:rsidRDefault="003800A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3800A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="007B30C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7,160</w:t>
            </w:r>
          </w:p>
        </w:tc>
      </w:tr>
      <w:tr w:rsidR="00A85371" w:rsidRPr="003800AE" w14:paraId="4D4793C3" w14:textId="77777777" w:rsidTr="002256AD">
        <w:trPr>
          <w:trHeight w:val="1200"/>
        </w:trPr>
        <w:tc>
          <w:tcPr>
            <w:tcW w:w="3360" w:type="dxa"/>
          </w:tcPr>
          <w:p w14:paraId="3C4DCBB4" w14:textId="17EBBE24" w:rsidR="00A85371" w:rsidRPr="003800AE" w:rsidRDefault="00A85371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Rowlagh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 xml:space="preserve"> Community Centre (</w:t>
            </w:r>
            <w:r w:rsidRPr="00A853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SDC South Dublin County Partnership CLG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)</w:t>
            </w:r>
          </w:p>
        </w:tc>
        <w:tc>
          <w:tcPr>
            <w:tcW w:w="2649" w:type="dxa"/>
          </w:tcPr>
          <w:p w14:paraId="0F8C9288" w14:textId="41EC480C" w:rsidR="00A85371" w:rsidRPr="00A85371" w:rsidRDefault="00555B0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555B0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Supply &amp; Fit New Wooden Floor</w:t>
            </w:r>
          </w:p>
        </w:tc>
        <w:tc>
          <w:tcPr>
            <w:tcW w:w="2340" w:type="dxa"/>
            <w:noWrap/>
          </w:tcPr>
          <w:p w14:paraId="1EDE3297" w14:textId="29D647CD" w:rsidR="00A85371" w:rsidRPr="003800AE" w:rsidRDefault="00A85371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€21,360</w:t>
            </w:r>
          </w:p>
        </w:tc>
      </w:tr>
      <w:tr w:rsidR="00A85371" w:rsidRPr="003800AE" w14:paraId="52135F47" w14:textId="77777777" w:rsidTr="002256AD">
        <w:trPr>
          <w:trHeight w:val="1200"/>
        </w:trPr>
        <w:tc>
          <w:tcPr>
            <w:tcW w:w="3360" w:type="dxa"/>
          </w:tcPr>
          <w:p w14:paraId="505740A0" w14:textId="0317F468" w:rsidR="00A85371" w:rsidRPr="003800AE" w:rsidRDefault="00A85371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A85371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Whitechurch Community and Youth Centre</w:t>
            </w:r>
          </w:p>
        </w:tc>
        <w:tc>
          <w:tcPr>
            <w:tcW w:w="2649" w:type="dxa"/>
          </w:tcPr>
          <w:p w14:paraId="3E571503" w14:textId="7238B23C" w:rsidR="00A85371" w:rsidRPr="00A85371" w:rsidRDefault="004D27CD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4D27C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Upgrade of Community Centre Meeting Rooms</w:t>
            </w:r>
          </w:p>
        </w:tc>
        <w:tc>
          <w:tcPr>
            <w:tcW w:w="2340" w:type="dxa"/>
            <w:noWrap/>
          </w:tcPr>
          <w:p w14:paraId="2DCDFA98" w14:textId="41C5578B" w:rsidR="00A85371" w:rsidRPr="003800AE" w:rsidRDefault="00A85371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€18,750</w:t>
            </w:r>
          </w:p>
        </w:tc>
      </w:tr>
      <w:tr w:rsidR="003800AE" w:rsidRPr="003800AE" w14:paraId="3791DDC2" w14:textId="77777777" w:rsidTr="002256AD">
        <w:trPr>
          <w:trHeight w:val="600"/>
        </w:trPr>
        <w:tc>
          <w:tcPr>
            <w:tcW w:w="3360" w:type="dxa"/>
            <w:hideMark/>
          </w:tcPr>
          <w:p w14:paraId="3F8EEF4A" w14:textId="5A871D38" w:rsidR="003800AE" w:rsidRPr="003800AE" w:rsidRDefault="007B30C6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The WEB Project</w:t>
            </w:r>
          </w:p>
        </w:tc>
        <w:tc>
          <w:tcPr>
            <w:tcW w:w="2649" w:type="dxa"/>
            <w:hideMark/>
          </w:tcPr>
          <w:p w14:paraId="697EB0FD" w14:textId="3C1624C3" w:rsidR="003800AE" w:rsidRPr="007B30C6" w:rsidRDefault="004D27CD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en-IE"/>
              </w:rPr>
            </w:pPr>
            <w:r w:rsidRPr="004D27C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Upgrade of Toilet Facilities</w:t>
            </w:r>
          </w:p>
        </w:tc>
        <w:tc>
          <w:tcPr>
            <w:tcW w:w="2340" w:type="dxa"/>
            <w:noWrap/>
            <w:hideMark/>
          </w:tcPr>
          <w:p w14:paraId="3C58D937" w14:textId="39DB8D8F" w:rsidR="003800AE" w:rsidRPr="003800AE" w:rsidRDefault="003800AE" w:rsidP="003800AE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3800A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</w:t>
            </w:r>
            <w:r w:rsidR="007B30C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14,000</w:t>
            </w:r>
          </w:p>
        </w:tc>
      </w:tr>
      <w:tr w:rsidR="00A85371" w:rsidRPr="003800AE" w14:paraId="160716AB" w14:textId="77777777" w:rsidTr="002256AD">
        <w:trPr>
          <w:trHeight w:val="600"/>
        </w:trPr>
        <w:tc>
          <w:tcPr>
            <w:tcW w:w="3360" w:type="dxa"/>
          </w:tcPr>
          <w:p w14:paraId="61B11D68" w14:textId="740EF3C4" w:rsidR="00A85371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A85371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Perrystown</w:t>
            </w:r>
            <w:proofErr w:type="spellEnd"/>
            <w:r w:rsidRPr="00A85371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 xml:space="preserve"> Manor Estate Community Centre</w:t>
            </w:r>
          </w:p>
        </w:tc>
        <w:tc>
          <w:tcPr>
            <w:tcW w:w="2649" w:type="dxa"/>
          </w:tcPr>
          <w:p w14:paraId="62C212B2" w14:textId="2ED2EC2C" w:rsidR="00A85371" w:rsidRPr="00A378F3" w:rsidRDefault="004D27CD" w:rsidP="00A85371">
            <w:pPr>
              <w:spacing w:before="100" w:beforeAutospacing="1" w:after="100" w:afterAutospacing="1"/>
              <w:rPr>
                <w:color w:val="000000" w:themeColor="text1"/>
                <w:lang w:eastAsia="en-IE"/>
              </w:rPr>
            </w:pPr>
            <w:r w:rsidRPr="004D27C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New Window Ventilation System and Upgrade of Floor</w:t>
            </w:r>
          </w:p>
        </w:tc>
        <w:tc>
          <w:tcPr>
            <w:tcW w:w="2340" w:type="dxa"/>
            <w:noWrap/>
          </w:tcPr>
          <w:p w14:paraId="4A54106E" w14:textId="0A03F3A4" w:rsidR="00A85371" w:rsidRPr="003800AE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A85371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 xml:space="preserve">€12,000 </w:t>
            </w:r>
          </w:p>
        </w:tc>
      </w:tr>
      <w:tr w:rsidR="00A85371" w:rsidRPr="003800AE" w14:paraId="33B60AFA" w14:textId="77777777" w:rsidTr="002256AD">
        <w:trPr>
          <w:trHeight w:val="600"/>
        </w:trPr>
        <w:tc>
          <w:tcPr>
            <w:tcW w:w="3360" w:type="dxa"/>
            <w:hideMark/>
          </w:tcPr>
          <w:p w14:paraId="71F53FF4" w14:textId="198EEBB4" w:rsidR="00A85371" w:rsidRPr="003800AE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7B30C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168th St Aengus Tymon North Scouts</w:t>
            </w:r>
          </w:p>
        </w:tc>
        <w:tc>
          <w:tcPr>
            <w:tcW w:w="2649" w:type="dxa"/>
            <w:hideMark/>
          </w:tcPr>
          <w:p w14:paraId="17537BF7" w14:textId="290116B9" w:rsidR="004D27CD" w:rsidRPr="00A1329D" w:rsidRDefault="004D27CD" w:rsidP="004D27C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4D27C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Installation of Ventilation System in Scouts Den</w:t>
            </w:r>
          </w:p>
          <w:p w14:paraId="68A363BB" w14:textId="6CBB1133" w:rsidR="00A85371" w:rsidRPr="00A1329D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</w:pPr>
          </w:p>
        </w:tc>
        <w:tc>
          <w:tcPr>
            <w:tcW w:w="2340" w:type="dxa"/>
            <w:noWrap/>
            <w:hideMark/>
          </w:tcPr>
          <w:p w14:paraId="5F35F2F2" w14:textId="52728A55" w:rsidR="00A85371" w:rsidRPr="003800AE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3800A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10,000</w:t>
            </w:r>
          </w:p>
        </w:tc>
      </w:tr>
      <w:tr w:rsidR="00A85371" w:rsidRPr="003800AE" w14:paraId="7895EA9A" w14:textId="77777777" w:rsidTr="002256AD">
        <w:trPr>
          <w:trHeight w:val="600"/>
        </w:trPr>
        <w:tc>
          <w:tcPr>
            <w:tcW w:w="3360" w:type="dxa"/>
          </w:tcPr>
          <w:p w14:paraId="6429934C" w14:textId="1C22926D" w:rsidR="00A85371" w:rsidRPr="007B30C6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Tallaght Athletic Club</w:t>
            </w:r>
          </w:p>
        </w:tc>
        <w:tc>
          <w:tcPr>
            <w:tcW w:w="2649" w:type="dxa"/>
          </w:tcPr>
          <w:p w14:paraId="2A04A426" w14:textId="75F7D1F0" w:rsidR="00A85371" w:rsidRPr="00A85371" w:rsidRDefault="004D27CD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4D27C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Upgrade of Changing/Shower Room Area</w:t>
            </w:r>
          </w:p>
        </w:tc>
        <w:tc>
          <w:tcPr>
            <w:tcW w:w="2340" w:type="dxa"/>
            <w:noWrap/>
          </w:tcPr>
          <w:p w14:paraId="0F1A21F8" w14:textId="4F6A5131" w:rsidR="00A85371" w:rsidRPr="003800AE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€17,160</w:t>
            </w:r>
          </w:p>
        </w:tc>
      </w:tr>
      <w:tr w:rsidR="00A85371" w:rsidRPr="003800AE" w14:paraId="22B37722" w14:textId="77777777" w:rsidTr="002256AD">
        <w:trPr>
          <w:trHeight w:val="900"/>
        </w:trPr>
        <w:tc>
          <w:tcPr>
            <w:tcW w:w="3360" w:type="dxa"/>
            <w:hideMark/>
          </w:tcPr>
          <w:p w14:paraId="69CFE339" w14:textId="54C5669B" w:rsidR="00A85371" w:rsidRPr="003800AE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7B30C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Fettercairn</w:t>
            </w:r>
            <w:proofErr w:type="spellEnd"/>
            <w:r w:rsidRPr="007B30C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 xml:space="preserve"> Community and Youth Centre</w:t>
            </w:r>
          </w:p>
        </w:tc>
        <w:tc>
          <w:tcPr>
            <w:tcW w:w="2649" w:type="dxa"/>
            <w:hideMark/>
          </w:tcPr>
          <w:p w14:paraId="674CE9B5" w14:textId="303422AF" w:rsidR="00A85371" w:rsidRPr="002256AD" w:rsidRDefault="004D27CD" w:rsidP="004D27C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4D27C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Upgrade of CCTV and Fire Alarm System</w:t>
            </w:r>
          </w:p>
        </w:tc>
        <w:tc>
          <w:tcPr>
            <w:tcW w:w="2340" w:type="dxa"/>
            <w:noWrap/>
            <w:hideMark/>
          </w:tcPr>
          <w:p w14:paraId="0CAEA318" w14:textId="08E096CE" w:rsidR="00A85371" w:rsidRPr="003800AE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3800A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</w:t>
            </w: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35</w:t>
            </w:r>
            <w:r w:rsidRPr="003800AE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,750</w:t>
            </w:r>
          </w:p>
        </w:tc>
      </w:tr>
      <w:tr w:rsidR="00A85371" w:rsidRPr="003800AE" w14:paraId="503B65C6" w14:textId="77777777" w:rsidTr="002256AD">
        <w:trPr>
          <w:trHeight w:val="900"/>
        </w:trPr>
        <w:tc>
          <w:tcPr>
            <w:tcW w:w="3360" w:type="dxa"/>
          </w:tcPr>
          <w:p w14:paraId="1601A4AB" w14:textId="4DC46399" w:rsidR="00A85371" w:rsidRPr="007B30C6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 w:rsidRPr="007B30C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St Aengus Parish &amp; Tallaght Senior Citizen Community Centre</w:t>
            </w:r>
          </w:p>
        </w:tc>
        <w:tc>
          <w:tcPr>
            <w:tcW w:w="2649" w:type="dxa"/>
          </w:tcPr>
          <w:p w14:paraId="5816F0A9" w14:textId="69691F34" w:rsidR="00A85371" w:rsidRPr="00CE0337" w:rsidRDefault="004D27CD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4D27C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Upgrade to LED lights and Windows</w:t>
            </w:r>
          </w:p>
        </w:tc>
        <w:tc>
          <w:tcPr>
            <w:tcW w:w="2340" w:type="dxa"/>
            <w:noWrap/>
          </w:tcPr>
          <w:p w14:paraId="031B7A9C" w14:textId="1D03AF74" w:rsidR="00A85371" w:rsidRPr="003800AE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 xml:space="preserve">€40,000 </w:t>
            </w:r>
          </w:p>
        </w:tc>
      </w:tr>
      <w:tr w:rsidR="00A85371" w:rsidRPr="003800AE" w14:paraId="3BD211B8" w14:textId="77777777" w:rsidTr="002256AD">
        <w:trPr>
          <w:trHeight w:val="900"/>
        </w:trPr>
        <w:tc>
          <w:tcPr>
            <w:tcW w:w="3360" w:type="dxa"/>
          </w:tcPr>
          <w:p w14:paraId="3B10C221" w14:textId="736FA61B" w:rsidR="00A85371" w:rsidRPr="007B30C6" w:rsidRDefault="002256AD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Citywise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 xml:space="preserve"> Education</w:t>
            </w:r>
          </w:p>
        </w:tc>
        <w:tc>
          <w:tcPr>
            <w:tcW w:w="2649" w:type="dxa"/>
          </w:tcPr>
          <w:p w14:paraId="0CF44382" w14:textId="2EBDCBDF" w:rsidR="00A85371" w:rsidRPr="004D1388" w:rsidRDefault="004D27CD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</w:pPr>
            <w:r w:rsidRPr="004D27CD"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en-IE"/>
              </w:rPr>
              <w:t>Construction of a new MUGA and Outdoor Sports Facility</w:t>
            </w:r>
          </w:p>
        </w:tc>
        <w:tc>
          <w:tcPr>
            <w:tcW w:w="2340" w:type="dxa"/>
            <w:noWrap/>
          </w:tcPr>
          <w:p w14:paraId="11CE8BB3" w14:textId="1154B573" w:rsidR="00A85371" w:rsidRPr="003800AE" w:rsidRDefault="002256AD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n-IE"/>
              </w:rPr>
              <w:t>€40,000</w:t>
            </w:r>
          </w:p>
        </w:tc>
      </w:tr>
      <w:tr w:rsidR="00A85371" w:rsidRPr="003800AE" w14:paraId="29656AEF" w14:textId="77777777" w:rsidTr="002256AD">
        <w:trPr>
          <w:trHeight w:val="300"/>
        </w:trPr>
        <w:tc>
          <w:tcPr>
            <w:tcW w:w="6009" w:type="dxa"/>
            <w:gridSpan w:val="2"/>
            <w:noWrap/>
            <w:hideMark/>
          </w:tcPr>
          <w:p w14:paraId="59EE1BA8" w14:textId="77777777" w:rsidR="00A85371" w:rsidRPr="003800AE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3800A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340" w:type="dxa"/>
            <w:noWrap/>
            <w:hideMark/>
          </w:tcPr>
          <w:p w14:paraId="1EA7E0BD" w14:textId="345CF409" w:rsidR="00A85371" w:rsidRPr="003800AE" w:rsidRDefault="00A85371" w:rsidP="00A85371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3800AE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€</w:t>
            </w:r>
            <w:r w:rsidR="002256AD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IE"/>
              </w:rPr>
              <w:t>350,000</w:t>
            </w:r>
          </w:p>
        </w:tc>
      </w:tr>
    </w:tbl>
    <w:p w14:paraId="399583E8" w14:textId="37F23412" w:rsidR="0026648C" w:rsidRDefault="0026648C" w:rsidP="0026648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</w:p>
    <w:sectPr w:rsidR="0026648C" w:rsidSect="00C568F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42E2C"/>
    <w:multiLevelType w:val="multilevel"/>
    <w:tmpl w:val="FD0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F18FF"/>
    <w:multiLevelType w:val="multilevel"/>
    <w:tmpl w:val="5658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27A34"/>
    <w:multiLevelType w:val="hybridMultilevel"/>
    <w:tmpl w:val="E9F019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6738">
    <w:abstractNumId w:val="0"/>
  </w:num>
  <w:num w:numId="2" w16cid:durableId="1667593316">
    <w:abstractNumId w:val="1"/>
  </w:num>
  <w:num w:numId="3" w16cid:durableId="165748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5B"/>
    <w:rsid w:val="000A648E"/>
    <w:rsid w:val="002256AD"/>
    <w:rsid w:val="0026648C"/>
    <w:rsid w:val="002B3B33"/>
    <w:rsid w:val="002C4C65"/>
    <w:rsid w:val="003800AE"/>
    <w:rsid w:val="003C5A7B"/>
    <w:rsid w:val="003E56FC"/>
    <w:rsid w:val="004D1388"/>
    <w:rsid w:val="004D27CD"/>
    <w:rsid w:val="005436BF"/>
    <w:rsid w:val="00555B0E"/>
    <w:rsid w:val="00565E6B"/>
    <w:rsid w:val="005D180F"/>
    <w:rsid w:val="0076505B"/>
    <w:rsid w:val="007B30C6"/>
    <w:rsid w:val="007F7D2A"/>
    <w:rsid w:val="008F1120"/>
    <w:rsid w:val="009F43D1"/>
    <w:rsid w:val="00A1329D"/>
    <w:rsid w:val="00A33625"/>
    <w:rsid w:val="00A378F3"/>
    <w:rsid w:val="00A85371"/>
    <w:rsid w:val="00B66620"/>
    <w:rsid w:val="00B74879"/>
    <w:rsid w:val="00BD64A2"/>
    <w:rsid w:val="00C445EE"/>
    <w:rsid w:val="00C568F0"/>
    <w:rsid w:val="00CB0A8D"/>
    <w:rsid w:val="00CE0337"/>
    <w:rsid w:val="00D90764"/>
    <w:rsid w:val="00DD20E7"/>
    <w:rsid w:val="00E04A5C"/>
    <w:rsid w:val="00E06058"/>
    <w:rsid w:val="00E43065"/>
    <w:rsid w:val="00ED4053"/>
    <w:rsid w:val="00EF3BA6"/>
    <w:rsid w:val="00F06A3C"/>
    <w:rsid w:val="00FC64F7"/>
    <w:rsid w:val="00F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F352"/>
  <w15:chartTrackingRefBased/>
  <w15:docId w15:val="{F1CE385A-4143-45AF-B00D-6458C16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78F3"/>
    <w:pPr>
      <w:spacing w:after="0" w:line="240" w:lineRule="auto"/>
    </w:pPr>
  </w:style>
  <w:style w:type="paragraph" w:customStyle="1" w:styleId="replymain">
    <w:name w:val="replymain"/>
    <w:basedOn w:val="Normal"/>
    <w:rsid w:val="00DD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06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McDonnell</dc:creator>
  <cp:keywords/>
  <dc:description/>
  <cp:lastModifiedBy>Kelly Fitzgerald</cp:lastModifiedBy>
  <cp:revision>2</cp:revision>
  <cp:lastPrinted>2022-12-05T11:32:00Z</cp:lastPrinted>
  <dcterms:created xsi:type="dcterms:W3CDTF">2023-06-30T13:40:00Z</dcterms:created>
  <dcterms:modified xsi:type="dcterms:W3CDTF">2023-06-30T13:40:00Z</dcterms:modified>
</cp:coreProperties>
</file>