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4BC1E" w14:textId="77777777" w:rsidR="00820DEB" w:rsidRDefault="00820DEB" w:rsidP="00820DEB">
      <w:pPr>
        <w:pStyle w:val="replyheader"/>
        <w:rPr>
          <w:rFonts w:ascii="Tahoma" w:hAnsi="Tahoma" w:cs="Tahoma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Tahoma" w:hAnsi="Tahoma" w:cs="Tahoma"/>
            </w:rPr>
            <w:t>COMHAIRLE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CONTAE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ÁTHA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CLIATH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THEAS</w:t>
          </w:r>
        </w:smartTag>
        <w:r>
          <w:rPr>
            <w:rFonts w:ascii="Tahoma" w:hAnsi="Tahoma" w:cs="Tahoma"/>
          </w:rPr>
          <w:br/>
        </w:r>
        <w:smartTag w:uri="urn:schemas-microsoft-com:office:smarttags" w:element="PlaceName">
          <w:r>
            <w:rPr>
              <w:rFonts w:ascii="Tahoma" w:hAnsi="Tahoma" w:cs="Tahoma"/>
            </w:rPr>
            <w:t>SOUTH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Name">
          <w:r>
            <w:rPr>
              <w:rFonts w:ascii="Tahoma" w:hAnsi="Tahoma" w:cs="Tahoma"/>
            </w:rPr>
            <w:t>DUBLIN</w:t>
          </w:r>
        </w:smartTag>
        <w:r>
          <w:rPr>
            <w:rFonts w:ascii="Tahoma" w:hAnsi="Tahoma" w:cs="Tahoma"/>
          </w:rPr>
          <w:t xml:space="preserve"> </w:t>
        </w:r>
        <w:smartTag w:uri="urn:schemas-microsoft-com:office:smarttags" w:element="PlaceType">
          <w:r>
            <w:rPr>
              <w:rFonts w:ascii="Tahoma" w:hAnsi="Tahoma" w:cs="Tahoma"/>
            </w:rPr>
            <w:t>COUNTY</w:t>
          </w:r>
        </w:smartTag>
      </w:smartTag>
      <w:r>
        <w:rPr>
          <w:rFonts w:ascii="Tahoma" w:hAnsi="Tahoma" w:cs="Tahoma"/>
        </w:rPr>
        <w:t xml:space="preserve"> COUNCIL</w:t>
      </w:r>
    </w:p>
    <w:p w14:paraId="3031BD17" w14:textId="77777777" w:rsidR="00820DEB" w:rsidRDefault="00D25A4B" w:rsidP="00790CA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  <w:noProof/>
          <w:lang w:val="en-IE" w:eastAsia="en-IE"/>
        </w:rPr>
        <w:drawing>
          <wp:inline distT="0" distB="0" distL="0" distR="0" wp14:anchorId="4612CE4C" wp14:editId="5A811F23">
            <wp:extent cx="952500" cy="1162050"/>
            <wp:effectExtent l="0" t="0" r="0" b="0"/>
            <wp:docPr id="1" name="Picture 1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FEE4C" w14:textId="77777777" w:rsidR="006A7EFB" w:rsidRDefault="00790CAF" w:rsidP="00790CAF">
      <w:pPr>
        <w:pStyle w:val="replymain"/>
        <w:rPr>
          <w:rFonts w:ascii="Tahoma" w:hAnsi="Tahoma" w:cs="Tahoma"/>
        </w:rPr>
      </w:pPr>
      <w:r w:rsidRPr="00790CAF">
        <w:rPr>
          <w:rFonts w:ascii="Tahoma" w:hAnsi="Tahoma" w:cs="Tahoma"/>
        </w:rPr>
        <w:t xml:space="preserve">MEETING OF </w:t>
      </w:r>
      <w:r w:rsidR="006A7EFB">
        <w:rPr>
          <w:rFonts w:ascii="Tahoma" w:hAnsi="Tahoma" w:cs="Tahoma"/>
        </w:rPr>
        <w:t xml:space="preserve">SOUTH </w:t>
      </w:r>
      <w:smartTag w:uri="urn:schemas-microsoft-com:office:smarttags" w:element="City">
        <w:smartTag w:uri="urn:schemas-microsoft-com:office:smarttags" w:element="place">
          <w:r w:rsidR="006A7EFB">
            <w:rPr>
              <w:rFonts w:ascii="Tahoma" w:hAnsi="Tahoma" w:cs="Tahoma"/>
            </w:rPr>
            <w:t>DUBLIN</w:t>
          </w:r>
        </w:smartTag>
      </w:smartTag>
      <w:r w:rsidR="006A7EFB">
        <w:rPr>
          <w:rFonts w:ascii="Tahoma" w:hAnsi="Tahoma" w:cs="Tahoma"/>
        </w:rPr>
        <w:t xml:space="preserve"> COUNTY COUNCIL</w:t>
      </w:r>
    </w:p>
    <w:p w14:paraId="6CD5DCBB" w14:textId="07EC3CDF" w:rsidR="00790CAF" w:rsidRPr="00790CAF" w:rsidRDefault="006A7EFB" w:rsidP="00790CAF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>Mon</w:t>
      </w:r>
      <w:r w:rsidR="00790CAF" w:rsidRPr="00790CAF">
        <w:rPr>
          <w:rFonts w:ascii="Tahoma" w:hAnsi="Tahoma" w:cs="Tahoma"/>
        </w:rPr>
        <w:t xml:space="preserve">day, </w:t>
      </w:r>
      <w:r w:rsidR="00A62F41">
        <w:rPr>
          <w:rFonts w:ascii="Tahoma" w:hAnsi="Tahoma" w:cs="Tahoma"/>
        </w:rPr>
        <w:t>Octo</w:t>
      </w:r>
      <w:r w:rsidR="00790CAF" w:rsidRPr="00790CAF">
        <w:rPr>
          <w:rFonts w:ascii="Tahoma" w:hAnsi="Tahoma" w:cs="Tahoma"/>
        </w:rPr>
        <w:t xml:space="preserve">ber </w:t>
      </w:r>
      <w:r w:rsidR="00DF3BF5">
        <w:rPr>
          <w:rFonts w:ascii="Tahoma" w:hAnsi="Tahoma" w:cs="Tahoma"/>
        </w:rPr>
        <w:t>1</w:t>
      </w:r>
      <w:r w:rsidR="00E40AC9">
        <w:rPr>
          <w:rFonts w:ascii="Tahoma" w:hAnsi="Tahoma" w:cs="Tahoma"/>
        </w:rPr>
        <w:t>0</w:t>
      </w:r>
      <w:r w:rsidR="00DF3BF5" w:rsidRPr="00DF3BF5">
        <w:rPr>
          <w:rFonts w:ascii="Tahoma" w:hAnsi="Tahoma" w:cs="Tahoma"/>
          <w:vertAlign w:val="superscript"/>
        </w:rPr>
        <w:t>th</w:t>
      </w:r>
      <w:proofErr w:type="gramStart"/>
      <w:r w:rsidR="00DF3BF5">
        <w:rPr>
          <w:rFonts w:ascii="Tahoma" w:hAnsi="Tahoma" w:cs="Tahoma"/>
        </w:rPr>
        <w:t xml:space="preserve"> 202</w:t>
      </w:r>
      <w:r w:rsidR="00E40AC9">
        <w:rPr>
          <w:rFonts w:ascii="Tahoma" w:hAnsi="Tahoma" w:cs="Tahoma"/>
        </w:rPr>
        <w:t>2</w:t>
      </w:r>
      <w:proofErr w:type="gramEnd"/>
    </w:p>
    <w:p w14:paraId="6381ED57" w14:textId="2FB2ED3D" w:rsidR="00820DEB" w:rsidRDefault="00820DEB" w:rsidP="00820DEB">
      <w:pPr>
        <w:pStyle w:val="replymain"/>
        <w:rPr>
          <w:rFonts w:ascii="Tahoma" w:hAnsi="Tahoma" w:cs="Tahoma"/>
        </w:rPr>
      </w:pPr>
      <w:r>
        <w:rPr>
          <w:rFonts w:ascii="Tahoma" w:hAnsi="Tahoma" w:cs="Tahoma"/>
        </w:rPr>
        <w:t xml:space="preserve">HEADED ITEM NO. </w:t>
      </w:r>
    </w:p>
    <w:p w14:paraId="0A7B02BE" w14:textId="062030D1" w:rsidR="00820DEB" w:rsidRDefault="00820DEB" w:rsidP="00820DEB">
      <w:pPr>
        <w:pStyle w:val="centered"/>
        <w:rPr>
          <w:rFonts w:ascii="Tahoma" w:hAnsi="Tahoma" w:cs="Tahoma"/>
        </w:rPr>
      </w:pPr>
      <w:r>
        <w:rPr>
          <w:rStyle w:val="underline1"/>
          <w:rFonts w:ascii="Tahoma" w:hAnsi="Tahoma" w:cs="Tahoma"/>
          <w:b/>
          <w:bCs/>
        </w:rPr>
        <w:t>AUTHORISATION OF OVERDRAFT ACCOMMODATION 20</w:t>
      </w:r>
      <w:r w:rsidR="003729A3">
        <w:rPr>
          <w:rStyle w:val="underline1"/>
          <w:rFonts w:ascii="Tahoma" w:hAnsi="Tahoma" w:cs="Tahoma"/>
          <w:b/>
          <w:bCs/>
        </w:rPr>
        <w:t>2</w:t>
      </w:r>
      <w:r w:rsidR="00E34190">
        <w:rPr>
          <w:rStyle w:val="underline1"/>
          <w:rFonts w:ascii="Tahoma" w:hAnsi="Tahoma" w:cs="Tahoma"/>
          <w:b/>
          <w:bCs/>
        </w:rPr>
        <w:t>3</w:t>
      </w:r>
    </w:p>
    <w:p w14:paraId="2C24E839" w14:textId="77777777" w:rsidR="00FB2AFB" w:rsidRDefault="00FB2AFB" w:rsidP="00FB2AFB">
      <w:pPr>
        <w:pStyle w:val="NormalWeb"/>
        <w:rPr>
          <w:rFonts w:ascii="Verdana" w:hAnsi="Verdana"/>
        </w:rPr>
      </w:pPr>
    </w:p>
    <w:p w14:paraId="1EEDAB33" w14:textId="77777777" w:rsidR="00D70FD0" w:rsidRPr="00FB2AFB" w:rsidRDefault="004D65E7" w:rsidP="00FB2AF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In accordance with </w:t>
      </w:r>
      <w:hyperlink r:id="rId5" w:anchor="partxii-chapi-sec108" w:history="1">
        <w:r w:rsidR="00D70FD0" w:rsidRPr="004D65E7">
          <w:rPr>
            <w:rFonts w:ascii="Verdana" w:hAnsi="Verdana"/>
            <w:b/>
          </w:rPr>
          <w:t>Section</w:t>
        </w:r>
        <w:r w:rsidR="00B02DA5" w:rsidRPr="004D65E7">
          <w:rPr>
            <w:rFonts w:ascii="Verdana" w:hAnsi="Verdana"/>
            <w:b/>
          </w:rPr>
          <w:t>s</w:t>
        </w:r>
        <w:r w:rsidR="00D70FD0" w:rsidRPr="004D65E7">
          <w:rPr>
            <w:rFonts w:ascii="Verdana" w:hAnsi="Verdana"/>
            <w:b/>
          </w:rPr>
          <w:t xml:space="preserve"> 106 (7) </w:t>
        </w:r>
        <w:r w:rsidR="00B02DA5" w:rsidRPr="004D65E7">
          <w:rPr>
            <w:rFonts w:ascii="Verdana" w:hAnsi="Verdana"/>
            <w:b/>
          </w:rPr>
          <w:t xml:space="preserve">and 106 (3)(a) </w:t>
        </w:r>
        <w:r w:rsidR="00D70FD0" w:rsidRPr="004D65E7">
          <w:rPr>
            <w:rFonts w:ascii="Verdana" w:hAnsi="Verdana"/>
            <w:b/>
          </w:rPr>
          <w:t>of the Local Government Act 2001</w:t>
        </w:r>
      </w:hyperlink>
      <w:r w:rsidR="00FB2AFB" w:rsidRPr="004D65E7">
        <w:rPr>
          <w:rFonts w:ascii="Verdana" w:hAnsi="Verdana"/>
          <w:b/>
        </w:rPr>
        <w:t xml:space="preserve"> </w:t>
      </w:r>
      <w:r w:rsidR="00D70FD0" w:rsidRPr="00FB2AFB">
        <w:rPr>
          <w:rFonts w:ascii="Verdana" w:hAnsi="Verdana"/>
        </w:rPr>
        <w:t>borrowing</w:t>
      </w:r>
      <w:r>
        <w:rPr>
          <w:rFonts w:ascii="Verdana" w:hAnsi="Verdana"/>
        </w:rPr>
        <w:t xml:space="preserve"> is a reserved function which requires the approval of the local authority and the </w:t>
      </w:r>
      <w:r w:rsidR="00D70FD0" w:rsidRPr="00FB2AFB">
        <w:rPr>
          <w:rFonts w:ascii="Verdana" w:hAnsi="Verdana"/>
        </w:rPr>
        <w:t xml:space="preserve"> </w:t>
      </w:r>
      <w:r w:rsidR="00FB2AFB">
        <w:rPr>
          <w:rFonts w:ascii="Verdana" w:hAnsi="Verdana"/>
        </w:rPr>
        <w:t>appropriate Minister.</w:t>
      </w:r>
    </w:p>
    <w:p w14:paraId="1ECD8ADD" w14:textId="2030D3A6" w:rsidR="00FB2AFB" w:rsidRDefault="004D65E7" w:rsidP="00FB2AFB">
      <w:pPr>
        <w:pStyle w:val="NormalWeb"/>
        <w:rPr>
          <w:rFonts w:ascii="Verdana" w:hAnsi="Verdana"/>
        </w:rPr>
      </w:pPr>
      <w:r>
        <w:rPr>
          <w:rFonts w:ascii="Verdana" w:hAnsi="Verdana"/>
        </w:rPr>
        <w:t xml:space="preserve">The Council currently has an approved overdraft facility of €25M in order to provide for temporary </w:t>
      </w:r>
      <w:r w:rsidR="007E5F24">
        <w:rPr>
          <w:rFonts w:ascii="Verdana" w:hAnsi="Verdana"/>
        </w:rPr>
        <w:t>cash flow</w:t>
      </w:r>
      <w:r w:rsidR="009B05E9">
        <w:rPr>
          <w:rFonts w:ascii="Verdana" w:hAnsi="Verdana"/>
        </w:rPr>
        <w:t xml:space="preserve"> timing differences. </w:t>
      </w:r>
      <w:r>
        <w:rPr>
          <w:rFonts w:ascii="Verdana" w:hAnsi="Verdana"/>
        </w:rPr>
        <w:t xml:space="preserve"> The overdraft facility has</w:t>
      </w:r>
      <w:r w:rsidR="009B05E9">
        <w:rPr>
          <w:rFonts w:ascii="Verdana" w:hAnsi="Verdana"/>
        </w:rPr>
        <w:t xml:space="preserve"> </w:t>
      </w:r>
      <w:r w:rsidR="00EE17ED">
        <w:rPr>
          <w:rFonts w:ascii="Verdana" w:hAnsi="Verdana"/>
        </w:rPr>
        <w:t xml:space="preserve">not </w:t>
      </w:r>
      <w:r>
        <w:rPr>
          <w:rFonts w:ascii="Verdana" w:hAnsi="Verdana"/>
        </w:rPr>
        <w:t>been drawn upon</w:t>
      </w:r>
      <w:r w:rsidR="007511C3">
        <w:rPr>
          <w:rFonts w:ascii="Verdana" w:hAnsi="Verdana"/>
        </w:rPr>
        <w:t xml:space="preserve"> d</w:t>
      </w:r>
      <w:r w:rsidR="009059FA">
        <w:rPr>
          <w:rFonts w:ascii="Verdana" w:hAnsi="Verdana"/>
        </w:rPr>
        <w:t>uring</w:t>
      </w:r>
      <w:r w:rsidR="00524A04">
        <w:rPr>
          <w:rFonts w:ascii="Verdana" w:hAnsi="Verdana"/>
        </w:rPr>
        <w:t xml:space="preserve"> 20</w:t>
      </w:r>
      <w:r w:rsidR="00370069">
        <w:rPr>
          <w:rFonts w:ascii="Verdana" w:hAnsi="Verdana"/>
        </w:rPr>
        <w:t>2</w:t>
      </w:r>
      <w:r w:rsidR="00E40AC9">
        <w:rPr>
          <w:rFonts w:ascii="Verdana" w:hAnsi="Verdana"/>
        </w:rPr>
        <w:t>2</w:t>
      </w:r>
      <w:r w:rsidR="009B05E9">
        <w:rPr>
          <w:rFonts w:ascii="Verdana" w:hAnsi="Verdana"/>
        </w:rPr>
        <w:t xml:space="preserve">. </w:t>
      </w:r>
      <w:r>
        <w:rPr>
          <w:rFonts w:ascii="Verdana" w:hAnsi="Verdana"/>
        </w:rPr>
        <w:t xml:space="preserve"> It is considered prudent to renew the overdraft accommoda</w:t>
      </w:r>
      <w:r w:rsidR="00524A04">
        <w:rPr>
          <w:rFonts w:ascii="Verdana" w:hAnsi="Verdana"/>
        </w:rPr>
        <w:t xml:space="preserve">tion of €25M for the period </w:t>
      </w:r>
      <w:r w:rsidR="009B05E9">
        <w:rPr>
          <w:rFonts w:ascii="Verdana" w:hAnsi="Verdana"/>
        </w:rPr>
        <w:t>01/01/</w:t>
      </w:r>
      <w:r w:rsidR="00524A04">
        <w:rPr>
          <w:rFonts w:ascii="Verdana" w:hAnsi="Verdana"/>
        </w:rPr>
        <w:t>20</w:t>
      </w:r>
      <w:r w:rsidR="003729A3">
        <w:rPr>
          <w:rFonts w:ascii="Verdana" w:hAnsi="Verdana"/>
        </w:rPr>
        <w:t>2</w:t>
      </w:r>
      <w:r w:rsidR="00E40AC9">
        <w:rPr>
          <w:rFonts w:ascii="Verdana" w:hAnsi="Verdana"/>
        </w:rPr>
        <w:t>3</w:t>
      </w:r>
      <w:r w:rsidR="009B05E9">
        <w:rPr>
          <w:rFonts w:ascii="Verdana" w:hAnsi="Verdana"/>
        </w:rPr>
        <w:t xml:space="preserve"> to 31/12/20</w:t>
      </w:r>
      <w:r w:rsidR="003729A3">
        <w:rPr>
          <w:rFonts w:ascii="Verdana" w:hAnsi="Verdana"/>
        </w:rPr>
        <w:t>2</w:t>
      </w:r>
      <w:r w:rsidR="00E40AC9">
        <w:rPr>
          <w:rFonts w:ascii="Verdana" w:hAnsi="Verdana"/>
        </w:rPr>
        <w:t>3</w:t>
      </w:r>
      <w:r>
        <w:rPr>
          <w:rFonts w:ascii="Verdana" w:hAnsi="Verdana"/>
        </w:rPr>
        <w:t>.    Costs associated with the overdraft</w:t>
      </w:r>
      <w:r w:rsidR="007E5F24">
        <w:rPr>
          <w:rFonts w:ascii="Verdana" w:hAnsi="Verdana"/>
        </w:rPr>
        <w:t xml:space="preserve"> are limited to interest charges</w:t>
      </w:r>
      <w:r>
        <w:rPr>
          <w:rFonts w:ascii="Verdana" w:hAnsi="Verdana"/>
        </w:rPr>
        <w:t xml:space="preserve"> if the facility is used as the bank does not charge for the overdraft facility.</w:t>
      </w:r>
    </w:p>
    <w:p w14:paraId="4E54F0C3" w14:textId="2DAB5DB2" w:rsidR="009873A2" w:rsidRDefault="009873A2" w:rsidP="009873A2">
      <w:pPr>
        <w:pStyle w:val="NormalWeb"/>
        <w:rPr>
          <w:rFonts w:ascii="Verdana" w:hAnsi="Verdana"/>
        </w:rPr>
      </w:pPr>
      <w:r>
        <w:rPr>
          <w:rFonts w:ascii="Verdana" w:hAnsi="Verdana"/>
        </w:rPr>
        <w:t>Accordingly, it is recommended that the Council approve, subject to the sanction of the Minister for</w:t>
      </w:r>
      <w:r w:rsidR="00524A04">
        <w:rPr>
          <w:rFonts w:ascii="Verdana" w:hAnsi="Verdana"/>
        </w:rPr>
        <w:t xml:space="preserve"> Housing,</w:t>
      </w:r>
      <w:r w:rsidR="00D91EEA">
        <w:rPr>
          <w:rFonts w:ascii="Verdana" w:hAnsi="Verdana"/>
        </w:rPr>
        <w:t xml:space="preserve"> </w:t>
      </w:r>
      <w:r w:rsidR="00524A04">
        <w:rPr>
          <w:rFonts w:ascii="Verdana" w:hAnsi="Verdana"/>
        </w:rPr>
        <w:t>Local Government</w:t>
      </w:r>
      <w:r>
        <w:rPr>
          <w:rFonts w:ascii="Verdana" w:hAnsi="Verdana"/>
        </w:rPr>
        <w:t xml:space="preserve"> </w:t>
      </w:r>
      <w:r w:rsidR="00E40AC9">
        <w:rPr>
          <w:rFonts w:ascii="Verdana" w:hAnsi="Verdana"/>
        </w:rPr>
        <w:t>and Heritage</w:t>
      </w:r>
      <w:r w:rsidR="00A478C3">
        <w:rPr>
          <w:rFonts w:ascii="Verdana" w:hAnsi="Verdana"/>
        </w:rPr>
        <w:t xml:space="preserve"> </w:t>
      </w:r>
      <w:r>
        <w:rPr>
          <w:rFonts w:ascii="Verdana" w:hAnsi="Verdana"/>
        </w:rPr>
        <w:t>the securing of an overdraft accommodation (to a maximum limit of</w:t>
      </w:r>
      <w:r w:rsidR="00524A04">
        <w:rPr>
          <w:rFonts w:ascii="Verdana" w:hAnsi="Verdana"/>
        </w:rPr>
        <w:t>) €25m for the period 01/01/20</w:t>
      </w:r>
      <w:r w:rsidR="003729A3">
        <w:rPr>
          <w:rFonts w:ascii="Verdana" w:hAnsi="Verdana"/>
        </w:rPr>
        <w:t>2</w:t>
      </w:r>
      <w:r w:rsidR="00E40AC9">
        <w:rPr>
          <w:rFonts w:ascii="Verdana" w:hAnsi="Verdana"/>
        </w:rPr>
        <w:t>3</w:t>
      </w:r>
      <w:r w:rsidR="008B69EF">
        <w:rPr>
          <w:rFonts w:ascii="Verdana" w:hAnsi="Verdana"/>
        </w:rPr>
        <w:t xml:space="preserve"> to 31/12/20</w:t>
      </w:r>
      <w:r w:rsidR="003729A3">
        <w:rPr>
          <w:rFonts w:ascii="Verdana" w:hAnsi="Verdana"/>
        </w:rPr>
        <w:t>2</w:t>
      </w:r>
      <w:r w:rsidR="00E40AC9">
        <w:rPr>
          <w:rFonts w:ascii="Verdana" w:hAnsi="Verdana"/>
        </w:rPr>
        <w:t>3</w:t>
      </w:r>
      <w:r>
        <w:rPr>
          <w:rFonts w:ascii="Verdana" w:hAnsi="Verdana"/>
        </w:rPr>
        <w:t>.</w:t>
      </w:r>
    </w:p>
    <w:p w14:paraId="2BA556B0" w14:textId="77777777" w:rsidR="00820DEB" w:rsidRDefault="00820DEB" w:rsidP="00820DEB"/>
    <w:p w14:paraId="00FB5C5B" w14:textId="77777777" w:rsidR="00820DEB" w:rsidRDefault="00820DEB"/>
    <w:sectPr w:rsidR="00820DEB" w:rsidSect="00820DEB">
      <w:pgSz w:w="11907" w:h="16840" w:code="9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EB"/>
    <w:rsid w:val="00064C9E"/>
    <w:rsid w:val="001248B6"/>
    <w:rsid w:val="00237232"/>
    <w:rsid w:val="002476AD"/>
    <w:rsid w:val="00370069"/>
    <w:rsid w:val="0037272C"/>
    <w:rsid w:val="003729A3"/>
    <w:rsid w:val="003978FE"/>
    <w:rsid w:val="0042398F"/>
    <w:rsid w:val="00432C86"/>
    <w:rsid w:val="00447D05"/>
    <w:rsid w:val="0046746E"/>
    <w:rsid w:val="004B0DEF"/>
    <w:rsid w:val="004D0B15"/>
    <w:rsid w:val="004D65E7"/>
    <w:rsid w:val="005166D4"/>
    <w:rsid w:val="00524A04"/>
    <w:rsid w:val="006077DE"/>
    <w:rsid w:val="00634EF6"/>
    <w:rsid w:val="006A7EFB"/>
    <w:rsid w:val="007014F3"/>
    <w:rsid w:val="007511C3"/>
    <w:rsid w:val="00790CAF"/>
    <w:rsid w:val="007E5F24"/>
    <w:rsid w:val="00820DEB"/>
    <w:rsid w:val="00843DC4"/>
    <w:rsid w:val="008637FE"/>
    <w:rsid w:val="008B69EF"/>
    <w:rsid w:val="008F5DC3"/>
    <w:rsid w:val="009059FA"/>
    <w:rsid w:val="009873A2"/>
    <w:rsid w:val="009B05E9"/>
    <w:rsid w:val="009E34C7"/>
    <w:rsid w:val="00A0612E"/>
    <w:rsid w:val="00A24A8E"/>
    <w:rsid w:val="00A478C3"/>
    <w:rsid w:val="00A62F41"/>
    <w:rsid w:val="00AA4104"/>
    <w:rsid w:val="00AC6758"/>
    <w:rsid w:val="00AD60E9"/>
    <w:rsid w:val="00AF3E37"/>
    <w:rsid w:val="00AF4867"/>
    <w:rsid w:val="00B02DA5"/>
    <w:rsid w:val="00B27D41"/>
    <w:rsid w:val="00B3408D"/>
    <w:rsid w:val="00BF0E62"/>
    <w:rsid w:val="00C3685F"/>
    <w:rsid w:val="00D00EFD"/>
    <w:rsid w:val="00D13717"/>
    <w:rsid w:val="00D25A4B"/>
    <w:rsid w:val="00D31FFC"/>
    <w:rsid w:val="00D70FD0"/>
    <w:rsid w:val="00D74A09"/>
    <w:rsid w:val="00D853CB"/>
    <w:rsid w:val="00D91EEA"/>
    <w:rsid w:val="00DA5F87"/>
    <w:rsid w:val="00DB7601"/>
    <w:rsid w:val="00DF3BF5"/>
    <w:rsid w:val="00E34190"/>
    <w:rsid w:val="00E40AC9"/>
    <w:rsid w:val="00E5319B"/>
    <w:rsid w:val="00EE17ED"/>
    <w:rsid w:val="00EF08B6"/>
    <w:rsid w:val="00F312B0"/>
    <w:rsid w:val="00FB2AFB"/>
    <w:rsid w:val="00FB6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6F60C53"/>
  <w15:chartTrackingRefBased/>
  <w15:docId w15:val="{21D28F11-4BE3-4125-A65D-32035DC7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0DEB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lyheader">
    <w:name w:val="replyheader"/>
    <w:basedOn w:val="Normal"/>
    <w:rsid w:val="00820DEB"/>
    <w:pPr>
      <w:spacing w:before="100" w:beforeAutospacing="1" w:after="100" w:afterAutospacing="1"/>
      <w:jc w:val="center"/>
    </w:pPr>
    <w:rPr>
      <w:b/>
      <w:bCs/>
      <w:sz w:val="31"/>
      <w:szCs w:val="31"/>
      <w:u w:val="single"/>
    </w:rPr>
  </w:style>
  <w:style w:type="paragraph" w:customStyle="1" w:styleId="replyimage">
    <w:name w:val="replyimage"/>
    <w:basedOn w:val="Normal"/>
    <w:rsid w:val="00820DEB"/>
    <w:pPr>
      <w:spacing w:before="300" w:after="300"/>
      <w:jc w:val="center"/>
    </w:pPr>
  </w:style>
  <w:style w:type="paragraph" w:customStyle="1" w:styleId="replymain">
    <w:name w:val="replymain"/>
    <w:basedOn w:val="Normal"/>
    <w:rsid w:val="00820DEB"/>
    <w:pPr>
      <w:spacing w:before="100" w:beforeAutospacing="1" w:after="100" w:afterAutospacing="1"/>
      <w:jc w:val="center"/>
    </w:pPr>
    <w:rPr>
      <w:b/>
      <w:bCs/>
      <w:u w:val="single"/>
    </w:rPr>
  </w:style>
  <w:style w:type="paragraph" w:customStyle="1" w:styleId="centered">
    <w:name w:val="centered"/>
    <w:basedOn w:val="Normal"/>
    <w:rsid w:val="00820DEB"/>
    <w:pPr>
      <w:spacing w:before="100" w:beforeAutospacing="1" w:after="100" w:afterAutospacing="1"/>
      <w:jc w:val="center"/>
    </w:pPr>
  </w:style>
  <w:style w:type="paragraph" w:styleId="NormalWeb">
    <w:name w:val="Normal (Web)"/>
    <w:basedOn w:val="Normal"/>
    <w:rsid w:val="00820DEB"/>
    <w:pPr>
      <w:spacing w:before="100" w:beforeAutospacing="1" w:after="100" w:afterAutospacing="1"/>
    </w:pPr>
  </w:style>
  <w:style w:type="character" w:customStyle="1" w:styleId="underline1">
    <w:name w:val="underline1"/>
    <w:rsid w:val="00820DEB"/>
    <w:rPr>
      <w:u w:val="single"/>
    </w:rPr>
  </w:style>
  <w:style w:type="paragraph" w:styleId="BalloonText">
    <w:name w:val="Balloon Text"/>
    <w:basedOn w:val="Normal"/>
    <w:semiHidden/>
    <w:rsid w:val="00A24A8E"/>
    <w:rPr>
      <w:rFonts w:ascii="Tahoma" w:hAnsi="Tahoma" w:cs="Tahoma"/>
      <w:sz w:val="16"/>
      <w:szCs w:val="16"/>
    </w:rPr>
  </w:style>
  <w:style w:type="character" w:styleId="Strong">
    <w:name w:val="Strong"/>
    <w:qFormat/>
    <w:rsid w:val="00D70F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0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22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rishstatutebook.ie/2001/en/act/pub/0037/sec0108.htm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COMHAIRLE CONTAE ÁTHA CLIATH THEAS</vt:lpstr>
    </vt:vector>
  </TitlesOfParts>
  <Company>South Dublin County Council</Company>
  <LinksUpToDate>false</LinksUpToDate>
  <CharactersWithSpaces>1206</CharactersWithSpaces>
  <SharedDoc>false</SharedDoc>
  <HLinks>
    <vt:vector size="6" baseType="variant">
      <vt:variant>
        <vt:i4>4325391</vt:i4>
      </vt:variant>
      <vt:variant>
        <vt:i4>3</vt:i4>
      </vt:variant>
      <vt:variant>
        <vt:i4>0</vt:i4>
      </vt:variant>
      <vt:variant>
        <vt:i4>5</vt:i4>
      </vt:variant>
      <vt:variant>
        <vt:lpwstr>http://www.irishstatutebook.ie/2001/en/act/pub/0037/sec0108.html</vt:lpwstr>
      </vt:variant>
      <vt:variant>
        <vt:lpwstr>partxii-chapi-sec108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COMHAIRLE CONTAE ÁTHA CLIATH THEAS</dc:title>
  <dc:subject/>
  <dc:creator>chenehan</dc:creator>
  <cp:keywords/>
  <dc:description/>
  <cp:lastModifiedBy>Sarah-Lynn Duddy</cp:lastModifiedBy>
  <cp:revision>2</cp:revision>
  <cp:lastPrinted>2017-10-03T13:43:00Z</cp:lastPrinted>
  <dcterms:created xsi:type="dcterms:W3CDTF">2022-09-30T09:46:00Z</dcterms:created>
  <dcterms:modified xsi:type="dcterms:W3CDTF">2022-09-30T09:46:00Z</dcterms:modified>
</cp:coreProperties>
</file>