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2AE5" w14:textId="77777777" w:rsidR="00FB5A9D" w:rsidRDefault="00FB5A9D" w:rsidP="00FB5A9D">
      <w:pPr>
        <w:pStyle w:val="NormalWeb"/>
        <w:spacing w:line="254" w:lineRule="auto"/>
        <w:rPr>
          <w:sz w:val="18"/>
          <w:szCs w:val="18"/>
        </w:rPr>
      </w:pPr>
      <w:r>
        <w:rPr>
          <w:rFonts w:ascii="Verdana" w:hAnsi="Verdana"/>
          <w:sz w:val="20"/>
          <w:szCs w:val="20"/>
        </w:rPr>
        <w:t xml:space="preserve">17th July 2022 </w:t>
      </w:r>
      <w:r>
        <w:rPr>
          <w:sz w:val="18"/>
          <w:szCs w:val="18"/>
        </w:rPr>
        <w:br/>
      </w:r>
      <w:r>
        <w:rPr>
          <w:rFonts w:ascii="Arial" w:hAnsi="Arial" w:cs="Arial"/>
          <w:sz w:val="20"/>
          <w:szCs w:val="20"/>
        </w:rPr>
        <w:t>‎</w:t>
      </w:r>
    </w:p>
    <w:p w14:paraId="75BB56EC" w14:textId="77777777" w:rsidR="00FB5A9D" w:rsidRDefault="00FB5A9D" w:rsidP="00FB5A9D">
      <w:pPr>
        <w:pStyle w:val="NormalWeb"/>
        <w:spacing w:line="254" w:lineRule="auto"/>
        <w:rPr>
          <w:rFonts w:ascii="Verdana" w:hAnsi="Verdana"/>
          <w:sz w:val="18"/>
          <w:szCs w:val="18"/>
        </w:rPr>
      </w:pPr>
      <w:r>
        <w:rPr>
          <w:rFonts w:ascii="Verdana" w:hAnsi="Verdana"/>
          <w:sz w:val="18"/>
          <w:szCs w:val="18"/>
        </w:rPr>
        <w:br/>
      </w:r>
      <w:r>
        <w:rPr>
          <w:rFonts w:ascii="Arial" w:hAnsi="Arial" w:cs="Arial"/>
          <w:sz w:val="20"/>
          <w:szCs w:val="20"/>
        </w:rPr>
        <w:t>‎</w:t>
      </w:r>
      <w:r>
        <w:rPr>
          <w:rFonts w:ascii="Verdana" w:hAnsi="Verdana"/>
          <w:sz w:val="18"/>
          <w:szCs w:val="18"/>
        </w:rPr>
        <w:br/>
      </w:r>
      <w:r>
        <w:rPr>
          <w:rFonts w:ascii="Arial" w:hAnsi="Arial" w:cs="Arial"/>
          <w:sz w:val="20"/>
          <w:szCs w:val="20"/>
        </w:rPr>
        <w:t>‎</w:t>
      </w:r>
      <w:r>
        <w:rPr>
          <w:rFonts w:ascii="Verdana" w:hAnsi="Verdana"/>
          <w:sz w:val="18"/>
          <w:szCs w:val="18"/>
        </w:rPr>
        <w:br/>
      </w:r>
      <w:r>
        <w:rPr>
          <w:rFonts w:ascii="Arial" w:hAnsi="Arial" w:cs="Arial"/>
          <w:sz w:val="20"/>
          <w:szCs w:val="20"/>
        </w:rPr>
        <w:t>‎</w:t>
      </w:r>
      <w:r>
        <w:rPr>
          <w:rFonts w:ascii="Verdana" w:hAnsi="Verdana"/>
          <w:sz w:val="20"/>
          <w:szCs w:val="20"/>
        </w:rPr>
        <w:t xml:space="preserve">Ms. Sharon Conroy </w:t>
      </w:r>
    </w:p>
    <w:p w14:paraId="2F02A3BB" w14:textId="77777777" w:rsidR="00FB5A9D" w:rsidRDefault="00FB5A9D" w:rsidP="00FB5A9D">
      <w:pPr>
        <w:pStyle w:val="NormalWeb"/>
        <w:spacing w:line="254" w:lineRule="auto"/>
        <w:rPr>
          <w:sz w:val="18"/>
          <w:szCs w:val="18"/>
        </w:rPr>
      </w:pPr>
      <w:hyperlink r:id="rId4" w:history="1">
        <w:r>
          <w:rPr>
            <w:rStyle w:val="Hyperlink"/>
            <w:rFonts w:ascii="Verdana" w:hAnsi="Verdana"/>
            <w:sz w:val="20"/>
            <w:szCs w:val="20"/>
          </w:rPr>
          <w:t>info@sdublincoco.ie</w:t>
        </w:r>
      </w:hyperlink>
      <w:r>
        <w:rPr>
          <w:rFonts w:ascii="Verdana" w:hAnsi="Verdana"/>
          <w:sz w:val="20"/>
          <w:szCs w:val="20"/>
        </w:rPr>
        <w:t xml:space="preserve"> </w:t>
      </w:r>
      <w:r>
        <w:rPr>
          <w:sz w:val="18"/>
          <w:szCs w:val="18"/>
        </w:rPr>
        <w:br/>
      </w:r>
      <w:r>
        <w:rPr>
          <w:rFonts w:ascii="Arial" w:hAnsi="Arial" w:cs="Arial"/>
          <w:sz w:val="20"/>
          <w:szCs w:val="20"/>
        </w:rPr>
        <w:t>‎</w:t>
      </w:r>
      <w:r>
        <w:rPr>
          <w:sz w:val="18"/>
          <w:szCs w:val="18"/>
        </w:rPr>
        <w:br/>
      </w:r>
      <w:r>
        <w:rPr>
          <w:rFonts w:ascii="Arial" w:hAnsi="Arial" w:cs="Arial"/>
          <w:sz w:val="20"/>
          <w:szCs w:val="20"/>
        </w:rPr>
        <w:t>‎</w:t>
      </w:r>
    </w:p>
    <w:p w14:paraId="13500A7D" w14:textId="77777777" w:rsidR="00FB5A9D" w:rsidRDefault="00FB5A9D" w:rsidP="00FB5A9D">
      <w:pPr>
        <w:pStyle w:val="NormalWeb"/>
        <w:spacing w:line="254" w:lineRule="auto"/>
        <w:rPr>
          <w:rFonts w:ascii="Verdana" w:hAnsi="Verdana"/>
          <w:sz w:val="18"/>
          <w:szCs w:val="18"/>
        </w:rPr>
      </w:pPr>
      <w:r>
        <w:rPr>
          <w:rFonts w:ascii="Verdana" w:hAnsi="Verdana"/>
          <w:sz w:val="18"/>
          <w:szCs w:val="18"/>
        </w:rPr>
        <w:br/>
      </w:r>
      <w:r>
        <w:rPr>
          <w:rFonts w:ascii="Arial" w:hAnsi="Arial" w:cs="Arial"/>
          <w:sz w:val="20"/>
          <w:szCs w:val="20"/>
        </w:rPr>
        <w:t>‎</w:t>
      </w:r>
      <w:r>
        <w:rPr>
          <w:rFonts w:ascii="Verdana" w:hAnsi="Verdana"/>
          <w:sz w:val="18"/>
          <w:szCs w:val="18"/>
        </w:rPr>
        <w:br/>
      </w:r>
      <w:r>
        <w:rPr>
          <w:rFonts w:ascii="Arial" w:hAnsi="Arial" w:cs="Arial"/>
          <w:sz w:val="20"/>
          <w:szCs w:val="20"/>
        </w:rPr>
        <w:t>‎</w:t>
      </w:r>
      <w:r>
        <w:rPr>
          <w:rFonts w:ascii="Verdana" w:hAnsi="Verdana"/>
          <w:sz w:val="18"/>
          <w:szCs w:val="18"/>
        </w:rPr>
        <w:br/>
      </w:r>
      <w:r>
        <w:rPr>
          <w:rFonts w:ascii="Arial" w:hAnsi="Arial" w:cs="Arial"/>
          <w:sz w:val="20"/>
          <w:szCs w:val="20"/>
        </w:rPr>
        <w:t>‎</w:t>
      </w:r>
      <w:r>
        <w:rPr>
          <w:rFonts w:ascii="Verdana" w:hAnsi="Verdana"/>
          <w:sz w:val="20"/>
          <w:szCs w:val="20"/>
        </w:rPr>
        <w:t>Dear Ms. Conroy,</w:t>
      </w:r>
      <w:r>
        <w:rPr>
          <w:rFonts w:ascii="Verdana" w:hAnsi="Verdana"/>
          <w:sz w:val="18"/>
          <w:szCs w:val="18"/>
        </w:rPr>
        <w:br/>
      </w:r>
      <w:r>
        <w:rPr>
          <w:rFonts w:ascii="Arial" w:hAnsi="Arial" w:cs="Arial"/>
          <w:sz w:val="20"/>
          <w:szCs w:val="20"/>
        </w:rPr>
        <w:t>‎</w:t>
      </w:r>
    </w:p>
    <w:p w14:paraId="00AF10D1" w14:textId="77777777" w:rsidR="00FB5A9D" w:rsidRDefault="00FB5A9D" w:rsidP="00FB5A9D">
      <w:pPr>
        <w:pStyle w:val="NormalWeb"/>
        <w:spacing w:line="254" w:lineRule="auto"/>
        <w:rPr>
          <w:sz w:val="18"/>
          <w:szCs w:val="18"/>
        </w:rPr>
      </w:pPr>
      <w:r>
        <w:rPr>
          <w:rFonts w:ascii="Verdana" w:hAnsi="Verdana"/>
          <w:sz w:val="20"/>
          <w:szCs w:val="20"/>
        </w:rPr>
        <w:t>Thank you for your email on behalf of the Clondalkin Area Committee regarding the lack of childcare placements in Newcastle and the surrounding areas.</w:t>
      </w:r>
    </w:p>
    <w:p w14:paraId="5724C644" w14:textId="77777777" w:rsidR="00FB5A9D" w:rsidRDefault="00FB5A9D" w:rsidP="00FB5A9D">
      <w:pPr>
        <w:pStyle w:val="NormalWeb"/>
        <w:spacing w:line="254" w:lineRule="auto"/>
        <w:rPr>
          <w:sz w:val="18"/>
          <w:szCs w:val="18"/>
        </w:rPr>
      </w:pPr>
    </w:p>
    <w:p w14:paraId="700361DD" w14:textId="7A63F6AB" w:rsidR="00FB5A9D" w:rsidRDefault="00FB5A9D" w:rsidP="00FB5A9D">
      <w:pPr>
        <w:pStyle w:val="NormalWeb"/>
        <w:spacing w:line="254" w:lineRule="auto"/>
        <w:jc w:val="both"/>
        <w:rPr>
          <w:sz w:val="18"/>
          <w:szCs w:val="18"/>
        </w:rPr>
      </w:pPr>
      <w:r>
        <w:rPr>
          <w:rFonts w:ascii="Verdana" w:hAnsi="Verdana"/>
          <w:sz w:val="20"/>
          <w:szCs w:val="20"/>
        </w:rPr>
        <w:t xml:space="preserve">The availability of high-quality early learning and childcare that is affordable and accessible is a key Government </w:t>
      </w:r>
      <w:proofErr w:type="spellStart"/>
      <w:r>
        <w:rPr>
          <w:rFonts w:ascii="Verdana" w:hAnsi="Verdana"/>
          <w:sz w:val="20"/>
          <w:szCs w:val="20"/>
        </w:rPr>
        <w:t>priority.Before</w:t>
      </w:r>
      <w:proofErr w:type="spellEnd"/>
      <w:r>
        <w:rPr>
          <w:rFonts w:ascii="Verdana" w:hAnsi="Verdana"/>
          <w:sz w:val="20"/>
          <w:szCs w:val="20"/>
        </w:rPr>
        <w:t xml:space="preserve"> the onset of Covid-19, national data indicated that supply of early learning and childcare places was broadly meeting demand, though there was evidence of undersupply cohorts of children and in certain areas.</w:t>
      </w:r>
    </w:p>
    <w:p w14:paraId="779CD5DA" w14:textId="23DE9DC2" w:rsidR="00FB5A9D" w:rsidRDefault="00FB5A9D" w:rsidP="00FB5A9D">
      <w:pPr>
        <w:pStyle w:val="NormalWeb"/>
        <w:spacing w:line="254" w:lineRule="auto"/>
        <w:jc w:val="both"/>
        <w:rPr>
          <w:sz w:val="18"/>
          <w:szCs w:val="18"/>
        </w:rPr>
      </w:pPr>
      <w:r>
        <w:rPr>
          <w:rFonts w:ascii="Verdana" w:hAnsi="Verdana"/>
          <w:sz w:val="20"/>
          <w:szCs w:val="20"/>
        </w:rPr>
        <w:t>Data gathered throughout the Covid-19 pandemic revealed lower demand for early learning and childcare. Indeed, data captured in June 2021 found significant vacancy rates across the country – with the national vacancy rate averaging at 21% and a vacancy rate in South Dublin Local authority of 18%.</w:t>
      </w:r>
      <w:r>
        <w:rPr>
          <w:sz w:val="18"/>
          <w:szCs w:val="18"/>
        </w:rPr>
        <w:t xml:space="preserve"> </w:t>
      </w:r>
      <w:r>
        <w:rPr>
          <w:rFonts w:ascii="Verdana" w:hAnsi="Verdana"/>
          <w:sz w:val="20"/>
          <w:szCs w:val="20"/>
        </w:rPr>
        <w:t>The Department has continued to monitor early learning and childcare capacity, with a particular focus on monitoring Covid-19 impacts as public health restrictions have been lifted and on responding to the unmet early learning and childcare needs of families.</w:t>
      </w:r>
    </w:p>
    <w:p w14:paraId="5FAD5FE8" w14:textId="77777777" w:rsidR="00FB5A9D" w:rsidRDefault="00FB5A9D" w:rsidP="00FB5A9D">
      <w:pPr>
        <w:pStyle w:val="NormalWeb"/>
        <w:spacing w:line="254" w:lineRule="auto"/>
        <w:jc w:val="both"/>
        <w:rPr>
          <w:sz w:val="18"/>
          <w:szCs w:val="18"/>
        </w:rPr>
      </w:pPr>
      <w:r>
        <w:rPr>
          <w:rFonts w:ascii="Tahoma" w:hAnsi="Tahoma" w:cs="Tahoma"/>
          <w:sz w:val="20"/>
          <w:szCs w:val="20"/>
        </w:rPr>
        <w:t>﻿</w:t>
      </w:r>
      <w:r>
        <w:rPr>
          <w:rFonts w:ascii="Verdana" w:hAnsi="Verdana"/>
          <w:sz w:val="20"/>
          <w:szCs w:val="20"/>
        </w:rPr>
        <w:t xml:space="preserve">In April of this year, City/County Childcare Committee (CCC) undertook a nationwide survey of capacity in early learning and childcare services. This was followed in May by the Early Years Sector Profile Survey that is undertaken by </w:t>
      </w:r>
      <w:proofErr w:type="spellStart"/>
      <w:r>
        <w:rPr>
          <w:rFonts w:ascii="Verdana" w:hAnsi="Verdana"/>
          <w:sz w:val="20"/>
          <w:szCs w:val="20"/>
        </w:rPr>
        <w:t>Pobal</w:t>
      </w:r>
      <w:proofErr w:type="spellEnd"/>
      <w:r>
        <w:rPr>
          <w:rFonts w:ascii="Verdana" w:hAnsi="Verdana"/>
          <w:sz w:val="20"/>
          <w:szCs w:val="20"/>
        </w:rPr>
        <w:t xml:space="preserve"> annually on behalf of the Department. The City/County Childcare Committees across the country are also proactively engaging with early learning and childcare services to explore the potential for services in increase capacity where there is evidence of unmet early learning and childcare needs of families - with applications to </w:t>
      </w:r>
      <w:proofErr w:type="spellStart"/>
      <w:r>
        <w:rPr>
          <w:rFonts w:ascii="Verdana" w:hAnsi="Verdana"/>
          <w:sz w:val="20"/>
          <w:szCs w:val="20"/>
        </w:rPr>
        <w:t>Tusla</w:t>
      </w:r>
      <w:proofErr w:type="spellEnd"/>
      <w:r>
        <w:rPr>
          <w:rFonts w:ascii="Verdana" w:hAnsi="Verdana"/>
          <w:sz w:val="20"/>
          <w:szCs w:val="20"/>
        </w:rPr>
        <w:t xml:space="preserve"> to increase capacity in ELC services fast tracked, where possible.</w:t>
      </w:r>
    </w:p>
    <w:p w14:paraId="0F9DEB33" w14:textId="77777777" w:rsidR="00FB5A9D" w:rsidRDefault="00FB5A9D" w:rsidP="00FB5A9D">
      <w:pPr>
        <w:pStyle w:val="NormalWeb"/>
        <w:spacing w:line="254" w:lineRule="auto"/>
        <w:jc w:val="both"/>
        <w:rPr>
          <w:sz w:val="18"/>
          <w:szCs w:val="18"/>
        </w:rPr>
      </w:pPr>
      <w:r>
        <w:rPr>
          <w:rFonts w:ascii="Verdana" w:hAnsi="Verdana"/>
          <w:sz w:val="20"/>
          <w:szCs w:val="20"/>
        </w:rPr>
        <w:t>Capacity data captured through the recent CCC survey and the Early Years Sector Profile Survey has been extracted and will be made available in the coming weeks. An initial analysis of these data show vacancy rates in Dublin South are now approximately 10%.</w:t>
      </w:r>
    </w:p>
    <w:p w14:paraId="25DAC914" w14:textId="77777777" w:rsidR="00FB5A9D" w:rsidRDefault="00FB5A9D" w:rsidP="00FB5A9D">
      <w:pPr>
        <w:pStyle w:val="NormalWeb"/>
        <w:spacing w:line="336" w:lineRule="atLeast"/>
        <w:jc w:val="both"/>
        <w:rPr>
          <w:sz w:val="20"/>
          <w:szCs w:val="20"/>
        </w:rPr>
      </w:pPr>
      <w:r>
        <w:rPr>
          <w:rFonts w:ascii="Verdana" w:hAnsi="Verdana"/>
          <w:sz w:val="20"/>
          <w:szCs w:val="20"/>
        </w:rPr>
        <w:t xml:space="preserve">In addition to these efforts to monitor capacity issues across the country, the Department is planning a range of steps to address any issue of under supply. A new funding model, to roll out in September, will provide funding for services aligned to costs of delivery. Some €70m has been allocated to the Department through the revised National Development </w:t>
      </w:r>
      <w:r>
        <w:rPr>
          <w:rFonts w:ascii="Verdana" w:hAnsi="Verdana"/>
          <w:sz w:val="20"/>
          <w:szCs w:val="20"/>
        </w:rPr>
        <w:lastRenderedPageBreak/>
        <w:t>Plan (NDP) – with the majority of this funding earmarked for new places. Another important step being taken by the Department, in partnership with the Department of Housing Planning and Local Government (DHPLG), is to update the 2001 Planning Guidelines for Local Authorities on Early Learning and Childcare Settings. In addition, CCC are currently proactively engaging with early learning and childcare services to identify unused capacity and explore the potential for services in increase capacity where there is evidence of unmet early learning and childcare needs of families.</w:t>
      </w:r>
    </w:p>
    <w:p w14:paraId="7E94B63B" w14:textId="77777777" w:rsidR="00FB5A9D" w:rsidRDefault="00FB5A9D" w:rsidP="00FB5A9D">
      <w:pPr>
        <w:pStyle w:val="NormalWeb"/>
        <w:spacing w:line="336" w:lineRule="atLeast"/>
        <w:jc w:val="both"/>
        <w:rPr>
          <w:sz w:val="18"/>
          <w:szCs w:val="18"/>
        </w:rPr>
      </w:pPr>
      <w:r>
        <w:rPr>
          <w:rFonts w:ascii="Verdana" w:hAnsi="Verdana"/>
          <w:sz w:val="20"/>
          <w:szCs w:val="20"/>
        </w:rPr>
        <w:t xml:space="preserve">Parents experiencing difficulty in relation to their early learning and childcare needs should contact their local City/County Childcare Committee (CCC) for assistance. Contact details for CCCs may be found on </w:t>
      </w:r>
      <w:hyperlink r:id="rId5" w:history="1">
        <w:r>
          <w:rPr>
            <w:rStyle w:val="Hyperlink"/>
            <w:rFonts w:ascii="Verdana" w:hAnsi="Verdana"/>
            <w:sz w:val="20"/>
            <w:szCs w:val="20"/>
          </w:rPr>
          <w:t>www.myccc.ie</w:t>
        </w:r>
      </w:hyperlink>
      <w:r>
        <w:rPr>
          <w:rFonts w:ascii="Verdana" w:hAnsi="Verdana"/>
          <w:sz w:val="20"/>
          <w:szCs w:val="20"/>
        </w:rPr>
        <w:t>.</w:t>
      </w:r>
    </w:p>
    <w:p w14:paraId="2A1FE4EE" w14:textId="77777777" w:rsidR="00FB5A9D" w:rsidRDefault="00FB5A9D" w:rsidP="00FB5A9D">
      <w:pPr>
        <w:pStyle w:val="NormalWeb"/>
        <w:spacing w:line="336" w:lineRule="atLeast"/>
        <w:jc w:val="both"/>
        <w:rPr>
          <w:sz w:val="18"/>
          <w:szCs w:val="18"/>
        </w:rPr>
      </w:pPr>
    </w:p>
    <w:p w14:paraId="249E3CBA" w14:textId="77777777" w:rsidR="00FB5A9D" w:rsidRDefault="00FB5A9D" w:rsidP="00FB5A9D">
      <w:pPr>
        <w:pStyle w:val="NormalWeb"/>
        <w:spacing w:line="254" w:lineRule="auto"/>
        <w:jc w:val="both"/>
        <w:rPr>
          <w:sz w:val="19"/>
          <w:szCs w:val="19"/>
        </w:rPr>
      </w:pPr>
      <w:r>
        <w:rPr>
          <w:rFonts w:ascii="Verdana" w:hAnsi="Verdana"/>
          <w:sz w:val="20"/>
          <w:szCs w:val="20"/>
        </w:rPr>
        <w:t> </w:t>
      </w:r>
      <w:r>
        <w:rPr>
          <w:rFonts w:ascii="Verdana" w:hAnsi="Verdana"/>
          <w:b/>
          <w:bCs/>
          <w:sz w:val="20"/>
          <w:szCs w:val="20"/>
        </w:rPr>
        <w:t>Data</w:t>
      </w:r>
    </w:p>
    <w:p w14:paraId="658C833C" w14:textId="77777777" w:rsidR="00FB5A9D" w:rsidRDefault="00FB5A9D" w:rsidP="00FB5A9D">
      <w:pPr>
        <w:pStyle w:val="NormalWeb"/>
        <w:spacing w:line="336" w:lineRule="atLeast"/>
        <w:rPr>
          <w:sz w:val="18"/>
          <w:szCs w:val="18"/>
        </w:rPr>
      </w:pPr>
      <w:r>
        <w:rPr>
          <w:rFonts w:ascii="Verdana" w:hAnsi="Verdana"/>
          <w:sz w:val="20"/>
          <w:szCs w:val="20"/>
        </w:rPr>
        <w:t>Vacancy Rate by County (April/May 2022)</w:t>
      </w:r>
    </w:p>
    <w:p w14:paraId="5A938291" w14:textId="77777777" w:rsidR="00FB5A9D" w:rsidRDefault="00FB5A9D" w:rsidP="00FB5A9D">
      <w:pPr>
        <w:pStyle w:val="NormalWeb"/>
        <w:spacing w:line="254" w:lineRule="auto"/>
        <w:rPr>
          <w:sz w:val="18"/>
          <w:szCs w:val="18"/>
        </w:rPr>
      </w:pPr>
      <w:r>
        <w:rPr>
          <w:rFonts w:ascii="Verdana" w:hAnsi="Verdana"/>
          <w:sz w:val="20"/>
          <w:szCs w:val="20"/>
        </w:rPr>
        <w:t>(NOTE the maximum number of places and the number of vacant places are based on survey data that has not been extrapolated)</w:t>
      </w:r>
    </w:p>
    <w:tbl>
      <w:tblPr>
        <w:tblW w:w="0" w:type="auto"/>
        <w:tblCellSpacing w:w="22" w:type="dxa"/>
        <w:tblCellMar>
          <w:left w:w="0" w:type="dxa"/>
          <w:right w:w="0" w:type="dxa"/>
        </w:tblCellMar>
        <w:tblLook w:val="04A0" w:firstRow="1" w:lastRow="0" w:firstColumn="1" w:lastColumn="0" w:noHBand="0" w:noVBand="1"/>
      </w:tblPr>
      <w:tblGrid>
        <w:gridCol w:w="124"/>
      </w:tblGrid>
      <w:tr w:rsidR="00FB5A9D" w14:paraId="1C0BC8C6" w14:textId="77777777" w:rsidTr="00FB5A9D">
        <w:trPr>
          <w:tblCellSpacing w:w="22" w:type="dxa"/>
        </w:trPr>
        <w:tc>
          <w:tcPr>
            <w:tcW w:w="0" w:type="auto"/>
            <w:tcMar>
              <w:top w:w="15" w:type="dxa"/>
              <w:left w:w="15" w:type="dxa"/>
              <w:bottom w:w="15" w:type="dxa"/>
              <w:right w:w="15" w:type="dxa"/>
            </w:tcMar>
            <w:vAlign w:val="center"/>
            <w:hideMark/>
          </w:tcPr>
          <w:p w14:paraId="6804D27C" w14:textId="77777777" w:rsidR="00FB5A9D" w:rsidRDefault="00FB5A9D">
            <w:pPr>
              <w:rPr>
                <w:sz w:val="18"/>
                <w:szCs w:val="18"/>
              </w:rPr>
            </w:pPr>
          </w:p>
        </w:tc>
      </w:tr>
    </w:tbl>
    <w:p w14:paraId="0B2212B9" w14:textId="77777777" w:rsidR="00FB5A9D" w:rsidRDefault="00FB5A9D" w:rsidP="00FB5A9D">
      <w:pPr>
        <w:rPr>
          <w:vanish/>
        </w:rPr>
      </w:pPr>
    </w:p>
    <w:tbl>
      <w:tblPr>
        <w:tblW w:w="10340" w:type="dxa"/>
        <w:tblCellMar>
          <w:left w:w="0" w:type="dxa"/>
          <w:right w:w="0" w:type="dxa"/>
        </w:tblCellMar>
        <w:tblLook w:val="04A0" w:firstRow="1" w:lastRow="0" w:firstColumn="1" w:lastColumn="0" w:noHBand="0" w:noVBand="1"/>
      </w:tblPr>
      <w:tblGrid>
        <w:gridCol w:w="2385"/>
        <w:gridCol w:w="2608"/>
        <w:gridCol w:w="2744"/>
        <w:gridCol w:w="2603"/>
      </w:tblGrid>
      <w:tr w:rsidR="00FB5A9D" w14:paraId="4D249B05" w14:textId="77777777" w:rsidTr="00FB5A9D">
        <w:trPr>
          <w:trHeight w:val="290"/>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4FEED" w14:textId="77777777" w:rsidR="00FB5A9D" w:rsidRDefault="00FB5A9D">
            <w:pPr>
              <w:pStyle w:val="NormalWeb"/>
              <w:spacing w:after="240" w:afterAutospacing="0"/>
              <w:jc w:val="center"/>
            </w:pPr>
            <w:r>
              <w:rPr>
                <w:rFonts w:ascii="Verdana" w:hAnsi="Verdana"/>
                <w:b/>
                <w:bCs/>
                <w:color w:val="000000"/>
                <w:sz w:val="20"/>
                <w:szCs w:val="20"/>
              </w:rPr>
              <w:t>Capacity and Vacant Places April/May 2022 </w:t>
            </w:r>
            <w:r>
              <w:rPr>
                <w:rFonts w:ascii="Verdana" w:hAnsi="Verdana"/>
                <w:color w:val="414141"/>
                <w:sz w:val="20"/>
                <w:szCs w:val="20"/>
              </w:rPr>
              <w:t> </w:t>
            </w:r>
          </w:p>
        </w:tc>
      </w:tr>
      <w:tr w:rsidR="00FB5A9D" w14:paraId="6642E053" w14:textId="77777777" w:rsidTr="00FB5A9D">
        <w:trPr>
          <w:trHeight w:val="29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BEF41" w14:textId="77777777" w:rsidR="00FB5A9D" w:rsidRDefault="00FB5A9D">
            <w:pPr>
              <w:pStyle w:val="NormalWeb"/>
              <w:spacing w:after="240" w:afterAutospacing="0"/>
            </w:pPr>
            <w:r>
              <w:rPr>
                <w:rFonts w:ascii="Tahoma" w:hAnsi="Tahoma" w:cs="Tahoma"/>
                <w:color w:val="000000"/>
                <w:sz w:val="20"/>
                <w:szCs w:val="20"/>
              </w:rPr>
              <w:t>﻿</w:t>
            </w:r>
            <w:r>
              <w:rPr>
                <w:rFonts w:ascii="Verdana" w:hAnsi="Verdana"/>
                <w:color w:val="000000"/>
                <w:sz w:val="20"/>
                <w:szCs w:val="20"/>
              </w:rPr>
              <w:t> </w:t>
            </w:r>
            <w:r>
              <w:rPr>
                <w:rFonts w:ascii="Verdana" w:hAnsi="Verdana"/>
                <w:color w:val="414141"/>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63B53" w14:textId="77777777" w:rsidR="00FB5A9D" w:rsidRDefault="00FB5A9D">
            <w:pPr>
              <w:pStyle w:val="NormalWeb"/>
              <w:spacing w:after="240" w:afterAutospacing="0"/>
            </w:pPr>
            <w:r>
              <w:rPr>
                <w:rFonts w:ascii="Verdana" w:hAnsi="Verdana"/>
                <w:b/>
                <w:bCs/>
                <w:color w:val="000000"/>
                <w:sz w:val="20"/>
                <w:szCs w:val="20"/>
              </w:rPr>
              <w:t>Max capacity</w:t>
            </w:r>
            <w:r>
              <w:rPr>
                <w:rFonts w:ascii="Verdana" w:hAnsi="Verdana"/>
                <w:color w:val="000000"/>
                <w:sz w:val="20"/>
                <w:szCs w:val="20"/>
              </w:rPr>
              <w:t> </w:t>
            </w:r>
            <w:r>
              <w:rPr>
                <w:rFonts w:ascii="Verdana" w:hAnsi="Verdana"/>
                <w:color w:val="414141"/>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EA728" w14:textId="77777777" w:rsidR="00FB5A9D" w:rsidRDefault="00FB5A9D">
            <w:pPr>
              <w:pStyle w:val="NormalWeb"/>
              <w:spacing w:after="240" w:afterAutospacing="0"/>
            </w:pPr>
            <w:r>
              <w:rPr>
                <w:rFonts w:ascii="Verdana" w:hAnsi="Verdana"/>
                <w:b/>
                <w:bCs/>
                <w:color w:val="000000"/>
                <w:sz w:val="20"/>
                <w:szCs w:val="20"/>
              </w:rPr>
              <w:t>Vacant places</w:t>
            </w:r>
            <w:r>
              <w:rPr>
                <w:rFonts w:ascii="Verdana" w:hAnsi="Verdana"/>
                <w:color w:val="000000"/>
                <w:sz w:val="20"/>
                <w:szCs w:val="20"/>
              </w:rPr>
              <w:t> </w:t>
            </w:r>
            <w:r>
              <w:rPr>
                <w:rFonts w:ascii="Verdana" w:hAnsi="Verdana"/>
                <w:color w:val="414141"/>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F98BA" w14:textId="77777777" w:rsidR="00FB5A9D" w:rsidRDefault="00FB5A9D">
            <w:pPr>
              <w:pStyle w:val="NormalWeb"/>
              <w:spacing w:after="240" w:afterAutospacing="0"/>
            </w:pPr>
            <w:r>
              <w:rPr>
                <w:rFonts w:ascii="Verdana" w:hAnsi="Verdana"/>
                <w:b/>
                <w:bCs/>
                <w:color w:val="000000"/>
                <w:sz w:val="20"/>
                <w:szCs w:val="20"/>
              </w:rPr>
              <w:t>Vacancy rate</w:t>
            </w:r>
            <w:r>
              <w:rPr>
                <w:rFonts w:ascii="Verdana" w:hAnsi="Verdana"/>
                <w:color w:val="000000"/>
                <w:sz w:val="20"/>
                <w:szCs w:val="20"/>
              </w:rPr>
              <w:t> </w:t>
            </w:r>
            <w:r>
              <w:rPr>
                <w:rFonts w:ascii="Verdana" w:hAnsi="Verdana"/>
                <w:color w:val="414141"/>
                <w:sz w:val="20"/>
                <w:szCs w:val="20"/>
              </w:rPr>
              <w:t> </w:t>
            </w:r>
          </w:p>
        </w:tc>
      </w:tr>
      <w:tr w:rsidR="00FB5A9D" w14:paraId="75E906E8" w14:textId="77777777" w:rsidTr="00FB5A9D">
        <w:trPr>
          <w:trHeight w:val="29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4B84E" w14:textId="77777777" w:rsidR="00FB5A9D" w:rsidRDefault="00FB5A9D">
            <w:pPr>
              <w:pStyle w:val="NormalWeb"/>
              <w:spacing w:after="240" w:afterAutospacing="0"/>
            </w:pPr>
            <w:r>
              <w:rPr>
                <w:rFonts w:ascii="Verdana" w:hAnsi="Verdana"/>
                <w:color w:val="414141"/>
                <w:sz w:val="20"/>
                <w:szCs w:val="20"/>
              </w:rPr>
              <w:t>South Dublin</w:t>
            </w:r>
            <w:r>
              <w:rPr>
                <w:rFonts w:ascii="Verdana" w:hAnsi="Verdana"/>
                <w:color w:val="000000"/>
                <w:sz w:val="20"/>
                <w:szCs w:val="20"/>
              </w:rPr>
              <w:t> </w:t>
            </w:r>
            <w:r>
              <w:rPr>
                <w:rFonts w:ascii="Verdana" w:hAnsi="Verdana"/>
                <w:color w:val="414141"/>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F4E40" w14:textId="77777777" w:rsidR="00FB5A9D" w:rsidRDefault="00FB5A9D">
            <w:pPr>
              <w:pStyle w:val="NormalWeb"/>
              <w:spacing w:after="240" w:afterAutospacing="0"/>
            </w:pPr>
            <w:r>
              <w:rPr>
                <w:rFonts w:ascii="Verdana" w:hAnsi="Verdana"/>
                <w:color w:val="414141"/>
                <w:sz w:val="20"/>
                <w:szCs w:val="20"/>
              </w:rPr>
              <w:t>11853</w:t>
            </w:r>
            <w:r>
              <w:rPr>
                <w:rFonts w:ascii="Verdana" w:hAnsi="Verdana"/>
                <w:b/>
                <w:bCs/>
                <w:color w:val="000000"/>
                <w:sz w:val="20"/>
                <w:szCs w:val="20"/>
              </w:rPr>
              <w:t> </w:t>
            </w:r>
            <w:r>
              <w:rPr>
                <w:rFonts w:ascii="Verdana" w:hAnsi="Verdana"/>
                <w:color w:val="414141"/>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98C6C" w14:textId="77777777" w:rsidR="00FB5A9D" w:rsidRDefault="00FB5A9D">
            <w:pPr>
              <w:pStyle w:val="NormalWeb"/>
              <w:spacing w:after="240" w:afterAutospacing="0"/>
            </w:pPr>
            <w:r>
              <w:rPr>
                <w:rFonts w:ascii="Verdana" w:hAnsi="Verdana"/>
                <w:color w:val="414141"/>
                <w:sz w:val="20"/>
                <w:szCs w:val="20"/>
              </w:rPr>
              <w:t>1188</w:t>
            </w:r>
            <w:r>
              <w:rPr>
                <w:rFonts w:ascii="Verdana" w:hAnsi="Verdana"/>
                <w:b/>
                <w:bCs/>
                <w:color w:val="000000"/>
                <w:sz w:val="20"/>
                <w:szCs w:val="20"/>
              </w:rPr>
              <w:t> </w:t>
            </w:r>
            <w:r>
              <w:rPr>
                <w:rFonts w:ascii="Verdana" w:hAnsi="Verdana"/>
                <w:color w:val="414141"/>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CD44A" w14:textId="77777777" w:rsidR="00FB5A9D" w:rsidRDefault="00FB5A9D">
            <w:pPr>
              <w:pStyle w:val="NormalWeb"/>
              <w:spacing w:after="240" w:afterAutospacing="0"/>
            </w:pPr>
            <w:r>
              <w:rPr>
                <w:rFonts w:ascii="Verdana" w:hAnsi="Verdana"/>
                <w:color w:val="414141"/>
                <w:sz w:val="20"/>
                <w:szCs w:val="20"/>
              </w:rPr>
              <w:t>10.0%</w:t>
            </w:r>
            <w:r>
              <w:rPr>
                <w:rFonts w:ascii="Verdana" w:hAnsi="Verdana"/>
                <w:b/>
                <w:bCs/>
                <w:color w:val="000000"/>
                <w:sz w:val="20"/>
                <w:szCs w:val="20"/>
              </w:rPr>
              <w:t> </w:t>
            </w:r>
            <w:r>
              <w:rPr>
                <w:rFonts w:ascii="Verdana" w:hAnsi="Verdana"/>
                <w:color w:val="414141"/>
                <w:sz w:val="20"/>
                <w:szCs w:val="20"/>
              </w:rPr>
              <w:t> </w:t>
            </w:r>
          </w:p>
        </w:tc>
      </w:tr>
    </w:tbl>
    <w:p w14:paraId="07BAF782" w14:textId="77777777" w:rsidR="00FB5A9D" w:rsidRDefault="00FB5A9D" w:rsidP="00FB5A9D">
      <w:pPr>
        <w:pStyle w:val="NormalWeb"/>
        <w:spacing w:line="254" w:lineRule="auto"/>
      </w:pPr>
      <w:r>
        <w:rPr>
          <w:sz w:val="18"/>
          <w:szCs w:val="18"/>
        </w:rPr>
        <w:br/>
      </w:r>
      <w:r>
        <w:rPr>
          <w:rFonts w:ascii="Arial" w:hAnsi="Arial" w:cs="Arial"/>
          <w:sz w:val="20"/>
          <w:szCs w:val="20"/>
        </w:rPr>
        <w:t>‎</w:t>
      </w:r>
      <w:r>
        <w:rPr>
          <w:rFonts w:ascii="Verdana" w:hAnsi="Verdana"/>
          <w:sz w:val="20"/>
          <w:szCs w:val="20"/>
        </w:rPr>
        <w:t xml:space="preserve"> </w:t>
      </w:r>
    </w:p>
    <w:p w14:paraId="2AB5E835" w14:textId="77777777" w:rsidR="00FB5A9D" w:rsidRDefault="00FB5A9D" w:rsidP="00FB5A9D">
      <w:pPr>
        <w:pStyle w:val="NormalWeb"/>
        <w:spacing w:line="254" w:lineRule="auto"/>
        <w:rPr>
          <w:rFonts w:ascii="Verdana" w:hAnsi="Verdana"/>
          <w:sz w:val="18"/>
          <w:szCs w:val="18"/>
        </w:rPr>
      </w:pPr>
      <w:r>
        <w:rPr>
          <w:rFonts w:ascii="Verdana" w:hAnsi="Verdana"/>
          <w:sz w:val="20"/>
          <w:szCs w:val="20"/>
        </w:rPr>
        <w:t>Yours sincerely</w:t>
      </w:r>
      <w:r>
        <w:rPr>
          <w:rFonts w:ascii="Verdana" w:hAnsi="Verdana"/>
          <w:sz w:val="18"/>
          <w:szCs w:val="18"/>
        </w:rPr>
        <w:br/>
      </w:r>
      <w:r>
        <w:rPr>
          <w:rFonts w:ascii="Arial" w:hAnsi="Arial" w:cs="Arial"/>
          <w:sz w:val="20"/>
          <w:szCs w:val="20"/>
        </w:rPr>
        <w:t>‎</w:t>
      </w:r>
      <w:r>
        <w:rPr>
          <w:rFonts w:ascii="Verdana" w:hAnsi="Verdana"/>
          <w:sz w:val="18"/>
          <w:szCs w:val="18"/>
        </w:rPr>
        <w:br/>
      </w:r>
      <w:r>
        <w:rPr>
          <w:rFonts w:ascii="Arial" w:hAnsi="Arial" w:cs="Arial"/>
          <w:sz w:val="20"/>
          <w:szCs w:val="20"/>
        </w:rPr>
        <w:t>‎</w:t>
      </w:r>
      <w:r>
        <w:rPr>
          <w:rFonts w:ascii="Verdana" w:hAnsi="Verdana"/>
          <w:sz w:val="18"/>
          <w:szCs w:val="18"/>
        </w:rPr>
        <w:br/>
      </w:r>
      <w:r>
        <w:rPr>
          <w:rFonts w:ascii="Arial" w:hAnsi="Arial" w:cs="Arial"/>
          <w:sz w:val="20"/>
          <w:szCs w:val="20"/>
        </w:rPr>
        <w:t>‎</w:t>
      </w:r>
      <w:r>
        <w:rPr>
          <w:rFonts w:ascii="Verdana" w:hAnsi="Verdana"/>
          <w:sz w:val="20"/>
          <w:szCs w:val="20"/>
        </w:rPr>
        <w:t>Lisa Hughes</w:t>
      </w:r>
    </w:p>
    <w:p w14:paraId="1F99F2A7" w14:textId="77777777" w:rsidR="00FB5A9D" w:rsidRDefault="00FB5A9D" w:rsidP="00FB5A9D">
      <w:pPr>
        <w:pStyle w:val="NormalWeb"/>
        <w:spacing w:line="254" w:lineRule="auto"/>
        <w:rPr>
          <w:rFonts w:ascii="Verdana" w:hAnsi="Verdana"/>
          <w:sz w:val="18"/>
          <w:szCs w:val="18"/>
        </w:rPr>
      </w:pPr>
      <w:r>
        <w:rPr>
          <w:rFonts w:ascii="Verdana" w:hAnsi="Verdana"/>
          <w:sz w:val="20"/>
          <w:szCs w:val="20"/>
        </w:rPr>
        <w:t>Private Secretary to Minister Roderic O’Gorman TD</w:t>
      </w:r>
    </w:p>
    <w:p w14:paraId="50D9AE85" w14:textId="77777777" w:rsidR="00323169" w:rsidRDefault="00FB5A9D"/>
    <w:sectPr w:rsidR="00323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9D"/>
    <w:rsid w:val="003169A0"/>
    <w:rsid w:val="00993DBA"/>
    <w:rsid w:val="00FB5A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94F2"/>
  <w15:chartTrackingRefBased/>
  <w15:docId w15:val="{BE3C65CF-CBFC-4C13-9CFE-9D45F8C4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9D"/>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5A9D"/>
    <w:rPr>
      <w:color w:val="0000FF"/>
      <w:u w:val="single"/>
    </w:rPr>
  </w:style>
  <w:style w:type="paragraph" w:styleId="NormalWeb">
    <w:name w:val="Normal (Web)"/>
    <w:basedOn w:val="Normal"/>
    <w:uiPriority w:val="99"/>
    <w:semiHidden/>
    <w:unhideWhenUsed/>
    <w:rsid w:val="00FB5A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3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4.safelinks.protection.outlook.com/?url=http%3A%2F%2Fwww.myccc.ie%2F&amp;data=05%7C01%7Clmaher%40SDUBLINCOCO.ie%7C05f3125bba204867ac3908da6a454073%7C6a3c00c019d0492da8de95fad8fda1d4%7C0%7C0%7C637939142906131873%7CUnknown%7CTWFpbGZsb3d8eyJWIjoiMC4wLjAwMDAiLCJQIjoiV2luMzIiLCJBTiI6Ik1haWwiLCJXVCI6Mn0%3D%7C3000%7C%7C%7C&amp;sdata=7XN0ECdVInEhplTcHoQjazAGURG9MgVEhyi2iZdRUkY%3D&amp;reserved=0" TargetMode="External"/><Relationship Id="rId4" Type="http://schemas.openxmlformats.org/officeDocument/2006/relationships/hyperlink" Target="mailto:info@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Maher</dc:creator>
  <cp:keywords/>
  <dc:description/>
  <cp:lastModifiedBy>Leona Maher</cp:lastModifiedBy>
  <cp:revision>1</cp:revision>
  <dcterms:created xsi:type="dcterms:W3CDTF">2022-07-25T14:37:00Z</dcterms:created>
  <dcterms:modified xsi:type="dcterms:W3CDTF">2022-07-25T14:39:00Z</dcterms:modified>
</cp:coreProperties>
</file>