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07EAB9DC" w14:textId="63A9EFAD" w:rsidR="005E329C" w:rsidRDefault="005E329C" w:rsidP="00FF5709">
      <w:pPr>
        <w:pStyle w:val="NormalWeb"/>
        <w:jc w:val="center"/>
        <w:rPr>
          <w:rFonts w:ascii="Tahoma" w:hAnsi="Tahoma" w:cs="Tahoma"/>
          <w:b/>
          <w:u w:val="single"/>
        </w:rPr>
      </w:pPr>
      <w:r>
        <w:rPr>
          <w:rFonts w:ascii="Tahoma" w:hAnsi="Tahoma" w:cs="Tahoma"/>
          <w:b/>
          <w:u w:val="single"/>
        </w:rPr>
        <w:t xml:space="preserve">Monday, </w:t>
      </w:r>
      <w:r w:rsidR="00FF5709">
        <w:rPr>
          <w:rFonts w:ascii="Tahoma" w:hAnsi="Tahoma" w:cs="Tahoma"/>
          <w:b/>
          <w:u w:val="single"/>
        </w:rPr>
        <w:t>13</w:t>
      </w:r>
      <w:r w:rsidR="00FF5709" w:rsidRPr="00FF5709">
        <w:rPr>
          <w:rFonts w:ascii="Tahoma" w:hAnsi="Tahoma" w:cs="Tahoma"/>
          <w:b/>
          <w:u w:val="single"/>
          <w:vertAlign w:val="superscript"/>
        </w:rPr>
        <w:t>th</w:t>
      </w:r>
      <w:r w:rsidR="00FF5709">
        <w:rPr>
          <w:rFonts w:ascii="Tahoma" w:hAnsi="Tahoma" w:cs="Tahoma"/>
          <w:b/>
          <w:u w:val="single"/>
        </w:rPr>
        <w:t xml:space="preserve"> June 2022</w:t>
      </w:r>
    </w:p>
    <w:p w14:paraId="4A65FCF6" w14:textId="79C95C0D" w:rsidR="001628BF" w:rsidRPr="001628BF" w:rsidRDefault="001628BF" w:rsidP="00FF5709">
      <w:pPr>
        <w:pStyle w:val="NormalWeb"/>
        <w:jc w:val="center"/>
        <w:rPr>
          <w:rFonts w:ascii="Tahoma" w:hAnsi="Tahoma" w:cs="Tahoma"/>
          <w:b/>
        </w:rPr>
      </w:pPr>
      <w:r w:rsidRPr="001628BF">
        <w:rPr>
          <w:rFonts w:ascii="Tahoma" w:hAnsi="Tahoma" w:cs="Tahoma"/>
          <w:b/>
        </w:rPr>
        <w:t xml:space="preserve">H-I </w:t>
      </w:r>
      <w:r w:rsidR="004867D9">
        <w:rPr>
          <w:rFonts w:ascii="Tahoma" w:hAnsi="Tahoma" w:cs="Tahoma"/>
          <w:b/>
        </w:rPr>
        <w:t>8 (c)</w:t>
      </w:r>
    </w:p>
    <w:p w14:paraId="1A385F99" w14:textId="77777777" w:rsidR="00294AE6" w:rsidRDefault="00294AE6" w:rsidP="005E329C">
      <w:pPr>
        <w:jc w:val="center"/>
        <w:rPr>
          <w:rFonts w:ascii="Tahoma" w:hAnsi="Tahoma" w:cs="Tahoma"/>
          <w:b/>
          <w:szCs w:val="24"/>
        </w:rPr>
      </w:pPr>
    </w:p>
    <w:p w14:paraId="558F4086" w14:textId="33E81E12" w:rsidR="00FF5709" w:rsidRPr="00C65473" w:rsidRDefault="00294AE6" w:rsidP="00FF5709">
      <w:pPr>
        <w:ind w:left="1440" w:hanging="1440"/>
        <w:rPr>
          <w:rFonts w:ascii="Tahoma" w:hAnsi="Tahoma" w:cs="Tahoma"/>
          <w:b/>
          <w:lang w:val="en-IE"/>
        </w:rPr>
      </w:pPr>
      <w:r>
        <w:rPr>
          <w:rFonts w:ascii="Tahoma" w:hAnsi="Tahoma" w:cs="Tahoma"/>
          <w:b/>
          <w:szCs w:val="24"/>
        </w:rPr>
        <w:t>LD 1</w:t>
      </w:r>
      <w:r w:rsidR="00FF5709">
        <w:rPr>
          <w:rFonts w:ascii="Tahoma" w:hAnsi="Tahoma" w:cs="Tahoma"/>
          <w:b/>
          <w:szCs w:val="24"/>
        </w:rPr>
        <w:t>073</w:t>
      </w:r>
      <w:r w:rsidR="00FF5709">
        <w:rPr>
          <w:rFonts w:ascii="Tahoma" w:hAnsi="Tahoma" w:cs="Tahoma"/>
          <w:b/>
          <w:szCs w:val="24"/>
        </w:rPr>
        <w:tab/>
        <w:t xml:space="preserve">Proposed disposal of plot of land to rear </w:t>
      </w:r>
      <w:r w:rsidR="00FF5709" w:rsidRPr="009E5D22">
        <w:rPr>
          <w:rFonts w:ascii="Tahoma" w:hAnsi="Tahoma" w:cs="Tahoma"/>
          <w:b/>
          <w:lang w:val="en-IE"/>
        </w:rPr>
        <w:t xml:space="preserve">14 </w:t>
      </w:r>
      <w:proofErr w:type="spellStart"/>
      <w:r w:rsidR="00FF5709" w:rsidRPr="009E5D22">
        <w:rPr>
          <w:rFonts w:ascii="Tahoma" w:hAnsi="Tahoma" w:cs="Tahoma"/>
          <w:b/>
          <w:lang w:val="en-IE"/>
        </w:rPr>
        <w:t>Bawnlea</w:t>
      </w:r>
      <w:proofErr w:type="spellEnd"/>
      <w:r w:rsidR="00FF5709" w:rsidRPr="009E5D22">
        <w:rPr>
          <w:rFonts w:ascii="Tahoma" w:hAnsi="Tahoma" w:cs="Tahoma"/>
          <w:b/>
          <w:lang w:val="en-IE"/>
        </w:rPr>
        <w:t xml:space="preserve"> Crescent, Tallaght, D</w:t>
      </w:r>
      <w:r w:rsidR="00FF5709">
        <w:rPr>
          <w:rFonts w:ascii="Tahoma" w:hAnsi="Tahoma" w:cs="Tahoma"/>
          <w:b/>
          <w:lang w:val="en-IE"/>
        </w:rPr>
        <w:t>ublin 24</w:t>
      </w:r>
    </w:p>
    <w:p w14:paraId="1BD7EAB4" w14:textId="067EAFD2" w:rsidR="00FF5709" w:rsidRDefault="00294AE6" w:rsidP="00FF5709">
      <w:pPr>
        <w:rPr>
          <w:rFonts w:ascii="Tahoma" w:hAnsi="Tahoma" w:cs="Tahoma"/>
          <w:b/>
          <w:szCs w:val="24"/>
        </w:rPr>
      </w:pPr>
      <w:r>
        <w:rPr>
          <w:rFonts w:ascii="Tahoma" w:hAnsi="Tahoma" w:cs="Tahoma"/>
          <w:b/>
          <w:szCs w:val="24"/>
        </w:rPr>
        <w:tab/>
      </w:r>
    </w:p>
    <w:p w14:paraId="17E7E70C" w14:textId="77777777" w:rsidR="00FF5709" w:rsidRPr="00C32AC0" w:rsidRDefault="00FF5709" w:rsidP="00FF5709">
      <w:pPr>
        <w:rPr>
          <w:rFonts w:ascii="Tahoma" w:hAnsi="Tahoma" w:cs="Tahoma"/>
          <w:lang w:val="en-IE"/>
        </w:rPr>
      </w:pPr>
      <w:r w:rsidRPr="00C32AC0">
        <w:rPr>
          <w:rFonts w:ascii="Tahoma" w:hAnsi="Tahoma" w:cs="Tahoma"/>
          <w:lang w:val="en-IE"/>
        </w:rPr>
        <w:t xml:space="preserve">Eucharia and Michael Daly have applied to purchase a plot of Council owned </w:t>
      </w:r>
      <w:r>
        <w:rPr>
          <w:rFonts w:ascii="Tahoma" w:hAnsi="Tahoma" w:cs="Tahoma"/>
          <w:lang w:val="en-IE"/>
        </w:rPr>
        <w:t xml:space="preserve">land </w:t>
      </w:r>
      <w:r w:rsidRPr="00C32AC0">
        <w:rPr>
          <w:rFonts w:ascii="Tahoma" w:hAnsi="Tahoma" w:cs="Tahoma"/>
          <w:lang w:val="en-IE"/>
        </w:rPr>
        <w:t xml:space="preserve">to the rear of </w:t>
      </w:r>
      <w:r>
        <w:rPr>
          <w:rFonts w:ascii="Tahoma" w:hAnsi="Tahoma" w:cs="Tahoma"/>
          <w:lang w:val="en-IE"/>
        </w:rPr>
        <w:t xml:space="preserve">their dwelling at </w:t>
      </w:r>
      <w:r w:rsidRPr="00C32AC0">
        <w:rPr>
          <w:rFonts w:ascii="Tahoma" w:hAnsi="Tahoma" w:cs="Tahoma"/>
          <w:lang w:val="en-IE"/>
        </w:rPr>
        <w:t xml:space="preserve">14 </w:t>
      </w:r>
      <w:proofErr w:type="spellStart"/>
      <w:r w:rsidRPr="00C32AC0">
        <w:rPr>
          <w:rFonts w:ascii="Tahoma" w:hAnsi="Tahoma" w:cs="Tahoma"/>
          <w:lang w:val="en-IE"/>
        </w:rPr>
        <w:t>Bawnlea</w:t>
      </w:r>
      <w:proofErr w:type="spellEnd"/>
      <w:r w:rsidRPr="00C32AC0">
        <w:rPr>
          <w:rFonts w:ascii="Tahoma" w:hAnsi="Tahoma" w:cs="Tahoma"/>
          <w:lang w:val="en-IE"/>
        </w:rPr>
        <w:t xml:space="preserve"> Crescent </w:t>
      </w:r>
      <w:r>
        <w:rPr>
          <w:rFonts w:ascii="Tahoma" w:hAnsi="Tahoma" w:cs="Tahoma"/>
          <w:lang w:val="en-IE"/>
        </w:rPr>
        <w:t>to incorporate</w:t>
      </w:r>
      <w:r w:rsidRPr="00C32AC0">
        <w:rPr>
          <w:rFonts w:ascii="Tahoma" w:hAnsi="Tahoma" w:cs="Tahoma"/>
          <w:lang w:val="en-IE"/>
        </w:rPr>
        <w:t xml:space="preserve"> into </w:t>
      </w:r>
      <w:r>
        <w:rPr>
          <w:rFonts w:ascii="Tahoma" w:hAnsi="Tahoma" w:cs="Tahoma"/>
          <w:lang w:val="en-IE"/>
        </w:rPr>
        <w:t>their garden.</w:t>
      </w:r>
      <w:r w:rsidRPr="00C32AC0">
        <w:rPr>
          <w:rFonts w:ascii="Tahoma" w:hAnsi="Tahoma" w:cs="Tahoma"/>
          <w:lang w:val="en-IE"/>
        </w:rPr>
        <w:t xml:space="preserve">  </w:t>
      </w:r>
    </w:p>
    <w:p w14:paraId="36977CE5" w14:textId="77777777" w:rsidR="00FF5709" w:rsidRPr="00C32AC0" w:rsidRDefault="00FF5709" w:rsidP="00FF5709">
      <w:pPr>
        <w:rPr>
          <w:rFonts w:ascii="Tahoma" w:hAnsi="Tahoma" w:cs="Tahoma"/>
          <w:b/>
          <w:u w:val="single"/>
        </w:rPr>
      </w:pPr>
    </w:p>
    <w:p w14:paraId="6C9F263E" w14:textId="77777777" w:rsidR="00FF5709" w:rsidRPr="00C32AC0" w:rsidRDefault="00FF5709" w:rsidP="00FF5709">
      <w:pPr>
        <w:jc w:val="both"/>
        <w:rPr>
          <w:rFonts w:ascii="Tahoma" w:hAnsi="Tahoma" w:cs="Tahoma"/>
        </w:rPr>
      </w:pPr>
      <w:r w:rsidRPr="00C32AC0">
        <w:rPr>
          <w:rFonts w:ascii="Tahoma" w:hAnsi="Tahoma" w:cs="Tahoma"/>
          <w:lang w:val="en-IE"/>
        </w:rPr>
        <w:t xml:space="preserve">The matter was examined in consultation with the Council Valuer who </w:t>
      </w:r>
      <w:r w:rsidRPr="00C32AC0">
        <w:rPr>
          <w:rFonts w:ascii="Tahoma" w:hAnsi="Tahoma" w:cs="Tahoma"/>
        </w:rPr>
        <w:t>has recommended the following terms and conditions which are considered to be fair and reasonable, and which have been accepted by the Applicants</w:t>
      </w:r>
      <w:r w:rsidRPr="00C32AC0">
        <w:rPr>
          <w:rFonts w:ascii="Tahoma" w:hAnsi="Tahoma" w:cs="Tahoma"/>
          <w:lang w:val="en-IE"/>
        </w:rPr>
        <w:t>.</w:t>
      </w:r>
    </w:p>
    <w:p w14:paraId="308B1C8C" w14:textId="77777777" w:rsidR="00FF5709" w:rsidRPr="00C32AC0" w:rsidRDefault="00FF5709" w:rsidP="00FF5709">
      <w:pPr>
        <w:rPr>
          <w:rFonts w:ascii="Tahoma" w:hAnsi="Tahoma" w:cs="Tahoma"/>
          <w:lang w:val="en-IE"/>
        </w:rPr>
      </w:pPr>
    </w:p>
    <w:p w14:paraId="63D302CB" w14:textId="77777777" w:rsidR="00FF5709" w:rsidRPr="00C32AC0" w:rsidRDefault="00FF5709" w:rsidP="00FF5709">
      <w:pPr>
        <w:rPr>
          <w:rFonts w:ascii="Tahoma" w:hAnsi="Tahoma" w:cs="Tahoma"/>
          <w:bCs/>
        </w:rPr>
      </w:pPr>
      <w:r w:rsidRPr="00C32AC0">
        <w:rPr>
          <w:rFonts w:ascii="Tahoma" w:hAnsi="Tahoma" w:cs="Tahoma"/>
          <w:bCs/>
        </w:rPr>
        <w:t xml:space="preserve">Accordingly, I now recommend that the Council disposes of its interest in the plot of land measuring 0.0083 hectares (83 square metres) </w:t>
      </w:r>
      <w:r w:rsidRPr="00C32AC0">
        <w:rPr>
          <w:rFonts w:ascii="Tahoma" w:hAnsi="Tahoma" w:cs="Tahoma"/>
          <w:lang w:val="en-IE"/>
        </w:rPr>
        <w:t xml:space="preserve">or thereabouts </w:t>
      </w:r>
      <w:r>
        <w:rPr>
          <w:rFonts w:ascii="Tahoma" w:hAnsi="Tahoma" w:cs="Tahoma"/>
          <w:bCs/>
        </w:rPr>
        <w:t>to the rear of</w:t>
      </w:r>
      <w:r w:rsidRPr="00C32AC0">
        <w:rPr>
          <w:rFonts w:ascii="Tahoma" w:hAnsi="Tahoma" w:cs="Tahoma"/>
          <w:bCs/>
        </w:rPr>
        <w:t xml:space="preserve"> </w:t>
      </w:r>
      <w:r>
        <w:rPr>
          <w:rFonts w:ascii="Tahoma" w:hAnsi="Tahoma" w:cs="Tahoma"/>
          <w:bCs/>
        </w:rPr>
        <w:t xml:space="preserve">14 </w:t>
      </w:r>
      <w:proofErr w:type="spellStart"/>
      <w:r w:rsidRPr="00C32AC0">
        <w:rPr>
          <w:rFonts w:ascii="Tahoma" w:hAnsi="Tahoma" w:cs="Tahoma"/>
          <w:bCs/>
        </w:rPr>
        <w:t>Bawnlea</w:t>
      </w:r>
      <w:proofErr w:type="spellEnd"/>
      <w:r w:rsidRPr="00C32AC0">
        <w:rPr>
          <w:rFonts w:ascii="Tahoma" w:hAnsi="Tahoma" w:cs="Tahoma"/>
          <w:bCs/>
        </w:rPr>
        <w:t xml:space="preserve"> Crescent</w:t>
      </w:r>
      <w:r>
        <w:rPr>
          <w:rFonts w:ascii="Tahoma" w:hAnsi="Tahoma" w:cs="Tahoma"/>
          <w:bCs/>
        </w:rPr>
        <w:t>,</w:t>
      </w:r>
      <w:r w:rsidRPr="00C32AC0">
        <w:rPr>
          <w:rFonts w:ascii="Tahoma" w:hAnsi="Tahoma" w:cs="Tahoma"/>
          <w:bCs/>
        </w:rPr>
        <w:t xml:space="preserve"> </w:t>
      </w:r>
      <w:proofErr w:type="spellStart"/>
      <w:r w:rsidRPr="00C32AC0">
        <w:rPr>
          <w:rFonts w:ascii="Tahoma" w:hAnsi="Tahoma" w:cs="Tahoma"/>
          <w:bCs/>
        </w:rPr>
        <w:t>Jobstown</w:t>
      </w:r>
      <w:proofErr w:type="spellEnd"/>
      <w:r>
        <w:rPr>
          <w:rFonts w:ascii="Tahoma" w:hAnsi="Tahoma" w:cs="Tahoma"/>
          <w:bCs/>
        </w:rPr>
        <w:t>,</w:t>
      </w:r>
      <w:r w:rsidRPr="00C32AC0">
        <w:rPr>
          <w:rFonts w:ascii="Tahoma" w:hAnsi="Tahoma" w:cs="Tahoma"/>
          <w:bCs/>
        </w:rPr>
        <w:t xml:space="preserve"> Tallaght </w:t>
      </w:r>
      <w:r w:rsidRPr="00C32AC0">
        <w:rPr>
          <w:rFonts w:ascii="Tahoma" w:hAnsi="Tahoma" w:cs="Tahoma"/>
          <w:lang w:val="en-IE"/>
        </w:rPr>
        <w:t xml:space="preserve">as outlined in red on the attached Drawing No. LR/16/21 to Eucharia and Michael Daly </w:t>
      </w:r>
      <w:proofErr w:type="spellStart"/>
      <w:r w:rsidRPr="00C32AC0">
        <w:rPr>
          <w:rFonts w:ascii="Tahoma" w:hAnsi="Tahoma" w:cs="Tahoma"/>
          <w:lang w:val="en-IE"/>
        </w:rPr>
        <w:t>i</w:t>
      </w:r>
      <w:r w:rsidRPr="00C32AC0">
        <w:rPr>
          <w:rFonts w:ascii="Tahoma" w:hAnsi="Tahoma" w:cs="Tahoma"/>
          <w:bCs/>
        </w:rPr>
        <w:t>n</w:t>
      </w:r>
      <w:proofErr w:type="spellEnd"/>
      <w:r w:rsidRPr="00C32AC0">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 Valuer:-</w:t>
      </w:r>
    </w:p>
    <w:p w14:paraId="311F2114" w14:textId="77777777" w:rsidR="00FF5709" w:rsidRPr="00C32AC0" w:rsidRDefault="00FF5709" w:rsidP="00FF5709">
      <w:pPr>
        <w:rPr>
          <w:rFonts w:ascii="Tahoma" w:hAnsi="Tahoma" w:cs="Tahoma"/>
          <w:bCs/>
        </w:rPr>
      </w:pPr>
    </w:p>
    <w:p w14:paraId="1244D55C" w14:textId="7C00B06E" w:rsidR="00FF5709" w:rsidRDefault="00FF5709" w:rsidP="0037179F">
      <w:pPr>
        <w:pStyle w:val="ListParagraph"/>
        <w:widowControl w:val="0"/>
        <w:numPr>
          <w:ilvl w:val="0"/>
          <w:numId w:val="12"/>
        </w:numPr>
        <w:tabs>
          <w:tab w:val="left" w:pos="861"/>
        </w:tabs>
        <w:autoSpaceDE w:val="0"/>
        <w:autoSpaceDN w:val="0"/>
        <w:ind w:right="757"/>
        <w:contextualSpacing w:val="0"/>
        <w:rPr>
          <w:rFonts w:ascii="Tahoma" w:hAnsi="Tahoma" w:cs="Tahoma"/>
          <w:sz w:val="24"/>
        </w:rPr>
      </w:pPr>
      <w:r w:rsidRPr="00C32AC0">
        <w:rPr>
          <w:rFonts w:ascii="Tahoma" w:hAnsi="Tahoma" w:cs="Tahoma"/>
          <w:sz w:val="24"/>
        </w:rPr>
        <w:t>That the subject plot comprises an area of 83 sq. metres or thereabouts as shown outlined in red on</w:t>
      </w:r>
      <w:r w:rsidRPr="00C32AC0">
        <w:rPr>
          <w:rFonts w:ascii="Tahoma" w:hAnsi="Tahoma" w:cs="Tahoma"/>
          <w:spacing w:val="1"/>
          <w:sz w:val="24"/>
        </w:rPr>
        <w:t xml:space="preserve"> </w:t>
      </w:r>
      <w:r w:rsidRPr="00C32AC0">
        <w:rPr>
          <w:rFonts w:ascii="Tahoma" w:hAnsi="Tahoma" w:cs="Tahoma"/>
          <w:spacing w:val="-1"/>
          <w:sz w:val="24"/>
        </w:rPr>
        <w:t>the</w:t>
      </w:r>
      <w:r w:rsidRPr="00C32AC0">
        <w:rPr>
          <w:rFonts w:ascii="Tahoma" w:hAnsi="Tahoma" w:cs="Tahoma"/>
          <w:spacing w:val="-9"/>
          <w:sz w:val="24"/>
        </w:rPr>
        <w:t xml:space="preserve"> </w:t>
      </w:r>
      <w:r w:rsidRPr="00C32AC0">
        <w:rPr>
          <w:rFonts w:ascii="Tahoma" w:hAnsi="Tahoma" w:cs="Tahoma"/>
          <w:spacing w:val="-1"/>
          <w:sz w:val="24"/>
        </w:rPr>
        <w:t>attached</w:t>
      </w:r>
      <w:r w:rsidRPr="00C32AC0">
        <w:rPr>
          <w:rFonts w:ascii="Tahoma" w:hAnsi="Tahoma" w:cs="Tahoma"/>
          <w:spacing w:val="-12"/>
          <w:sz w:val="24"/>
        </w:rPr>
        <w:t xml:space="preserve"> </w:t>
      </w:r>
      <w:r w:rsidRPr="00C32AC0">
        <w:rPr>
          <w:rFonts w:ascii="Tahoma" w:hAnsi="Tahoma" w:cs="Tahoma"/>
          <w:sz w:val="24"/>
        </w:rPr>
        <w:t>Drawing</w:t>
      </w:r>
      <w:r w:rsidRPr="00C32AC0">
        <w:rPr>
          <w:rFonts w:ascii="Tahoma" w:hAnsi="Tahoma" w:cs="Tahoma"/>
          <w:spacing w:val="-11"/>
          <w:sz w:val="24"/>
        </w:rPr>
        <w:t xml:space="preserve"> </w:t>
      </w:r>
      <w:r w:rsidRPr="00C32AC0">
        <w:rPr>
          <w:rFonts w:ascii="Tahoma" w:hAnsi="Tahoma" w:cs="Tahoma"/>
          <w:sz w:val="24"/>
        </w:rPr>
        <w:t>No.</w:t>
      </w:r>
      <w:r w:rsidRPr="00C32AC0">
        <w:rPr>
          <w:rFonts w:ascii="Tahoma" w:hAnsi="Tahoma" w:cs="Tahoma"/>
          <w:spacing w:val="-13"/>
          <w:sz w:val="24"/>
        </w:rPr>
        <w:t xml:space="preserve"> </w:t>
      </w:r>
      <w:r w:rsidRPr="00C32AC0">
        <w:rPr>
          <w:rFonts w:ascii="Tahoma" w:hAnsi="Tahoma" w:cs="Tahoma"/>
          <w:sz w:val="24"/>
        </w:rPr>
        <w:t>LR/16/21.</w:t>
      </w:r>
    </w:p>
    <w:p w14:paraId="417D784D" w14:textId="77777777" w:rsidR="0037179F" w:rsidRPr="00C32AC0" w:rsidRDefault="0037179F" w:rsidP="0037179F">
      <w:pPr>
        <w:pStyle w:val="ListParagraph"/>
        <w:widowControl w:val="0"/>
        <w:tabs>
          <w:tab w:val="left" w:pos="861"/>
        </w:tabs>
        <w:autoSpaceDE w:val="0"/>
        <w:autoSpaceDN w:val="0"/>
        <w:ind w:left="782" w:right="757"/>
        <w:contextualSpacing w:val="0"/>
        <w:rPr>
          <w:rFonts w:ascii="Tahoma" w:hAnsi="Tahoma" w:cs="Tahoma"/>
          <w:sz w:val="24"/>
        </w:rPr>
      </w:pPr>
    </w:p>
    <w:p w14:paraId="7657742A" w14:textId="184D9444" w:rsidR="00FF5709" w:rsidRDefault="00FF5709" w:rsidP="0037179F">
      <w:pPr>
        <w:pStyle w:val="ListParagraph"/>
        <w:widowControl w:val="0"/>
        <w:numPr>
          <w:ilvl w:val="0"/>
          <w:numId w:val="12"/>
        </w:numPr>
        <w:tabs>
          <w:tab w:val="left" w:pos="861"/>
        </w:tabs>
        <w:autoSpaceDE w:val="0"/>
        <w:autoSpaceDN w:val="0"/>
        <w:ind w:right="757"/>
        <w:contextualSpacing w:val="0"/>
        <w:rPr>
          <w:rFonts w:ascii="Tahoma" w:hAnsi="Tahoma" w:cs="Tahoma"/>
          <w:sz w:val="24"/>
        </w:rPr>
      </w:pPr>
      <w:r w:rsidRPr="00C32AC0">
        <w:rPr>
          <w:rFonts w:ascii="Tahoma" w:hAnsi="Tahoma" w:cs="Tahoma"/>
          <w:sz w:val="24"/>
        </w:rPr>
        <w:t xml:space="preserve"> That the Council disposes of the subject plot for the consideration of €10,000 (ten </w:t>
      </w:r>
      <w:r w:rsidRPr="00C32AC0">
        <w:rPr>
          <w:rFonts w:ascii="Tahoma" w:hAnsi="Tahoma" w:cs="Tahoma"/>
          <w:spacing w:val="-47"/>
          <w:sz w:val="24"/>
        </w:rPr>
        <w:t xml:space="preserve"> </w:t>
      </w:r>
      <w:r w:rsidRPr="00C32AC0">
        <w:rPr>
          <w:rFonts w:ascii="Tahoma" w:hAnsi="Tahoma" w:cs="Tahoma"/>
          <w:sz w:val="24"/>
        </w:rPr>
        <w:t>thousand</w:t>
      </w:r>
      <w:r w:rsidRPr="00C32AC0">
        <w:rPr>
          <w:rFonts w:ascii="Tahoma" w:hAnsi="Tahoma" w:cs="Tahoma"/>
          <w:spacing w:val="-2"/>
          <w:sz w:val="24"/>
        </w:rPr>
        <w:t xml:space="preserve"> </w:t>
      </w:r>
      <w:r w:rsidRPr="00C32AC0">
        <w:rPr>
          <w:rFonts w:ascii="Tahoma" w:hAnsi="Tahoma" w:cs="Tahoma"/>
          <w:sz w:val="24"/>
        </w:rPr>
        <w:t>euro) plus VAT (if</w:t>
      </w:r>
      <w:r w:rsidRPr="00C32AC0">
        <w:rPr>
          <w:rFonts w:ascii="Tahoma" w:hAnsi="Tahoma" w:cs="Tahoma"/>
          <w:spacing w:val="-3"/>
          <w:sz w:val="24"/>
        </w:rPr>
        <w:t xml:space="preserve"> </w:t>
      </w:r>
      <w:r w:rsidRPr="00C32AC0">
        <w:rPr>
          <w:rFonts w:ascii="Tahoma" w:hAnsi="Tahoma" w:cs="Tahoma"/>
          <w:sz w:val="24"/>
        </w:rPr>
        <w:t>applicable).</w:t>
      </w:r>
    </w:p>
    <w:p w14:paraId="733DAAA6" w14:textId="77777777" w:rsidR="0037179F" w:rsidRPr="0037179F" w:rsidRDefault="0037179F" w:rsidP="0037179F">
      <w:pPr>
        <w:pStyle w:val="ListParagraph"/>
        <w:widowControl w:val="0"/>
        <w:tabs>
          <w:tab w:val="left" w:pos="861"/>
        </w:tabs>
        <w:autoSpaceDE w:val="0"/>
        <w:autoSpaceDN w:val="0"/>
        <w:ind w:left="782" w:right="757"/>
        <w:contextualSpacing w:val="0"/>
        <w:rPr>
          <w:rFonts w:ascii="Tahoma" w:hAnsi="Tahoma" w:cs="Tahoma"/>
          <w:sz w:val="24"/>
        </w:rPr>
      </w:pPr>
    </w:p>
    <w:p w14:paraId="1410602E" w14:textId="77777777" w:rsidR="00FF5709" w:rsidRDefault="00FF5709" w:rsidP="0037179F">
      <w:pPr>
        <w:numPr>
          <w:ilvl w:val="0"/>
          <w:numId w:val="12"/>
        </w:numPr>
        <w:ind w:left="853"/>
        <w:rPr>
          <w:rFonts w:ascii="Tahoma" w:hAnsi="Tahoma" w:cs="Tahoma"/>
        </w:rPr>
      </w:pPr>
      <w:r w:rsidRPr="00C32AC0">
        <w:rPr>
          <w:rFonts w:ascii="Tahoma" w:hAnsi="Tahoma" w:cs="Tahoma"/>
        </w:rPr>
        <w:t>That wayleave over portion of the plot as coloured yellow on Drawing No. LR/16/21 is retained to access foul sewer services that exist thereon. No construction works of any kind are permitted on the wayleave area.</w:t>
      </w:r>
    </w:p>
    <w:p w14:paraId="53466DFF" w14:textId="77777777" w:rsidR="00FF5709" w:rsidRPr="00C32AC0" w:rsidRDefault="00FF5709" w:rsidP="0037179F">
      <w:pPr>
        <w:rPr>
          <w:rFonts w:ascii="Tahoma" w:hAnsi="Tahoma" w:cs="Tahoma"/>
        </w:rPr>
      </w:pPr>
    </w:p>
    <w:p w14:paraId="4FF6ACB2"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the land is disposed of with full freehold title and vacant possession.</w:t>
      </w:r>
      <w:r w:rsidRPr="00C32AC0">
        <w:rPr>
          <w:rFonts w:ascii="Tahoma" w:hAnsi="Tahoma" w:cs="Tahoma"/>
          <w:sz w:val="24"/>
        </w:rPr>
        <w:br/>
      </w:r>
    </w:p>
    <w:p w14:paraId="454C196E"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lastRenderedPageBreak/>
        <w:t>That the Applicant</w:t>
      </w:r>
      <w:r>
        <w:rPr>
          <w:rFonts w:ascii="Tahoma" w:hAnsi="Tahoma" w:cs="Tahoma"/>
          <w:sz w:val="24"/>
        </w:rPr>
        <w:t>s</w:t>
      </w:r>
      <w:r w:rsidRPr="00C32AC0">
        <w:rPr>
          <w:rFonts w:ascii="Tahoma" w:hAnsi="Tahoma" w:cs="Tahoma"/>
          <w:sz w:val="24"/>
        </w:rPr>
        <w:t xml:space="preserve"> hold the freehold or equivalent interest in 14 </w:t>
      </w:r>
      <w:proofErr w:type="spellStart"/>
      <w:r w:rsidRPr="00C32AC0">
        <w:rPr>
          <w:rFonts w:ascii="Tahoma" w:hAnsi="Tahoma" w:cs="Tahoma"/>
          <w:sz w:val="24"/>
        </w:rPr>
        <w:t>Bawnlea</w:t>
      </w:r>
      <w:proofErr w:type="spellEnd"/>
      <w:r w:rsidRPr="00C32AC0">
        <w:rPr>
          <w:rFonts w:ascii="Tahoma" w:hAnsi="Tahoma" w:cs="Tahoma"/>
          <w:sz w:val="24"/>
        </w:rPr>
        <w:t xml:space="preserve"> Crescent.</w:t>
      </w:r>
    </w:p>
    <w:p w14:paraId="137878F7" w14:textId="77777777" w:rsidR="00FF5709" w:rsidRPr="00C32AC0" w:rsidRDefault="00FF5709" w:rsidP="0037179F">
      <w:pPr>
        <w:rPr>
          <w:rFonts w:ascii="Tahoma" w:hAnsi="Tahoma" w:cs="Tahoma"/>
        </w:rPr>
      </w:pPr>
    </w:p>
    <w:p w14:paraId="0FC553B5"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the Applicant</w:t>
      </w:r>
      <w:r>
        <w:rPr>
          <w:rFonts w:ascii="Tahoma" w:hAnsi="Tahoma" w:cs="Tahoma"/>
          <w:sz w:val="24"/>
        </w:rPr>
        <w:t>s</w:t>
      </w:r>
      <w:r w:rsidRPr="00C32AC0">
        <w:rPr>
          <w:rFonts w:ascii="Tahoma" w:hAnsi="Tahoma" w:cs="Tahoma"/>
          <w:sz w:val="24"/>
        </w:rPr>
        <w:t xml:space="preserve"> incorporate the area and any boundary feature constructed shall be in accordance with the Planning &amp; Development and the Building Control legislation. The new boundary wall should be robust concrete block and match that adjacent.</w:t>
      </w:r>
    </w:p>
    <w:p w14:paraId="2028EE2B" w14:textId="77777777" w:rsidR="00FF5709" w:rsidRPr="00C32AC0" w:rsidRDefault="00FF5709" w:rsidP="0037179F">
      <w:pPr>
        <w:rPr>
          <w:rFonts w:ascii="Tahoma" w:hAnsi="Tahoma" w:cs="Tahoma"/>
        </w:rPr>
      </w:pPr>
    </w:p>
    <w:p w14:paraId="5D45AFED" w14:textId="77777777" w:rsidR="00FF5709" w:rsidRPr="00C32AC0" w:rsidRDefault="00FF5709" w:rsidP="0037179F">
      <w:pPr>
        <w:pStyle w:val="ListParagraph"/>
        <w:numPr>
          <w:ilvl w:val="0"/>
          <w:numId w:val="12"/>
        </w:numPr>
        <w:contextualSpacing w:val="0"/>
        <w:rPr>
          <w:rFonts w:ascii="Tahoma" w:hAnsi="Tahoma" w:cs="Tahoma"/>
          <w:iCs/>
          <w:sz w:val="24"/>
        </w:rPr>
      </w:pPr>
      <w:r w:rsidRPr="00C32AC0">
        <w:rPr>
          <w:rFonts w:ascii="Tahoma" w:hAnsi="Tahoma" w:cs="Tahoma"/>
          <w:sz w:val="24"/>
        </w:rPr>
        <w:t>That due care and diligence is taken to ensure that there is no damage to Public Lighting services which run contiguous to the proposed disposal site. The Applicant</w:t>
      </w:r>
      <w:r>
        <w:rPr>
          <w:rFonts w:ascii="Tahoma" w:hAnsi="Tahoma" w:cs="Tahoma"/>
          <w:sz w:val="24"/>
        </w:rPr>
        <w:t>s</w:t>
      </w:r>
      <w:r w:rsidRPr="00C32AC0">
        <w:rPr>
          <w:rFonts w:ascii="Tahoma" w:hAnsi="Tahoma" w:cs="Tahoma"/>
          <w:sz w:val="24"/>
        </w:rPr>
        <w:t xml:space="preserve"> will be responsible for payment of the Council’s full costs to rectify any damage caused.</w:t>
      </w:r>
      <w:r w:rsidRPr="00C32AC0">
        <w:rPr>
          <w:rFonts w:ascii="Tahoma" w:hAnsi="Tahoma" w:cs="Tahoma"/>
          <w:spacing w:val="1"/>
          <w:sz w:val="24"/>
        </w:rPr>
        <w:t xml:space="preserve"> </w:t>
      </w:r>
      <w:r w:rsidRPr="00C32AC0">
        <w:rPr>
          <w:rFonts w:ascii="Tahoma" w:hAnsi="Tahoma" w:cs="Tahoma"/>
          <w:iCs/>
          <w:sz w:val="24"/>
        </w:rPr>
        <w:t>(The Council’s Electrical Inspector is available to meet on site</w:t>
      </w:r>
      <w:r w:rsidRPr="00C32AC0">
        <w:rPr>
          <w:rFonts w:ascii="Tahoma" w:hAnsi="Tahoma" w:cs="Tahoma"/>
          <w:iCs/>
          <w:spacing w:val="-47"/>
          <w:sz w:val="24"/>
        </w:rPr>
        <w:t xml:space="preserve">   </w:t>
      </w:r>
      <w:r w:rsidRPr="00C32AC0">
        <w:rPr>
          <w:rFonts w:ascii="Tahoma" w:hAnsi="Tahoma" w:cs="Tahoma"/>
          <w:iCs/>
          <w:sz w:val="24"/>
        </w:rPr>
        <w:t>to</w:t>
      </w:r>
      <w:r w:rsidRPr="00C32AC0">
        <w:rPr>
          <w:rFonts w:ascii="Tahoma" w:hAnsi="Tahoma" w:cs="Tahoma"/>
          <w:iCs/>
          <w:spacing w:val="-1"/>
          <w:sz w:val="24"/>
        </w:rPr>
        <w:t xml:space="preserve"> </w:t>
      </w:r>
      <w:r w:rsidRPr="00C32AC0">
        <w:rPr>
          <w:rFonts w:ascii="Tahoma" w:hAnsi="Tahoma" w:cs="Tahoma"/>
          <w:iCs/>
          <w:sz w:val="24"/>
        </w:rPr>
        <w:t>advise and</w:t>
      </w:r>
      <w:r w:rsidRPr="00C32AC0">
        <w:rPr>
          <w:rFonts w:ascii="Tahoma" w:hAnsi="Tahoma" w:cs="Tahoma"/>
          <w:iCs/>
          <w:spacing w:val="-1"/>
          <w:sz w:val="24"/>
        </w:rPr>
        <w:t xml:space="preserve"> </w:t>
      </w:r>
      <w:r w:rsidRPr="00C32AC0">
        <w:rPr>
          <w:rFonts w:ascii="Tahoma" w:hAnsi="Tahoma" w:cs="Tahoma"/>
          <w:iCs/>
          <w:sz w:val="24"/>
        </w:rPr>
        <w:t>indicate</w:t>
      </w:r>
      <w:r w:rsidRPr="00C32AC0">
        <w:rPr>
          <w:rFonts w:ascii="Tahoma" w:hAnsi="Tahoma" w:cs="Tahoma"/>
          <w:iCs/>
          <w:spacing w:val="-3"/>
          <w:sz w:val="24"/>
        </w:rPr>
        <w:t xml:space="preserve"> to Applicant</w:t>
      </w:r>
      <w:r>
        <w:rPr>
          <w:rFonts w:ascii="Tahoma" w:hAnsi="Tahoma" w:cs="Tahoma"/>
          <w:iCs/>
          <w:spacing w:val="-3"/>
          <w:sz w:val="24"/>
        </w:rPr>
        <w:t>s</w:t>
      </w:r>
      <w:r w:rsidRPr="00C32AC0">
        <w:rPr>
          <w:rFonts w:ascii="Tahoma" w:hAnsi="Tahoma" w:cs="Tahoma"/>
          <w:iCs/>
          <w:spacing w:val="-3"/>
          <w:sz w:val="24"/>
        </w:rPr>
        <w:t xml:space="preserve"> </w:t>
      </w:r>
      <w:r w:rsidRPr="00C32AC0">
        <w:rPr>
          <w:rFonts w:ascii="Tahoma" w:hAnsi="Tahoma" w:cs="Tahoma"/>
          <w:iCs/>
          <w:sz w:val="24"/>
        </w:rPr>
        <w:t>where potential</w:t>
      </w:r>
      <w:r w:rsidRPr="00C32AC0">
        <w:rPr>
          <w:rFonts w:ascii="Tahoma" w:hAnsi="Tahoma" w:cs="Tahoma"/>
          <w:iCs/>
          <w:spacing w:val="-1"/>
          <w:sz w:val="24"/>
        </w:rPr>
        <w:t xml:space="preserve"> </w:t>
      </w:r>
      <w:r w:rsidRPr="00C32AC0">
        <w:rPr>
          <w:rFonts w:ascii="Tahoma" w:hAnsi="Tahoma" w:cs="Tahoma"/>
          <w:iCs/>
          <w:sz w:val="24"/>
        </w:rPr>
        <w:t>dangers exist).</w:t>
      </w:r>
    </w:p>
    <w:p w14:paraId="6A1AC61B" w14:textId="77777777" w:rsidR="00FF5709" w:rsidRPr="00C32AC0" w:rsidRDefault="00FF5709" w:rsidP="0037179F">
      <w:pPr>
        <w:pStyle w:val="ListParagraph"/>
        <w:rPr>
          <w:rFonts w:ascii="Tahoma" w:hAnsi="Tahoma" w:cs="Tahoma"/>
          <w:sz w:val="24"/>
        </w:rPr>
      </w:pPr>
    </w:p>
    <w:p w14:paraId="202EE376" w14:textId="77777777" w:rsidR="00FF5709" w:rsidRPr="00C32AC0" w:rsidRDefault="00FF5709" w:rsidP="0037179F">
      <w:pPr>
        <w:pStyle w:val="ListParagraph"/>
        <w:widowControl w:val="0"/>
        <w:numPr>
          <w:ilvl w:val="0"/>
          <w:numId w:val="12"/>
        </w:numPr>
        <w:tabs>
          <w:tab w:val="left" w:pos="861"/>
        </w:tabs>
        <w:autoSpaceDE w:val="0"/>
        <w:autoSpaceDN w:val="0"/>
        <w:ind w:left="860" w:right="135" w:hanging="360"/>
        <w:contextualSpacing w:val="0"/>
        <w:rPr>
          <w:rFonts w:ascii="Tahoma" w:hAnsi="Tahoma" w:cs="Tahoma"/>
          <w:sz w:val="24"/>
        </w:rPr>
      </w:pPr>
      <w:r w:rsidRPr="00C32AC0">
        <w:rPr>
          <w:rFonts w:ascii="Tahoma" w:hAnsi="Tahoma" w:cs="Tahoma"/>
          <w:sz w:val="24"/>
        </w:rPr>
        <w:t>That</w:t>
      </w:r>
      <w:r w:rsidRPr="00C32AC0">
        <w:rPr>
          <w:rFonts w:ascii="Tahoma" w:hAnsi="Tahoma" w:cs="Tahoma"/>
          <w:spacing w:val="7"/>
          <w:sz w:val="24"/>
        </w:rPr>
        <w:t xml:space="preserve"> </w:t>
      </w:r>
      <w:r w:rsidRPr="00C32AC0">
        <w:rPr>
          <w:rFonts w:ascii="Tahoma" w:hAnsi="Tahoma" w:cs="Tahoma"/>
          <w:sz w:val="24"/>
        </w:rPr>
        <w:t>the</w:t>
      </w:r>
      <w:r w:rsidRPr="00C32AC0">
        <w:rPr>
          <w:rFonts w:ascii="Tahoma" w:hAnsi="Tahoma" w:cs="Tahoma"/>
          <w:spacing w:val="9"/>
          <w:sz w:val="24"/>
        </w:rPr>
        <w:t xml:space="preserve"> </w:t>
      </w:r>
      <w:r w:rsidRPr="00C32AC0">
        <w:rPr>
          <w:rFonts w:ascii="Tahoma" w:hAnsi="Tahoma" w:cs="Tahoma"/>
          <w:sz w:val="24"/>
        </w:rPr>
        <w:t>Applicant</w:t>
      </w:r>
      <w:r>
        <w:rPr>
          <w:rFonts w:ascii="Tahoma" w:hAnsi="Tahoma" w:cs="Tahoma"/>
          <w:sz w:val="24"/>
        </w:rPr>
        <w:t>s</w:t>
      </w:r>
      <w:r w:rsidRPr="00C32AC0">
        <w:rPr>
          <w:rFonts w:ascii="Tahoma" w:hAnsi="Tahoma" w:cs="Tahoma"/>
          <w:spacing w:val="7"/>
          <w:sz w:val="24"/>
        </w:rPr>
        <w:t xml:space="preserve"> </w:t>
      </w:r>
      <w:r>
        <w:rPr>
          <w:rFonts w:ascii="Tahoma" w:hAnsi="Tahoma" w:cs="Tahoma"/>
          <w:sz w:val="24"/>
        </w:rPr>
        <w:t>are</w:t>
      </w:r>
      <w:r w:rsidRPr="00C32AC0">
        <w:rPr>
          <w:rFonts w:ascii="Tahoma" w:hAnsi="Tahoma" w:cs="Tahoma"/>
          <w:spacing w:val="9"/>
          <w:sz w:val="24"/>
        </w:rPr>
        <w:t xml:space="preserve"> </w:t>
      </w:r>
      <w:r w:rsidRPr="00C32AC0">
        <w:rPr>
          <w:rFonts w:ascii="Tahoma" w:hAnsi="Tahoma" w:cs="Tahoma"/>
          <w:sz w:val="24"/>
        </w:rPr>
        <w:t>responsible</w:t>
      </w:r>
      <w:r w:rsidRPr="00C32AC0">
        <w:rPr>
          <w:rFonts w:ascii="Tahoma" w:hAnsi="Tahoma" w:cs="Tahoma"/>
          <w:spacing w:val="9"/>
          <w:sz w:val="24"/>
        </w:rPr>
        <w:t xml:space="preserve"> </w:t>
      </w:r>
      <w:r w:rsidRPr="00C32AC0">
        <w:rPr>
          <w:rFonts w:ascii="Tahoma" w:hAnsi="Tahoma" w:cs="Tahoma"/>
          <w:sz w:val="24"/>
        </w:rPr>
        <w:t>for</w:t>
      </w:r>
      <w:r w:rsidRPr="00C32AC0">
        <w:rPr>
          <w:rFonts w:ascii="Tahoma" w:hAnsi="Tahoma" w:cs="Tahoma"/>
          <w:spacing w:val="5"/>
          <w:sz w:val="24"/>
        </w:rPr>
        <w:t xml:space="preserve"> </w:t>
      </w:r>
      <w:r w:rsidRPr="00C32AC0">
        <w:rPr>
          <w:rFonts w:ascii="Tahoma" w:hAnsi="Tahoma" w:cs="Tahoma"/>
          <w:sz w:val="24"/>
        </w:rPr>
        <w:t>any</w:t>
      </w:r>
      <w:r w:rsidRPr="00C32AC0">
        <w:rPr>
          <w:rFonts w:ascii="Tahoma" w:hAnsi="Tahoma" w:cs="Tahoma"/>
          <w:spacing w:val="7"/>
          <w:sz w:val="24"/>
        </w:rPr>
        <w:t xml:space="preserve"> </w:t>
      </w:r>
      <w:r w:rsidRPr="00C32AC0">
        <w:rPr>
          <w:rFonts w:ascii="Tahoma" w:hAnsi="Tahoma" w:cs="Tahoma"/>
          <w:sz w:val="24"/>
        </w:rPr>
        <w:t>VAT</w:t>
      </w:r>
      <w:r w:rsidRPr="00C32AC0">
        <w:rPr>
          <w:rFonts w:ascii="Tahoma" w:hAnsi="Tahoma" w:cs="Tahoma"/>
          <w:spacing w:val="6"/>
          <w:sz w:val="24"/>
        </w:rPr>
        <w:t xml:space="preserve"> </w:t>
      </w:r>
      <w:r w:rsidRPr="00C32AC0">
        <w:rPr>
          <w:rFonts w:ascii="Tahoma" w:hAnsi="Tahoma" w:cs="Tahoma"/>
          <w:sz w:val="24"/>
        </w:rPr>
        <w:t>and</w:t>
      </w:r>
      <w:r w:rsidRPr="00C32AC0">
        <w:rPr>
          <w:rFonts w:ascii="Tahoma" w:hAnsi="Tahoma" w:cs="Tahoma"/>
          <w:spacing w:val="8"/>
          <w:sz w:val="24"/>
        </w:rPr>
        <w:t xml:space="preserve"> </w:t>
      </w:r>
      <w:r w:rsidRPr="00C32AC0">
        <w:rPr>
          <w:rFonts w:ascii="Tahoma" w:hAnsi="Tahoma" w:cs="Tahoma"/>
          <w:sz w:val="24"/>
        </w:rPr>
        <w:t>stamp</w:t>
      </w:r>
      <w:r w:rsidRPr="00C32AC0">
        <w:rPr>
          <w:rFonts w:ascii="Tahoma" w:hAnsi="Tahoma" w:cs="Tahoma"/>
          <w:spacing w:val="7"/>
          <w:sz w:val="24"/>
        </w:rPr>
        <w:t xml:space="preserve"> </w:t>
      </w:r>
      <w:r w:rsidRPr="00C32AC0">
        <w:rPr>
          <w:rFonts w:ascii="Tahoma" w:hAnsi="Tahoma" w:cs="Tahoma"/>
          <w:sz w:val="24"/>
        </w:rPr>
        <w:t>duty</w:t>
      </w:r>
      <w:r w:rsidRPr="00C32AC0">
        <w:rPr>
          <w:rFonts w:ascii="Tahoma" w:hAnsi="Tahoma" w:cs="Tahoma"/>
          <w:spacing w:val="8"/>
          <w:sz w:val="24"/>
        </w:rPr>
        <w:t xml:space="preserve"> </w:t>
      </w:r>
      <w:r w:rsidRPr="00C32AC0">
        <w:rPr>
          <w:rFonts w:ascii="Tahoma" w:hAnsi="Tahoma" w:cs="Tahoma"/>
          <w:sz w:val="24"/>
        </w:rPr>
        <w:t>liability</w:t>
      </w:r>
      <w:r w:rsidRPr="00C32AC0">
        <w:rPr>
          <w:rFonts w:ascii="Tahoma" w:hAnsi="Tahoma" w:cs="Tahoma"/>
          <w:spacing w:val="7"/>
          <w:sz w:val="24"/>
        </w:rPr>
        <w:t xml:space="preserve"> </w:t>
      </w:r>
      <w:r w:rsidRPr="00C32AC0">
        <w:rPr>
          <w:rFonts w:ascii="Tahoma" w:hAnsi="Tahoma" w:cs="Tahoma"/>
          <w:sz w:val="24"/>
        </w:rPr>
        <w:t>associated</w:t>
      </w:r>
      <w:r w:rsidRPr="00C32AC0">
        <w:rPr>
          <w:rFonts w:ascii="Tahoma" w:hAnsi="Tahoma" w:cs="Tahoma"/>
          <w:spacing w:val="6"/>
          <w:sz w:val="24"/>
        </w:rPr>
        <w:t xml:space="preserve"> </w:t>
      </w:r>
      <w:r w:rsidRPr="00C32AC0">
        <w:rPr>
          <w:rFonts w:ascii="Tahoma" w:hAnsi="Tahoma" w:cs="Tahoma"/>
          <w:sz w:val="24"/>
        </w:rPr>
        <w:t>with</w:t>
      </w:r>
      <w:r w:rsidRPr="00C32AC0">
        <w:rPr>
          <w:rFonts w:ascii="Tahoma" w:hAnsi="Tahoma" w:cs="Tahoma"/>
          <w:spacing w:val="-47"/>
          <w:sz w:val="24"/>
        </w:rPr>
        <w:t xml:space="preserve"> </w:t>
      </w:r>
      <w:r w:rsidRPr="00C32AC0">
        <w:rPr>
          <w:rFonts w:ascii="Tahoma" w:hAnsi="Tahoma" w:cs="Tahoma"/>
          <w:sz w:val="24"/>
        </w:rPr>
        <w:t>this</w:t>
      </w:r>
      <w:r w:rsidRPr="00C32AC0">
        <w:rPr>
          <w:rFonts w:ascii="Tahoma" w:hAnsi="Tahoma" w:cs="Tahoma"/>
          <w:spacing w:val="-1"/>
          <w:sz w:val="24"/>
        </w:rPr>
        <w:t xml:space="preserve"> </w:t>
      </w:r>
      <w:r w:rsidRPr="00C32AC0">
        <w:rPr>
          <w:rFonts w:ascii="Tahoma" w:hAnsi="Tahoma" w:cs="Tahoma"/>
          <w:sz w:val="24"/>
        </w:rPr>
        <w:t>disposal.</w:t>
      </w:r>
    </w:p>
    <w:p w14:paraId="41D8DDB0" w14:textId="77777777" w:rsidR="00FF5709" w:rsidRPr="00C32AC0" w:rsidRDefault="00FF5709" w:rsidP="0037179F">
      <w:pPr>
        <w:pStyle w:val="ListParagraph"/>
        <w:rPr>
          <w:rFonts w:ascii="Tahoma" w:hAnsi="Tahoma" w:cs="Tahoma"/>
          <w:sz w:val="24"/>
        </w:rPr>
      </w:pPr>
    </w:p>
    <w:p w14:paraId="37BD8F24" w14:textId="77777777" w:rsidR="00FF5709" w:rsidRPr="00C32AC0" w:rsidRDefault="00FF5709" w:rsidP="0037179F">
      <w:pPr>
        <w:pStyle w:val="ListParagraph"/>
        <w:widowControl w:val="0"/>
        <w:numPr>
          <w:ilvl w:val="0"/>
          <w:numId w:val="12"/>
        </w:numPr>
        <w:tabs>
          <w:tab w:val="left" w:pos="861"/>
        </w:tabs>
        <w:autoSpaceDE w:val="0"/>
        <w:autoSpaceDN w:val="0"/>
        <w:ind w:left="860" w:right="135" w:hanging="360"/>
        <w:contextualSpacing w:val="0"/>
        <w:rPr>
          <w:rFonts w:ascii="Tahoma" w:hAnsi="Tahoma" w:cs="Tahoma"/>
          <w:sz w:val="24"/>
        </w:rPr>
      </w:pPr>
      <w:r w:rsidRPr="00C32AC0">
        <w:rPr>
          <w:rFonts w:ascii="Tahoma" w:hAnsi="Tahoma" w:cs="Tahoma"/>
          <w:sz w:val="24"/>
        </w:rPr>
        <w:t>That the Applicant</w:t>
      </w:r>
      <w:r>
        <w:rPr>
          <w:rFonts w:ascii="Tahoma" w:hAnsi="Tahoma" w:cs="Tahoma"/>
          <w:sz w:val="24"/>
        </w:rPr>
        <w:t>s</w:t>
      </w:r>
      <w:r w:rsidRPr="00C32AC0">
        <w:rPr>
          <w:rFonts w:ascii="Tahoma" w:hAnsi="Tahoma" w:cs="Tahoma"/>
          <w:sz w:val="24"/>
        </w:rPr>
        <w:t xml:space="preserve"> pay the Council Valuer fee of €800 (eight hundred euro) plus VAT.</w:t>
      </w:r>
      <w:r w:rsidRPr="00C32AC0">
        <w:rPr>
          <w:rFonts w:ascii="Tahoma" w:hAnsi="Tahoma" w:cs="Tahoma"/>
          <w:sz w:val="24"/>
        </w:rPr>
        <w:br/>
      </w:r>
    </w:p>
    <w:p w14:paraId="7E29289F"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the Applicant</w:t>
      </w:r>
      <w:r>
        <w:rPr>
          <w:rFonts w:ascii="Tahoma" w:hAnsi="Tahoma" w:cs="Tahoma"/>
          <w:sz w:val="24"/>
        </w:rPr>
        <w:t>s have agreed to</w:t>
      </w:r>
      <w:r w:rsidRPr="00C32AC0">
        <w:rPr>
          <w:rFonts w:ascii="Tahoma" w:hAnsi="Tahoma" w:cs="Tahoma"/>
          <w:sz w:val="24"/>
        </w:rPr>
        <w:t xml:space="preserve"> pay</w:t>
      </w:r>
      <w:r>
        <w:rPr>
          <w:rFonts w:ascii="Tahoma" w:hAnsi="Tahoma" w:cs="Tahoma"/>
          <w:sz w:val="24"/>
        </w:rPr>
        <w:t xml:space="preserve"> a contribution of €1,500 (one thousand five hundred euro) towards</w:t>
      </w:r>
      <w:r w:rsidRPr="00C32AC0">
        <w:rPr>
          <w:rFonts w:ascii="Tahoma" w:hAnsi="Tahoma" w:cs="Tahoma"/>
          <w:sz w:val="24"/>
        </w:rPr>
        <w:t xml:space="preserve"> the Council’s legal fee</w:t>
      </w:r>
      <w:r>
        <w:rPr>
          <w:rFonts w:ascii="Tahoma" w:hAnsi="Tahoma" w:cs="Tahoma"/>
          <w:sz w:val="24"/>
        </w:rPr>
        <w:t>s and outlays</w:t>
      </w:r>
      <w:r w:rsidRPr="00C32AC0">
        <w:rPr>
          <w:rFonts w:ascii="Tahoma" w:hAnsi="Tahoma" w:cs="Tahoma"/>
          <w:sz w:val="24"/>
        </w:rPr>
        <w:t>.</w:t>
      </w:r>
      <w:r w:rsidRPr="00C32AC0">
        <w:rPr>
          <w:rFonts w:ascii="Tahoma" w:hAnsi="Tahoma" w:cs="Tahoma"/>
          <w:sz w:val="24"/>
        </w:rPr>
        <w:br/>
      </w:r>
    </w:p>
    <w:p w14:paraId="0C086615"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the Applicant</w:t>
      </w:r>
      <w:r>
        <w:rPr>
          <w:rFonts w:ascii="Tahoma" w:hAnsi="Tahoma" w:cs="Tahoma"/>
          <w:sz w:val="24"/>
        </w:rPr>
        <w:t>s</w:t>
      </w:r>
      <w:r w:rsidRPr="00C32AC0">
        <w:rPr>
          <w:rFonts w:ascii="Tahoma" w:hAnsi="Tahoma" w:cs="Tahoma"/>
          <w:sz w:val="24"/>
        </w:rPr>
        <w:t xml:space="preserve"> </w:t>
      </w:r>
      <w:r>
        <w:rPr>
          <w:rFonts w:ascii="Tahoma" w:hAnsi="Tahoma" w:cs="Tahoma"/>
          <w:sz w:val="24"/>
        </w:rPr>
        <w:t>are</w:t>
      </w:r>
      <w:r w:rsidRPr="00C32AC0">
        <w:rPr>
          <w:rFonts w:ascii="Tahoma" w:hAnsi="Tahoma" w:cs="Tahoma"/>
          <w:sz w:val="24"/>
        </w:rPr>
        <w:t xml:space="preserve"> responsible for any VAT and stamp duty liability associated with the disposal.</w:t>
      </w:r>
      <w:r w:rsidRPr="00C32AC0">
        <w:rPr>
          <w:rFonts w:ascii="Tahoma" w:hAnsi="Tahoma" w:cs="Tahoma"/>
          <w:sz w:val="24"/>
        </w:rPr>
        <w:br/>
      </w:r>
    </w:p>
    <w:p w14:paraId="3940F318" w14:textId="77777777" w:rsidR="00FF5709" w:rsidRPr="00C32AC0" w:rsidRDefault="00FF5709" w:rsidP="0037179F">
      <w:pPr>
        <w:pStyle w:val="ListParagraph"/>
        <w:numPr>
          <w:ilvl w:val="0"/>
          <w:numId w:val="12"/>
        </w:numPr>
        <w:contextualSpacing w:val="0"/>
        <w:rPr>
          <w:rFonts w:ascii="Tahoma" w:hAnsi="Tahoma" w:cs="Tahoma"/>
          <w:bCs/>
          <w:iCs/>
          <w:sz w:val="24"/>
        </w:rPr>
      </w:pPr>
      <w:r w:rsidRPr="00C32AC0">
        <w:rPr>
          <w:rFonts w:ascii="Tahoma" w:hAnsi="Tahoma" w:cs="Tahoma"/>
          <w:bCs/>
          <w:iCs/>
          <w:sz w:val="24"/>
        </w:rPr>
        <w:t>That</w:t>
      </w:r>
      <w:r w:rsidRPr="00C32AC0">
        <w:rPr>
          <w:rFonts w:ascii="Tahoma" w:hAnsi="Tahoma" w:cs="Tahoma"/>
          <w:bCs/>
          <w:iCs/>
          <w:color w:val="FF0000"/>
          <w:sz w:val="24"/>
        </w:rPr>
        <w:t xml:space="preserve"> </w:t>
      </w:r>
      <w:r w:rsidRPr="00C32AC0">
        <w:rPr>
          <w:rFonts w:ascii="Tahoma" w:hAnsi="Tahoma" w:cs="Tahoma"/>
          <w:bCs/>
          <w:iCs/>
          <w:sz w:val="24"/>
        </w:rPr>
        <w:t>in the event of any name change to Applicant</w:t>
      </w:r>
      <w:r>
        <w:rPr>
          <w:rFonts w:ascii="Tahoma" w:hAnsi="Tahoma" w:cs="Tahoma"/>
          <w:bCs/>
          <w:iCs/>
          <w:sz w:val="24"/>
        </w:rPr>
        <w:t>s</w:t>
      </w:r>
      <w:r w:rsidRPr="00C32AC0">
        <w:rPr>
          <w:rFonts w:ascii="Tahoma" w:hAnsi="Tahoma" w:cs="Tahoma"/>
          <w:bCs/>
          <w:iCs/>
          <w:sz w:val="24"/>
        </w:rPr>
        <w:t xml:space="preserve"> prior to formal</w:t>
      </w:r>
      <w:r w:rsidRPr="00C32AC0">
        <w:rPr>
          <w:rFonts w:ascii="Tahoma" w:hAnsi="Tahoma" w:cs="Tahoma"/>
          <w:bCs/>
          <w:iCs/>
          <w:color w:val="FF0000"/>
          <w:sz w:val="24"/>
        </w:rPr>
        <w:t xml:space="preserve"> </w:t>
      </w:r>
      <w:r w:rsidRPr="00C32AC0">
        <w:rPr>
          <w:rFonts w:ascii="Tahoma" w:hAnsi="Tahoma" w:cs="Tahoma"/>
          <w:bCs/>
          <w:iCs/>
          <w:sz w:val="24"/>
        </w:rPr>
        <w:t>completion of the legal transfer, the Applicant</w:t>
      </w:r>
      <w:r>
        <w:rPr>
          <w:rFonts w:ascii="Tahoma" w:hAnsi="Tahoma" w:cs="Tahoma"/>
          <w:bCs/>
          <w:iCs/>
          <w:sz w:val="24"/>
        </w:rPr>
        <w:t>s</w:t>
      </w:r>
      <w:r w:rsidRPr="00C32AC0">
        <w:rPr>
          <w:rFonts w:ascii="Tahoma" w:hAnsi="Tahoma" w:cs="Tahoma"/>
          <w:bCs/>
          <w:iCs/>
          <w:sz w:val="24"/>
        </w:rPr>
        <w:t xml:space="preserve"> must</w:t>
      </w:r>
      <w:r w:rsidRPr="00C32AC0">
        <w:rPr>
          <w:rFonts w:ascii="Tahoma" w:hAnsi="Tahoma" w:cs="Tahoma"/>
          <w:bCs/>
          <w:iCs/>
          <w:color w:val="FF0000"/>
          <w:sz w:val="24"/>
        </w:rPr>
        <w:t xml:space="preserve"> </w:t>
      </w:r>
      <w:r w:rsidRPr="00C32AC0">
        <w:rPr>
          <w:rFonts w:ascii="Tahoma" w:hAnsi="Tahoma" w:cs="Tahoma"/>
          <w:bCs/>
          <w:iCs/>
          <w:sz w:val="24"/>
        </w:rPr>
        <w:t>provide documentary evidence to the Council proving that the new named party is one and the same as the named Applicant</w:t>
      </w:r>
      <w:r>
        <w:rPr>
          <w:rFonts w:ascii="Tahoma" w:hAnsi="Tahoma" w:cs="Tahoma"/>
          <w:bCs/>
          <w:iCs/>
          <w:sz w:val="24"/>
        </w:rPr>
        <w:t>s</w:t>
      </w:r>
      <w:r w:rsidRPr="00C32AC0">
        <w:rPr>
          <w:rFonts w:ascii="Tahoma" w:hAnsi="Tahoma" w:cs="Tahoma"/>
          <w:bCs/>
          <w:iCs/>
          <w:sz w:val="24"/>
        </w:rPr>
        <w:t xml:space="preserve"> heretofore to enable the transfer to complete.</w:t>
      </w:r>
    </w:p>
    <w:p w14:paraId="0BBAB3CB" w14:textId="77777777" w:rsidR="00FF5709" w:rsidRPr="00C32AC0" w:rsidRDefault="00FF5709" w:rsidP="0037179F">
      <w:pPr>
        <w:pStyle w:val="ListParagraph"/>
        <w:rPr>
          <w:rFonts w:ascii="Tahoma" w:hAnsi="Tahoma" w:cs="Tahoma"/>
          <w:bCs/>
          <w:iCs/>
          <w:sz w:val="24"/>
        </w:rPr>
      </w:pPr>
    </w:p>
    <w:p w14:paraId="14901E95"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each party shall use their best endeavours to complete the transaction within a reasonable timeframe following adoption of the disposal resolution.</w:t>
      </w:r>
    </w:p>
    <w:p w14:paraId="77F1F791" w14:textId="77777777" w:rsidR="00FF5709" w:rsidRPr="00C32AC0" w:rsidRDefault="00FF5709" w:rsidP="0037179F">
      <w:pPr>
        <w:pStyle w:val="ListParagraph"/>
        <w:rPr>
          <w:rFonts w:ascii="Tahoma" w:hAnsi="Tahoma" w:cs="Tahoma"/>
          <w:sz w:val="24"/>
        </w:rPr>
      </w:pPr>
    </w:p>
    <w:p w14:paraId="18B373C8"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the Law Agent shall draft the necessary legal agreements and shall include any further terms deemed appropriate in Agreements of this nature.</w:t>
      </w:r>
    </w:p>
    <w:p w14:paraId="376D8E1B" w14:textId="77777777" w:rsidR="00FF5709" w:rsidRPr="00C32AC0" w:rsidRDefault="00FF5709" w:rsidP="0037179F">
      <w:pPr>
        <w:pStyle w:val="ListParagraph"/>
        <w:rPr>
          <w:rFonts w:ascii="Tahoma" w:hAnsi="Tahoma" w:cs="Tahoma"/>
          <w:sz w:val="24"/>
        </w:rPr>
      </w:pPr>
    </w:p>
    <w:p w14:paraId="00F18278"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no contract enforceable at Law is created or intended to be created until such time as contracts have been exchanged.</w:t>
      </w:r>
    </w:p>
    <w:p w14:paraId="4C26F535" w14:textId="77777777" w:rsidR="00FF5709" w:rsidRPr="00C32AC0" w:rsidRDefault="00FF5709" w:rsidP="0037179F">
      <w:pPr>
        <w:pStyle w:val="ListParagraph"/>
        <w:rPr>
          <w:rFonts w:ascii="Tahoma" w:hAnsi="Tahoma" w:cs="Tahoma"/>
          <w:sz w:val="24"/>
        </w:rPr>
      </w:pPr>
    </w:p>
    <w:p w14:paraId="0D99D444" w14:textId="77777777" w:rsidR="00FF5709" w:rsidRPr="00C32AC0" w:rsidRDefault="00FF5709" w:rsidP="0037179F">
      <w:pPr>
        <w:pStyle w:val="ListParagraph"/>
        <w:numPr>
          <w:ilvl w:val="0"/>
          <w:numId w:val="12"/>
        </w:numPr>
        <w:contextualSpacing w:val="0"/>
        <w:rPr>
          <w:rFonts w:ascii="Tahoma" w:hAnsi="Tahoma" w:cs="Tahoma"/>
          <w:sz w:val="24"/>
        </w:rPr>
      </w:pPr>
      <w:r w:rsidRPr="00C32AC0">
        <w:rPr>
          <w:rFonts w:ascii="Tahoma" w:hAnsi="Tahoma" w:cs="Tahoma"/>
          <w:sz w:val="24"/>
        </w:rPr>
        <w:t>That the disposal is subject to the necessary approvals and consents being obtained.</w:t>
      </w:r>
    </w:p>
    <w:p w14:paraId="397BE8E3" w14:textId="77777777" w:rsidR="00FF5709" w:rsidRDefault="00FF5709" w:rsidP="00FF5709">
      <w:pPr>
        <w:rPr>
          <w:rFonts w:ascii="Tahoma" w:hAnsi="Tahoma" w:cs="Tahoma"/>
          <w:b/>
          <w:szCs w:val="24"/>
        </w:rPr>
      </w:pPr>
    </w:p>
    <w:p w14:paraId="2214ED7F" w14:textId="77777777" w:rsidR="00FF5709" w:rsidRDefault="00FF5709" w:rsidP="00FF5709">
      <w:pPr>
        <w:rPr>
          <w:rFonts w:ascii="Tahoma" w:hAnsi="Tahoma" w:cs="Tahoma"/>
          <w:b/>
          <w:szCs w:val="24"/>
        </w:rPr>
      </w:pPr>
    </w:p>
    <w:p w14:paraId="71919B9C" w14:textId="61A21538" w:rsidR="00B42311" w:rsidRPr="00FF5709" w:rsidRDefault="00C15FAF" w:rsidP="00FF5709">
      <w:pPr>
        <w:rPr>
          <w:rFonts w:ascii="Tahoma" w:hAnsi="Tahoma" w:cs="Tahoma"/>
          <w:b/>
          <w:szCs w:val="24"/>
        </w:rPr>
      </w:pPr>
      <w:r w:rsidRPr="00B524FC">
        <w:rPr>
          <w:rFonts w:ascii="Arial" w:hAnsi="Arial"/>
        </w:rPr>
        <w:tab/>
      </w:r>
      <w:r w:rsidRPr="00B524FC">
        <w:rPr>
          <w:rFonts w:ascii="Arial" w:hAnsi="Arial"/>
        </w:rPr>
        <w:tab/>
      </w:r>
      <w:r w:rsidRPr="00B524FC">
        <w:rPr>
          <w:rFonts w:ascii="Arial" w:hAnsi="Arial"/>
        </w:rPr>
        <w:tab/>
      </w:r>
      <w:r w:rsidRPr="00B524FC">
        <w:rPr>
          <w:rFonts w:ascii="Arial" w:hAnsi="Arial"/>
        </w:rPr>
        <w:tab/>
      </w:r>
      <w:r w:rsidRPr="00B524FC">
        <w:rPr>
          <w:rFonts w:ascii="Arial" w:hAnsi="Arial"/>
        </w:rPr>
        <w:tab/>
      </w:r>
      <w:r w:rsidRPr="00B524FC">
        <w:rPr>
          <w:rFonts w:ascii="Arial" w:hAnsi="Arial"/>
        </w:rPr>
        <w:tab/>
      </w:r>
      <w:r w:rsidRPr="00B524FC">
        <w:rPr>
          <w:rFonts w:ascii="Arial" w:hAnsi="Arial"/>
        </w:rPr>
        <w:tab/>
      </w:r>
      <w:r w:rsidRPr="00B524FC">
        <w:rPr>
          <w:rFonts w:ascii="Arial" w:hAnsi="Arial"/>
        </w:rPr>
        <w:tab/>
      </w:r>
    </w:p>
    <w:p w14:paraId="10BBD230" w14:textId="77777777" w:rsidR="00455C68" w:rsidRPr="00455C68" w:rsidRDefault="00455C68" w:rsidP="00455C68">
      <w:pPr>
        <w:rPr>
          <w:rFonts w:ascii="Arial" w:hAnsi="Arial" w:cs="Arial"/>
          <w:szCs w:val="24"/>
        </w:rPr>
      </w:pPr>
      <w:r w:rsidRPr="00455C68">
        <w:rPr>
          <w:rFonts w:ascii="Arial" w:hAnsi="Arial" w:cs="Arial"/>
          <w:szCs w:val="24"/>
        </w:rPr>
        <w:lastRenderedPageBreak/>
        <w:t xml:space="preserve">The lands being disposed of form part of the lands acquired from Dublin City Council (formerly Dublin Corporation) in 1997 under the Scheme of Transfer of Lands pursuant to the Local Government (Dublin) Act, 1993. </w:t>
      </w:r>
    </w:p>
    <w:p w14:paraId="107B2BD8" w14:textId="77777777" w:rsidR="00455C68" w:rsidRPr="00455C68" w:rsidRDefault="00455C68" w:rsidP="00455C68">
      <w:pPr>
        <w:rPr>
          <w:rFonts w:ascii="Arial" w:hAnsi="Arial" w:cs="Arial"/>
          <w:szCs w:val="24"/>
        </w:rPr>
      </w:pPr>
    </w:p>
    <w:p w14:paraId="190E2ADC" w14:textId="77777777" w:rsidR="001D0DCC" w:rsidRPr="00455C68" w:rsidRDefault="001D0DCC" w:rsidP="001D0DCC">
      <w:pPr>
        <w:pStyle w:val="NA-LEVEL1"/>
        <w:numPr>
          <w:ilvl w:val="0"/>
          <w:numId w:val="0"/>
        </w:numPr>
        <w:tabs>
          <w:tab w:val="left" w:pos="1095"/>
        </w:tabs>
        <w:jc w:val="left"/>
        <w:rPr>
          <w:sz w:val="24"/>
        </w:rPr>
      </w:pPr>
    </w:p>
    <w:p w14:paraId="4F8F06DF" w14:textId="77777777" w:rsidR="001D0DCC" w:rsidRPr="00455C68" w:rsidRDefault="001D0DCC" w:rsidP="001D0DCC">
      <w:pPr>
        <w:rPr>
          <w:rFonts w:ascii="Arial" w:hAnsi="Arial" w:cs="Arial"/>
          <w:szCs w:val="24"/>
          <w:lang w:eastAsia="en-GB"/>
        </w:rPr>
      </w:pPr>
    </w:p>
    <w:p w14:paraId="3D0787C2" w14:textId="58F7FDAD" w:rsidR="001D0DCC" w:rsidRPr="00455C68" w:rsidRDefault="001D0DCC" w:rsidP="001D0DCC">
      <w:pPr>
        <w:rPr>
          <w:rFonts w:ascii="Arial" w:hAnsi="Arial" w:cs="Arial"/>
          <w:b/>
          <w:szCs w:val="24"/>
          <w:lang w:eastAsia="en-GB"/>
        </w:rPr>
      </w:pPr>
      <w:r w:rsidRPr="00455C68">
        <w:rPr>
          <w:rFonts w:ascii="Arial" w:hAnsi="Arial" w:cs="Arial"/>
          <w:b/>
          <w:szCs w:val="24"/>
          <w:lang w:eastAsia="en-GB"/>
        </w:rPr>
        <w:t>D</w:t>
      </w:r>
      <w:r w:rsidR="00CC44B4">
        <w:rPr>
          <w:rFonts w:ascii="Arial" w:hAnsi="Arial" w:cs="Arial"/>
          <w:b/>
          <w:szCs w:val="24"/>
          <w:lang w:eastAsia="en-GB"/>
        </w:rPr>
        <w:t>aniel</w:t>
      </w:r>
      <w:r w:rsidRPr="00455C68">
        <w:rPr>
          <w:rFonts w:ascii="Arial" w:hAnsi="Arial" w:cs="Arial"/>
          <w:b/>
          <w:szCs w:val="24"/>
          <w:lang w:eastAsia="en-GB"/>
        </w:rPr>
        <w:t xml:space="preserve"> McLoughlin </w:t>
      </w:r>
    </w:p>
    <w:p w14:paraId="64EFE2C9" w14:textId="77777777" w:rsidR="001D0DCC" w:rsidRPr="00455C68" w:rsidRDefault="001D0DCC" w:rsidP="001D0DCC">
      <w:pPr>
        <w:rPr>
          <w:rFonts w:ascii="Arial" w:hAnsi="Arial" w:cs="Arial"/>
          <w:szCs w:val="24"/>
        </w:rPr>
      </w:pPr>
      <w:r w:rsidRPr="00455C68">
        <w:rPr>
          <w:rFonts w:ascii="Arial" w:hAnsi="Arial" w:cs="Arial"/>
          <w:b/>
          <w:szCs w:val="24"/>
          <w:lang w:eastAsia="en-GB"/>
        </w:rPr>
        <w:t xml:space="preserve">Chief Executive </w:t>
      </w:r>
    </w:p>
    <w:p w14:paraId="5462E901" w14:textId="77777777" w:rsidR="00B42311" w:rsidRPr="00455C68" w:rsidRDefault="00B42311" w:rsidP="00B42311">
      <w:pPr>
        <w:spacing w:after="160" w:line="259" w:lineRule="auto"/>
        <w:rPr>
          <w:rFonts w:ascii="Arial" w:hAnsi="Arial" w:cs="Arial"/>
          <w:szCs w:val="24"/>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F805F1"/>
    <w:multiLevelType w:val="hybridMultilevel"/>
    <w:tmpl w:val="267E09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B5D93"/>
    <w:multiLevelType w:val="hybridMultilevel"/>
    <w:tmpl w:val="3A261D32"/>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5D41B8"/>
    <w:multiLevelType w:val="hybridMultilevel"/>
    <w:tmpl w:val="71AE95B6"/>
    <w:lvl w:ilvl="0" w:tplc="FFFFFFFF">
      <w:start w:val="1"/>
      <w:numFmt w:val="decimal"/>
      <w:lvlText w:val="%1."/>
      <w:lvlJc w:val="left"/>
      <w:pPr>
        <w:ind w:left="782" w:hanging="356"/>
        <w:jc w:val="left"/>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7" w15:restartNumberingAfterBreak="0">
    <w:nsid w:val="33B96FD0"/>
    <w:multiLevelType w:val="hybridMultilevel"/>
    <w:tmpl w:val="B0F2C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868374046">
    <w:abstractNumId w:val="2"/>
  </w:num>
  <w:num w:numId="2" w16cid:durableId="516891374">
    <w:abstractNumId w:val="9"/>
  </w:num>
  <w:num w:numId="3" w16cid:durableId="822545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582034">
    <w:abstractNumId w:val="0"/>
  </w:num>
  <w:num w:numId="5" w16cid:durableId="164994178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2615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878429">
    <w:abstractNumId w:val="4"/>
  </w:num>
  <w:num w:numId="8" w16cid:durableId="1586724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3840451">
    <w:abstractNumId w:val="7"/>
  </w:num>
  <w:num w:numId="10" w16cid:durableId="1294094787">
    <w:abstractNumId w:val="5"/>
  </w:num>
  <w:num w:numId="11" w16cid:durableId="1365786329">
    <w:abstractNumId w:val="1"/>
  </w:num>
  <w:num w:numId="12" w16cid:durableId="2118475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2405F"/>
    <w:rsid w:val="00035D22"/>
    <w:rsid w:val="00041C76"/>
    <w:rsid w:val="000A2CE6"/>
    <w:rsid w:val="00131727"/>
    <w:rsid w:val="00140F9D"/>
    <w:rsid w:val="00155695"/>
    <w:rsid w:val="001628BF"/>
    <w:rsid w:val="00193A00"/>
    <w:rsid w:val="001B010F"/>
    <w:rsid w:val="001D0DCC"/>
    <w:rsid w:val="002037F7"/>
    <w:rsid w:val="0022252E"/>
    <w:rsid w:val="002610D5"/>
    <w:rsid w:val="002811E5"/>
    <w:rsid w:val="00294AE6"/>
    <w:rsid w:val="002C739C"/>
    <w:rsid w:val="003123DB"/>
    <w:rsid w:val="0037179F"/>
    <w:rsid w:val="003A6CB8"/>
    <w:rsid w:val="0040085D"/>
    <w:rsid w:val="00455C68"/>
    <w:rsid w:val="004867D9"/>
    <w:rsid w:val="00492471"/>
    <w:rsid w:val="004A57F7"/>
    <w:rsid w:val="004C0C5E"/>
    <w:rsid w:val="005274F1"/>
    <w:rsid w:val="00590F51"/>
    <w:rsid w:val="005B73E0"/>
    <w:rsid w:val="005D72FC"/>
    <w:rsid w:val="005E329C"/>
    <w:rsid w:val="0064025E"/>
    <w:rsid w:val="00640447"/>
    <w:rsid w:val="00644012"/>
    <w:rsid w:val="006B6C0F"/>
    <w:rsid w:val="006E6671"/>
    <w:rsid w:val="00732088"/>
    <w:rsid w:val="007709B9"/>
    <w:rsid w:val="007975B3"/>
    <w:rsid w:val="007F58A0"/>
    <w:rsid w:val="0087216A"/>
    <w:rsid w:val="009550B1"/>
    <w:rsid w:val="009943F7"/>
    <w:rsid w:val="009A238E"/>
    <w:rsid w:val="009E45CE"/>
    <w:rsid w:val="009F5B89"/>
    <w:rsid w:val="00A3433E"/>
    <w:rsid w:val="00AE183D"/>
    <w:rsid w:val="00B42311"/>
    <w:rsid w:val="00B524FC"/>
    <w:rsid w:val="00B93D01"/>
    <w:rsid w:val="00BD5D86"/>
    <w:rsid w:val="00C15FAF"/>
    <w:rsid w:val="00C377E2"/>
    <w:rsid w:val="00C52E23"/>
    <w:rsid w:val="00C577C2"/>
    <w:rsid w:val="00C91C42"/>
    <w:rsid w:val="00CC44B4"/>
    <w:rsid w:val="00CD6812"/>
    <w:rsid w:val="00CE0AA3"/>
    <w:rsid w:val="00D05001"/>
    <w:rsid w:val="00DA37B6"/>
    <w:rsid w:val="00DA78CD"/>
    <w:rsid w:val="00E160F4"/>
    <w:rsid w:val="00EE08F9"/>
    <w:rsid w:val="00EF0525"/>
    <w:rsid w:val="00F043E8"/>
    <w:rsid w:val="00FF57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9088">
      <w:bodyDiv w:val="1"/>
      <w:marLeft w:val="0"/>
      <w:marRight w:val="0"/>
      <w:marTop w:val="0"/>
      <w:marBottom w:val="0"/>
      <w:divBdr>
        <w:top w:val="none" w:sz="0" w:space="0" w:color="auto"/>
        <w:left w:val="none" w:sz="0" w:space="0" w:color="auto"/>
        <w:bottom w:val="none" w:sz="0" w:space="0" w:color="auto"/>
        <w:right w:val="none" w:sz="0" w:space="0" w:color="auto"/>
      </w:divBdr>
    </w:div>
    <w:div w:id="1395009291">
      <w:bodyDiv w:val="1"/>
      <w:marLeft w:val="0"/>
      <w:marRight w:val="0"/>
      <w:marTop w:val="0"/>
      <w:marBottom w:val="0"/>
      <w:divBdr>
        <w:top w:val="none" w:sz="0" w:space="0" w:color="auto"/>
        <w:left w:val="none" w:sz="0" w:space="0" w:color="auto"/>
        <w:bottom w:val="none" w:sz="0" w:space="0" w:color="auto"/>
        <w:right w:val="none" w:sz="0" w:space="0" w:color="auto"/>
      </w:divBdr>
    </w:div>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183464011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630</Words>
  <Characters>3312</Characters>
  <Application>Microsoft Office Word</Application>
  <DocSecurity>0</DocSecurity>
  <Lines>144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7</cp:revision>
  <dcterms:created xsi:type="dcterms:W3CDTF">2022-05-23T11:10:00Z</dcterms:created>
  <dcterms:modified xsi:type="dcterms:W3CDTF">2022-06-01T13:59:00Z</dcterms:modified>
</cp:coreProperties>
</file>