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03768" w14:textId="77777777" w:rsidR="000403D2" w:rsidRDefault="000403D2" w:rsidP="000403D2">
      <w:pPr>
        <w:spacing w:before="100" w:beforeAutospacing="1" w:after="100" w:afterAutospacing="1"/>
        <w:rPr>
          <w:rFonts w:ascii="Verdana" w:hAnsi="Verdana"/>
          <w:color w:val="000000"/>
          <w:sz w:val="24"/>
          <w:szCs w:val="24"/>
        </w:rPr>
      </w:pPr>
      <w:r>
        <w:rPr>
          <w:rFonts w:ascii="Verdana" w:hAnsi="Verdana"/>
          <w:b/>
          <w:bCs/>
          <w:color w:val="000000"/>
          <w:sz w:val="24"/>
          <w:szCs w:val="24"/>
        </w:rPr>
        <w:t>MOTION: Councillor M. Johansson</w:t>
      </w:r>
    </w:p>
    <w:p w14:paraId="25BA6899" w14:textId="77777777" w:rsidR="000403D2" w:rsidRDefault="000403D2" w:rsidP="000403D2">
      <w:pPr>
        <w:spacing w:before="100" w:beforeAutospacing="1" w:after="100" w:afterAutospacing="1"/>
        <w:rPr>
          <w:rFonts w:ascii="Verdana" w:hAnsi="Verdana"/>
          <w:color w:val="000000"/>
          <w:sz w:val="24"/>
          <w:szCs w:val="24"/>
        </w:rPr>
      </w:pPr>
      <w:r>
        <w:rPr>
          <w:rFonts w:ascii="Verdana" w:hAnsi="Verdana"/>
          <w:color w:val="000000"/>
          <w:sz w:val="24"/>
          <w:szCs w:val="24"/>
        </w:rPr>
        <w:t>That the Chief Executive present a report on how the council owned Clonburris SDZ lands can be used to meet the new social housing build targets, including what funding is needed for infrastructure and how this can be fast tracked for housing.</w:t>
      </w:r>
    </w:p>
    <w:p w14:paraId="7B4B8AEC" w14:textId="77777777" w:rsidR="000403D2" w:rsidRDefault="000403D2" w:rsidP="000403D2">
      <w:pPr>
        <w:spacing w:before="100" w:beforeAutospacing="1" w:after="100" w:afterAutospacing="1"/>
        <w:rPr>
          <w:rFonts w:ascii="Verdana" w:hAnsi="Verdana"/>
          <w:color w:val="000000"/>
          <w:sz w:val="24"/>
          <w:szCs w:val="24"/>
        </w:rPr>
      </w:pPr>
      <w:r>
        <w:rPr>
          <w:rFonts w:ascii="Verdana" w:hAnsi="Verdana"/>
          <w:b/>
          <w:bCs/>
          <w:color w:val="000000"/>
          <w:sz w:val="24"/>
          <w:szCs w:val="24"/>
        </w:rPr>
        <w:t>REPORT:</w:t>
      </w:r>
    </w:p>
    <w:p w14:paraId="1C1D7BAB" w14:textId="77777777" w:rsidR="000403D2" w:rsidRDefault="000403D2" w:rsidP="000403D2">
      <w:pPr>
        <w:spacing w:before="100" w:beforeAutospacing="1" w:after="100" w:afterAutospacing="1"/>
        <w:rPr>
          <w:rFonts w:ascii="Verdana" w:hAnsi="Verdana"/>
          <w:color w:val="000000"/>
          <w:sz w:val="24"/>
          <w:szCs w:val="24"/>
        </w:rPr>
      </w:pPr>
      <w:r>
        <w:rPr>
          <w:rFonts w:ascii="Verdana" w:hAnsi="Verdana"/>
          <w:color w:val="000000"/>
          <w:sz w:val="24"/>
          <w:szCs w:val="24"/>
        </w:rPr>
        <w:t>The Government’s Housing for All policy, published in September 2021, sets out specific targets for the delivery of social housing over the next five years with targets for this Council as follows:</w:t>
      </w:r>
    </w:p>
    <w:tbl>
      <w:tblPr>
        <w:tblW w:w="8922" w:type="dxa"/>
        <w:tblCellMar>
          <w:left w:w="0" w:type="dxa"/>
          <w:right w:w="0" w:type="dxa"/>
        </w:tblCellMar>
        <w:tblLook w:val="04A0" w:firstRow="1" w:lastRow="0" w:firstColumn="1" w:lastColumn="0" w:noHBand="0" w:noVBand="1"/>
      </w:tblPr>
      <w:tblGrid>
        <w:gridCol w:w="3438"/>
        <w:gridCol w:w="871"/>
        <w:gridCol w:w="871"/>
        <w:gridCol w:w="871"/>
        <w:gridCol w:w="871"/>
        <w:gridCol w:w="871"/>
        <w:gridCol w:w="1129"/>
      </w:tblGrid>
      <w:tr w:rsidR="000403D2" w14:paraId="22B153A0" w14:textId="77777777" w:rsidTr="000403D2">
        <w:tc>
          <w:tcPr>
            <w:tcW w:w="34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1E1362" w14:textId="77777777" w:rsidR="000403D2" w:rsidRDefault="000403D2">
            <w:pPr>
              <w:spacing w:before="100" w:beforeAutospacing="1" w:after="100" w:afterAutospacing="1"/>
              <w:rPr>
                <w:rFonts w:ascii="Verdana" w:hAnsi="Verdana"/>
                <w:color w:val="000000"/>
                <w:sz w:val="24"/>
                <w:szCs w:val="24"/>
              </w:rPr>
            </w:pPr>
            <w:r>
              <w:rPr>
                <w:rFonts w:ascii="Verdana" w:hAnsi="Verdana"/>
                <w:b/>
                <w:bCs/>
                <w:color w:val="000000"/>
                <w:sz w:val="23"/>
                <w:szCs w:val="23"/>
              </w:rPr>
              <w:t>Year</w:t>
            </w:r>
          </w:p>
        </w:tc>
        <w:tc>
          <w:tcPr>
            <w:tcW w:w="8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DA5C49" w14:textId="77777777" w:rsidR="000403D2" w:rsidRDefault="000403D2">
            <w:pPr>
              <w:spacing w:before="100" w:beforeAutospacing="1" w:after="100" w:afterAutospacing="1"/>
              <w:jc w:val="center"/>
              <w:rPr>
                <w:rFonts w:ascii="Verdana" w:hAnsi="Verdana"/>
                <w:color w:val="000000"/>
                <w:sz w:val="24"/>
                <w:szCs w:val="24"/>
              </w:rPr>
            </w:pPr>
            <w:r>
              <w:rPr>
                <w:rFonts w:ascii="Verdana" w:hAnsi="Verdana"/>
                <w:b/>
                <w:bCs/>
                <w:color w:val="000000"/>
                <w:sz w:val="23"/>
                <w:szCs w:val="23"/>
              </w:rPr>
              <w:t>2022</w:t>
            </w:r>
          </w:p>
        </w:tc>
        <w:tc>
          <w:tcPr>
            <w:tcW w:w="8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133383" w14:textId="77777777" w:rsidR="000403D2" w:rsidRDefault="000403D2">
            <w:pPr>
              <w:spacing w:before="100" w:beforeAutospacing="1" w:after="100" w:afterAutospacing="1"/>
              <w:jc w:val="center"/>
              <w:rPr>
                <w:rFonts w:ascii="Verdana" w:hAnsi="Verdana"/>
                <w:color w:val="000000"/>
                <w:sz w:val="24"/>
                <w:szCs w:val="24"/>
              </w:rPr>
            </w:pPr>
            <w:r>
              <w:rPr>
                <w:rFonts w:ascii="Verdana" w:hAnsi="Verdana"/>
                <w:b/>
                <w:bCs/>
                <w:color w:val="000000"/>
                <w:sz w:val="23"/>
                <w:szCs w:val="23"/>
              </w:rPr>
              <w:t>2023</w:t>
            </w:r>
          </w:p>
        </w:tc>
        <w:tc>
          <w:tcPr>
            <w:tcW w:w="8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ABFE01" w14:textId="77777777" w:rsidR="000403D2" w:rsidRDefault="000403D2">
            <w:pPr>
              <w:spacing w:before="100" w:beforeAutospacing="1" w:after="100" w:afterAutospacing="1"/>
              <w:jc w:val="center"/>
              <w:rPr>
                <w:rFonts w:ascii="Verdana" w:hAnsi="Verdana"/>
                <w:color w:val="000000"/>
                <w:sz w:val="24"/>
                <w:szCs w:val="24"/>
              </w:rPr>
            </w:pPr>
            <w:r>
              <w:rPr>
                <w:rFonts w:ascii="Verdana" w:hAnsi="Verdana"/>
                <w:b/>
                <w:bCs/>
                <w:color w:val="000000"/>
                <w:sz w:val="23"/>
                <w:szCs w:val="23"/>
              </w:rPr>
              <w:t>2024</w:t>
            </w:r>
          </w:p>
        </w:tc>
        <w:tc>
          <w:tcPr>
            <w:tcW w:w="8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3C6F43" w14:textId="77777777" w:rsidR="000403D2" w:rsidRDefault="000403D2">
            <w:pPr>
              <w:spacing w:before="100" w:beforeAutospacing="1" w:after="100" w:afterAutospacing="1"/>
              <w:jc w:val="center"/>
              <w:rPr>
                <w:rFonts w:ascii="Verdana" w:hAnsi="Verdana"/>
                <w:color w:val="000000"/>
                <w:sz w:val="24"/>
                <w:szCs w:val="24"/>
              </w:rPr>
            </w:pPr>
            <w:r>
              <w:rPr>
                <w:rFonts w:ascii="Verdana" w:hAnsi="Verdana"/>
                <w:b/>
                <w:bCs/>
                <w:color w:val="000000"/>
                <w:sz w:val="23"/>
                <w:szCs w:val="23"/>
              </w:rPr>
              <w:t>2025</w:t>
            </w: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8543C4" w14:textId="77777777" w:rsidR="000403D2" w:rsidRDefault="000403D2">
            <w:pPr>
              <w:spacing w:before="100" w:beforeAutospacing="1" w:after="100" w:afterAutospacing="1"/>
              <w:jc w:val="center"/>
              <w:rPr>
                <w:rFonts w:ascii="Verdana" w:hAnsi="Verdana"/>
                <w:color w:val="000000"/>
                <w:sz w:val="24"/>
                <w:szCs w:val="24"/>
              </w:rPr>
            </w:pPr>
            <w:r>
              <w:rPr>
                <w:rFonts w:ascii="Verdana" w:hAnsi="Verdana"/>
                <w:b/>
                <w:bCs/>
                <w:color w:val="000000"/>
                <w:sz w:val="23"/>
                <w:szCs w:val="23"/>
              </w:rPr>
              <w:t>2026</w:t>
            </w:r>
          </w:p>
        </w:tc>
        <w:tc>
          <w:tcPr>
            <w:tcW w:w="1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859BA7" w14:textId="77777777" w:rsidR="000403D2" w:rsidRDefault="000403D2">
            <w:pPr>
              <w:spacing w:before="100" w:beforeAutospacing="1" w:after="100" w:afterAutospacing="1"/>
              <w:jc w:val="center"/>
              <w:rPr>
                <w:rFonts w:ascii="Verdana" w:hAnsi="Verdana"/>
                <w:color w:val="000000"/>
                <w:sz w:val="24"/>
                <w:szCs w:val="24"/>
              </w:rPr>
            </w:pPr>
            <w:r>
              <w:rPr>
                <w:rFonts w:ascii="Verdana" w:hAnsi="Verdana"/>
                <w:b/>
                <w:bCs/>
                <w:color w:val="000000"/>
                <w:sz w:val="23"/>
                <w:szCs w:val="23"/>
              </w:rPr>
              <w:t>TOTAL</w:t>
            </w:r>
          </w:p>
        </w:tc>
      </w:tr>
      <w:tr w:rsidR="000403D2" w14:paraId="6DEBAE79" w14:textId="77777777" w:rsidTr="000403D2">
        <w:tc>
          <w:tcPr>
            <w:tcW w:w="3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1E191" w14:textId="77777777" w:rsidR="000403D2" w:rsidRDefault="000403D2">
            <w:pPr>
              <w:spacing w:before="100" w:beforeAutospacing="1" w:after="100" w:afterAutospacing="1"/>
              <w:rPr>
                <w:rFonts w:ascii="Verdana" w:hAnsi="Verdana"/>
                <w:color w:val="000000"/>
                <w:sz w:val="24"/>
                <w:szCs w:val="24"/>
              </w:rPr>
            </w:pPr>
            <w:r>
              <w:rPr>
                <w:rFonts w:ascii="Verdana" w:hAnsi="Verdana"/>
                <w:color w:val="000000"/>
                <w:sz w:val="23"/>
                <w:szCs w:val="23"/>
              </w:rPr>
              <w:t>Social housing build targets</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14:paraId="7F97333D" w14:textId="77777777" w:rsidR="000403D2" w:rsidRDefault="000403D2">
            <w:pPr>
              <w:spacing w:before="100" w:beforeAutospacing="1" w:after="100" w:afterAutospacing="1"/>
              <w:jc w:val="center"/>
              <w:rPr>
                <w:rFonts w:ascii="Verdana" w:hAnsi="Verdana"/>
                <w:color w:val="000000"/>
                <w:sz w:val="24"/>
                <w:szCs w:val="24"/>
              </w:rPr>
            </w:pPr>
            <w:r>
              <w:rPr>
                <w:rFonts w:ascii="Verdana" w:hAnsi="Verdana"/>
                <w:color w:val="000000"/>
                <w:sz w:val="23"/>
                <w:szCs w:val="23"/>
              </w:rPr>
              <w:t>400</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14:paraId="6695BADF" w14:textId="77777777" w:rsidR="000403D2" w:rsidRDefault="000403D2">
            <w:pPr>
              <w:spacing w:before="100" w:beforeAutospacing="1" w:after="100" w:afterAutospacing="1"/>
              <w:jc w:val="center"/>
              <w:rPr>
                <w:rFonts w:ascii="Verdana" w:hAnsi="Verdana"/>
                <w:color w:val="000000"/>
                <w:sz w:val="24"/>
                <w:szCs w:val="24"/>
              </w:rPr>
            </w:pPr>
            <w:r>
              <w:rPr>
                <w:rFonts w:ascii="Verdana" w:hAnsi="Verdana"/>
                <w:color w:val="000000"/>
                <w:sz w:val="23"/>
                <w:szCs w:val="23"/>
              </w:rPr>
              <w:t>703</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14:paraId="192EE5D7" w14:textId="77777777" w:rsidR="000403D2" w:rsidRDefault="000403D2">
            <w:pPr>
              <w:spacing w:before="100" w:beforeAutospacing="1" w:after="100" w:afterAutospacing="1"/>
              <w:jc w:val="center"/>
              <w:rPr>
                <w:rFonts w:ascii="Verdana" w:hAnsi="Verdana"/>
                <w:color w:val="000000"/>
                <w:sz w:val="24"/>
                <w:szCs w:val="24"/>
              </w:rPr>
            </w:pPr>
            <w:r>
              <w:rPr>
                <w:rFonts w:ascii="Verdana" w:hAnsi="Verdana"/>
                <w:color w:val="000000"/>
                <w:sz w:val="23"/>
                <w:szCs w:val="23"/>
              </w:rPr>
              <w:t>718</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14:paraId="37342101" w14:textId="77777777" w:rsidR="000403D2" w:rsidRDefault="000403D2">
            <w:pPr>
              <w:spacing w:before="100" w:beforeAutospacing="1" w:after="100" w:afterAutospacing="1"/>
              <w:jc w:val="center"/>
              <w:rPr>
                <w:rFonts w:ascii="Verdana" w:hAnsi="Verdana"/>
                <w:color w:val="000000"/>
                <w:sz w:val="24"/>
                <w:szCs w:val="24"/>
              </w:rPr>
            </w:pPr>
            <w:r>
              <w:rPr>
                <w:rFonts w:ascii="Verdana" w:hAnsi="Verdana"/>
                <w:color w:val="000000"/>
                <w:sz w:val="23"/>
                <w:szCs w:val="23"/>
              </w:rPr>
              <w:t>772</w:t>
            </w:r>
          </w:p>
        </w:tc>
        <w:tc>
          <w:tcPr>
            <w:tcW w:w="849" w:type="dxa"/>
            <w:tcBorders>
              <w:top w:val="nil"/>
              <w:left w:val="nil"/>
              <w:bottom w:val="single" w:sz="8" w:space="0" w:color="auto"/>
              <w:right w:val="single" w:sz="8" w:space="0" w:color="auto"/>
            </w:tcBorders>
            <w:tcMar>
              <w:top w:w="0" w:type="dxa"/>
              <w:left w:w="108" w:type="dxa"/>
              <w:bottom w:w="0" w:type="dxa"/>
              <w:right w:w="108" w:type="dxa"/>
            </w:tcMar>
            <w:hideMark/>
          </w:tcPr>
          <w:p w14:paraId="65E2EA2B" w14:textId="77777777" w:rsidR="000403D2" w:rsidRDefault="000403D2">
            <w:pPr>
              <w:spacing w:before="100" w:beforeAutospacing="1" w:after="100" w:afterAutospacing="1"/>
              <w:jc w:val="center"/>
              <w:rPr>
                <w:rFonts w:ascii="Verdana" w:hAnsi="Verdana"/>
                <w:color w:val="000000"/>
                <w:sz w:val="24"/>
                <w:szCs w:val="24"/>
              </w:rPr>
            </w:pPr>
            <w:r>
              <w:rPr>
                <w:rFonts w:ascii="Verdana" w:hAnsi="Verdana"/>
                <w:color w:val="000000"/>
                <w:sz w:val="23"/>
                <w:szCs w:val="23"/>
              </w:rPr>
              <w:t>788</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14:paraId="4D3E6669" w14:textId="77777777" w:rsidR="000403D2" w:rsidRDefault="000403D2">
            <w:pPr>
              <w:spacing w:before="100" w:beforeAutospacing="1" w:after="100" w:afterAutospacing="1"/>
              <w:jc w:val="center"/>
              <w:rPr>
                <w:rFonts w:ascii="Verdana" w:hAnsi="Verdana"/>
                <w:color w:val="000000"/>
                <w:sz w:val="24"/>
                <w:szCs w:val="24"/>
              </w:rPr>
            </w:pPr>
            <w:r>
              <w:rPr>
                <w:rFonts w:ascii="Verdana" w:hAnsi="Verdana"/>
                <w:b/>
                <w:bCs/>
                <w:color w:val="000000"/>
                <w:sz w:val="23"/>
                <w:szCs w:val="23"/>
              </w:rPr>
              <w:t>3,381</w:t>
            </w:r>
          </w:p>
        </w:tc>
      </w:tr>
    </w:tbl>
    <w:p w14:paraId="05913A1E" w14:textId="77777777" w:rsidR="000403D2" w:rsidRDefault="000403D2" w:rsidP="000403D2">
      <w:pPr>
        <w:spacing w:before="100" w:beforeAutospacing="1" w:after="100" w:afterAutospacing="1"/>
        <w:rPr>
          <w:rFonts w:ascii="Verdana" w:hAnsi="Verdana"/>
          <w:color w:val="000000"/>
          <w:sz w:val="24"/>
          <w:szCs w:val="24"/>
        </w:rPr>
      </w:pPr>
      <w:r>
        <w:rPr>
          <w:rFonts w:ascii="Verdana" w:hAnsi="Verdana"/>
          <w:color w:val="000000"/>
          <w:sz w:val="24"/>
          <w:szCs w:val="24"/>
        </w:rPr>
        <w:t>An associated Housing Delivery Action Plan for 2022-2026 must also be submitted to the Department of Housing, Local Government and Heritage (DHLGH) by 17th December 2021 including proposed areas and delivery methods for social and affordable housing in the County, noting the guidance that social housing delivery should be split 50:50 between the Council and Approved Housing Bodies.</w:t>
      </w:r>
    </w:p>
    <w:p w14:paraId="2F6F4294" w14:textId="77777777" w:rsidR="000403D2" w:rsidRDefault="000403D2" w:rsidP="000403D2">
      <w:pPr>
        <w:spacing w:before="100" w:beforeAutospacing="1" w:after="100" w:afterAutospacing="1"/>
        <w:rPr>
          <w:rFonts w:ascii="Verdana" w:hAnsi="Verdana"/>
          <w:color w:val="000000"/>
          <w:sz w:val="24"/>
          <w:szCs w:val="24"/>
        </w:rPr>
      </w:pPr>
      <w:r>
        <w:rPr>
          <w:rFonts w:ascii="Verdana" w:hAnsi="Verdana"/>
          <w:color w:val="000000"/>
          <w:sz w:val="24"/>
          <w:szCs w:val="24"/>
        </w:rPr>
        <w:t>While the Housing Delivery Action Plan is currently being prepared and will be presented to Elected members for their information at the December Council meeting, the Council owned lands within Clonburris Strategic Development Zone (SDZ) will be central to Council-led housing delivery in the County during the course of the Plan as they have the potential to deliver in the region of 2,600 homes.  As signalled to the Council at the June Council meeting, the projected overall tenure mix for Council owned land in the SDZ will comprise approximately 40% social housing, 30% affordable purchase and 30% affordable/cost rental.</w:t>
      </w:r>
    </w:p>
    <w:p w14:paraId="5A59EBA6" w14:textId="77777777" w:rsidR="000403D2" w:rsidRDefault="000403D2" w:rsidP="000403D2">
      <w:pPr>
        <w:spacing w:before="100" w:beforeAutospacing="1" w:after="100" w:afterAutospacing="1"/>
        <w:rPr>
          <w:rFonts w:ascii="Verdana" w:hAnsi="Verdana"/>
          <w:color w:val="000000"/>
          <w:sz w:val="24"/>
          <w:szCs w:val="24"/>
        </w:rPr>
      </w:pPr>
      <w:r>
        <w:rPr>
          <w:rFonts w:ascii="Verdana" w:hAnsi="Verdana"/>
          <w:color w:val="000000"/>
          <w:sz w:val="24"/>
          <w:szCs w:val="24"/>
        </w:rPr>
        <w:t>The Council’s Land Use, Planning &amp; Transportation teams have identified the required infrastructure to unlock and service these lands to expediate housing delivery within the SDZ.  The housing capacity has been developed into six separate phases based on infrastructure and servicing requirements and other SDZ requirements including development of transport, retail, community, public realm etc.</w:t>
      </w:r>
    </w:p>
    <w:p w14:paraId="46B22EDF" w14:textId="32B08DCB" w:rsidR="000403D2" w:rsidRDefault="000403D2" w:rsidP="000403D2">
      <w:pPr>
        <w:spacing w:before="100" w:beforeAutospacing="1" w:after="100" w:afterAutospacing="1"/>
        <w:rPr>
          <w:rFonts w:ascii="Verdana" w:hAnsi="Verdana"/>
          <w:color w:val="000000"/>
          <w:sz w:val="24"/>
          <w:szCs w:val="24"/>
        </w:rPr>
      </w:pPr>
      <w:r>
        <w:rPr>
          <w:rFonts w:ascii="Verdana" w:hAnsi="Verdana"/>
          <w:color w:val="000000"/>
          <w:sz w:val="24"/>
          <w:szCs w:val="24"/>
        </w:rPr>
        <w:t>Design work is progressing on the initial two phases of the SDZ (Kishogue SouthWest and the Canal Extension) with a view to Part 8 proposals being advertised in the coming weeks.  Preparations are also being made to commence design processes for subsequent phases during 2022.</w:t>
      </w:r>
    </w:p>
    <w:p w14:paraId="3CBD0C9C" w14:textId="77777777" w:rsidR="000403D2" w:rsidRDefault="000403D2" w:rsidP="000403D2">
      <w:pPr>
        <w:spacing w:before="100" w:beforeAutospacing="1" w:after="100" w:afterAutospacing="1"/>
        <w:rPr>
          <w:rFonts w:ascii="Verdana" w:hAnsi="Verdana"/>
          <w:color w:val="000000"/>
          <w:sz w:val="24"/>
          <w:szCs w:val="24"/>
        </w:rPr>
      </w:pPr>
      <w:r>
        <w:rPr>
          <w:rFonts w:ascii="Verdana" w:hAnsi="Verdana"/>
          <w:color w:val="000000"/>
          <w:sz w:val="24"/>
          <w:szCs w:val="24"/>
        </w:rPr>
        <w:t xml:space="preserve">The key infrastructure requirements for housing delivery in the Clonburris SDZ have been identified by the Council in conjunction with the other landowners and was subject of a successful Urban Regeneration and </w:t>
      </w:r>
      <w:r>
        <w:rPr>
          <w:rFonts w:ascii="Verdana" w:hAnsi="Verdana"/>
          <w:color w:val="000000"/>
          <w:sz w:val="24"/>
          <w:szCs w:val="24"/>
        </w:rPr>
        <w:lastRenderedPageBreak/>
        <w:t>Development Fund (URDF) application with funding in principle of €176.6 million approved in March 2021.</w:t>
      </w:r>
    </w:p>
    <w:p w14:paraId="3B999038" w14:textId="77777777" w:rsidR="000403D2" w:rsidRDefault="000403D2" w:rsidP="000403D2">
      <w:pPr>
        <w:spacing w:before="100" w:beforeAutospacing="1" w:after="100" w:afterAutospacing="1"/>
        <w:rPr>
          <w:rFonts w:ascii="Verdana" w:hAnsi="Verdana"/>
          <w:color w:val="000000"/>
          <w:sz w:val="24"/>
          <w:szCs w:val="24"/>
        </w:rPr>
      </w:pPr>
      <w:r>
        <w:rPr>
          <w:rFonts w:ascii="Verdana" w:hAnsi="Verdana"/>
          <w:color w:val="000000"/>
          <w:sz w:val="24"/>
          <w:szCs w:val="24"/>
        </w:rPr>
        <w:t>A company, Clonburris Infrastructure Limited (CIL), made up of landowners in the SDZ, including representatives from the Council’s Planning team, has been established to progress the delivery of infrastructure required to unlock delivery of housing.  CIL were successful in receiving planning permission in August 2021 for the South Link Street in Clonburris which is required for delivery of the Council’s proposed mixed tenure development in phase one of the Clonburris lands.  CIL are also currently progressing further URDF approvals as required under the Public Spending Code.</w:t>
      </w:r>
    </w:p>
    <w:p w14:paraId="0D3E7C21" w14:textId="77777777" w:rsidR="000403D2" w:rsidRDefault="000403D2" w:rsidP="000403D2">
      <w:pPr>
        <w:spacing w:before="100" w:beforeAutospacing="1" w:after="100" w:afterAutospacing="1"/>
        <w:rPr>
          <w:rFonts w:ascii="Verdana" w:hAnsi="Verdana"/>
          <w:color w:val="000000"/>
          <w:sz w:val="24"/>
          <w:szCs w:val="24"/>
        </w:rPr>
      </w:pPr>
      <w:r>
        <w:rPr>
          <w:rFonts w:ascii="Verdana" w:hAnsi="Verdana"/>
          <w:color w:val="000000"/>
          <w:sz w:val="24"/>
          <w:szCs w:val="24"/>
        </w:rPr>
        <w:t>The Housing and Planning teams engage regularly to ensure that thee infrastructure and housing delivery programmes are being aligned.  In addition, the Council have established a working group with senior DHLGH staff to work to coordinate approval processes in the context of projected timelines for housing delivery and PSC requirements.  The associated processes will continue to evolve and be refined as the development of the SDZ progresses to ensure that they fully support the accelerated delivery of housing as soon as possible.</w:t>
      </w:r>
    </w:p>
    <w:p w14:paraId="3C10F5C1" w14:textId="77777777" w:rsidR="006060E4" w:rsidRDefault="006060E4"/>
    <w:sectPr w:rsidR="006060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D2"/>
    <w:rsid w:val="000024D9"/>
    <w:rsid w:val="000403D2"/>
    <w:rsid w:val="006060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4904"/>
  <w15:chartTrackingRefBased/>
  <w15:docId w15:val="{774DEC15-1CF0-4CC0-A1DD-2685E278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3D2"/>
    <w:pPr>
      <w:spacing w:after="0" w:line="240" w:lineRule="auto"/>
    </w:pPr>
    <w:rPr>
      <w:rFonts w:ascii="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3144</Characters>
  <Application>Microsoft Office Word</Application>
  <DocSecurity>4</DocSecurity>
  <Lines>26</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Pierce</dc:creator>
  <cp:keywords/>
  <dc:description/>
  <cp:lastModifiedBy>Brenda Pierce</cp:lastModifiedBy>
  <cp:revision>2</cp:revision>
  <dcterms:created xsi:type="dcterms:W3CDTF">2021-11-23T09:00:00Z</dcterms:created>
  <dcterms:modified xsi:type="dcterms:W3CDTF">2021-11-23T09:00:00Z</dcterms:modified>
</cp:coreProperties>
</file>