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D8D89" w14:textId="77777777" w:rsidR="00375793" w:rsidRPr="008A4178" w:rsidRDefault="00375793" w:rsidP="00375793">
      <w:pPr>
        <w:spacing w:line="360" w:lineRule="auto"/>
        <w:jc w:val="center"/>
        <w:rPr>
          <w:b/>
          <w:bCs/>
          <w:caps/>
          <w:u w:val="single"/>
        </w:rPr>
      </w:pPr>
      <w:r w:rsidRPr="00AE63F8">
        <w:rPr>
          <w:b/>
          <w:bCs/>
          <w:caps/>
          <w:u w:val="single"/>
        </w:rPr>
        <w:t xml:space="preserve">MEETING OF </w:t>
      </w:r>
      <w:r>
        <w:rPr>
          <w:b/>
          <w:bCs/>
          <w:caps/>
          <w:u w:val="single"/>
        </w:rPr>
        <w:t>South Dublin</w:t>
      </w:r>
      <w:r w:rsidRPr="00AE63F8">
        <w:rPr>
          <w:b/>
          <w:bCs/>
          <w:caps/>
          <w:u w:val="single"/>
        </w:rPr>
        <w:t xml:space="preserve"> COUNTY COUNCIL</w:t>
      </w:r>
    </w:p>
    <w:p w14:paraId="6F6BA399" w14:textId="24C70A5F" w:rsidR="00375793" w:rsidRPr="00AE63F8" w:rsidRDefault="00D70898" w:rsidP="00375793">
      <w:pPr>
        <w:spacing w:line="360" w:lineRule="auto"/>
        <w:jc w:val="center"/>
        <w:rPr>
          <w:b/>
          <w:bCs/>
          <w:caps/>
          <w:u w:val="single"/>
        </w:rPr>
      </w:pPr>
      <w:r>
        <w:rPr>
          <w:b/>
          <w:bCs/>
          <w:caps/>
          <w:u w:val="single"/>
        </w:rPr>
        <w:t>12th</w:t>
      </w:r>
      <w:r w:rsidR="00375793" w:rsidRPr="00AE63F8">
        <w:rPr>
          <w:b/>
          <w:bCs/>
          <w:caps/>
          <w:u w:val="single"/>
        </w:rPr>
        <w:t xml:space="preserve"> </w:t>
      </w:r>
      <w:r>
        <w:rPr>
          <w:b/>
          <w:bCs/>
          <w:caps/>
          <w:u w:val="single"/>
        </w:rPr>
        <w:t xml:space="preserve">July </w:t>
      </w:r>
      <w:r w:rsidR="00375793" w:rsidRPr="00AE63F8">
        <w:rPr>
          <w:b/>
          <w:bCs/>
          <w:caps/>
          <w:u w:val="single"/>
        </w:rPr>
        <w:t>20</w:t>
      </w:r>
      <w:r w:rsidR="00AA4767">
        <w:rPr>
          <w:b/>
          <w:bCs/>
          <w:caps/>
          <w:u w:val="single"/>
        </w:rPr>
        <w:t>2</w:t>
      </w:r>
      <w:r>
        <w:rPr>
          <w:b/>
          <w:bCs/>
          <w:caps/>
          <w:u w:val="single"/>
        </w:rPr>
        <w:t>1</w:t>
      </w:r>
    </w:p>
    <w:p w14:paraId="0F7014D4" w14:textId="77777777" w:rsidR="00375793" w:rsidRPr="00AE63F8" w:rsidRDefault="00375793" w:rsidP="00375793">
      <w:pPr>
        <w:spacing w:line="360" w:lineRule="auto"/>
        <w:jc w:val="center"/>
        <w:rPr>
          <w:caps/>
        </w:rPr>
      </w:pPr>
    </w:p>
    <w:p w14:paraId="59DBC063" w14:textId="77777777" w:rsidR="00375793" w:rsidRPr="001B144D" w:rsidRDefault="00375793" w:rsidP="00375793">
      <w:pPr>
        <w:autoSpaceDE w:val="0"/>
        <w:autoSpaceDN w:val="0"/>
        <w:adjustRightInd w:val="0"/>
        <w:spacing w:line="360" w:lineRule="auto"/>
        <w:jc w:val="center"/>
        <w:rPr>
          <w:rFonts w:cs="Helvetica"/>
          <w:b/>
          <w:kern w:val="36"/>
          <w:u w:val="single"/>
        </w:rPr>
      </w:pPr>
      <w:r w:rsidRPr="00AE63F8">
        <w:rPr>
          <w:rFonts w:cs="Helvetica"/>
          <w:b/>
          <w:kern w:val="36"/>
          <w:u w:val="single"/>
        </w:rPr>
        <w:t>Consideration of variation of the basic rate of the Local Property Tax</w:t>
      </w:r>
    </w:p>
    <w:p w14:paraId="5E7078B8" w14:textId="77777777" w:rsidR="00375793" w:rsidRDefault="00375793" w:rsidP="00375793">
      <w:pPr>
        <w:autoSpaceDE w:val="0"/>
        <w:autoSpaceDN w:val="0"/>
        <w:adjustRightInd w:val="0"/>
        <w:spacing w:line="360" w:lineRule="auto"/>
        <w:rPr>
          <w:rFonts w:cs="TheSansBold-Plain"/>
          <w:b/>
          <w:bCs/>
          <w:lang w:val="en-US"/>
        </w:rPr>
      </w:pPr>
    </w:p>
    <w:p w14:paraId="1BD4141F" w14:textId="77777777" w:rsidR="00375793" w:rsidRDefault="00375793" w:rsidP="00375793">
      <w:pPr>
        <w:autoSpaceDE w:val="0"/>
        <w:autoSpaceDN w:val="0"/>
        <w:adjustRightInd w:val="0"/>
        <w:spacing w:line="360" w:lineRule="auto"/>
        <w:rPr>
          <w:rFonts w:cs="TheSansBold-Plain"/>
          <w:b/>
          <w:bCs/>
          <w:lang w:val="en-US"/>
        </w:rPr>
      </w:pPr>
      <w:r>
        <w:rPr>
          <w:rFonts w:cs="TheSansBold-Plain"/>
          <w:b/>
          <w:bCs/>
          <w:lang w:val="en-US"/>
        </w:rPr>
        <w:t>Introduction:</w:t>
      </w:r>
    </w:p>
    <w:p w14:paraId="6E761294" w14:textId="07DFF3B4" w:rsidR="00805DB8" w:rsidRDefault="00375793" w:rsidP="00375793">
      <w:pPr>
        <w:pStyle w:val="NoSpacing"/>
        <w:spacing w:line="360" w:lineRule="auto"/>
        <w:jc w:val="both"/>
        <w:rPr>
          <w:rFonts w:ascii="Verdana" w:hAnsi="Verdana" w:cs="Open Sans"/>
          <w:sz w:val="20"/>
          <w:szCs w:val="20"/>
        </w:rPr>
      </w:pPr>
      <w:r w:rsidRPr="00B94604">
        <w:rPr>
          <w:rFonts w:ascii="Verdana" w:hAnsi="Verdana" w:cs="Open Sans"/>
          <w:sz w:val="20"/>
          <w:szCs w:val="20"/>
        </w:rPr>
        <w:t xml:space="preserve">The Local Property Tax (LPT) </w:t>
      </w:r>
      <w:r>
        <w:rPr>
          <w:rFonts w:ascii="Verdana" w:hAnsi="Verdana" w:cs="Open Sans"/>
          <w:sz w:val="20"/>
          <w:szCs w:val="20"/>
        </w:rPr>
        <w:t>became</w:t>
      </w:r>
      <w:r w:rsidRPr="00B94604">
        <w:rPr>
          <w:rFonts w:ascii="Verdana" w:hAnsi="Verdana" w:cs="Open Sans"/>
          <w:sz w:val="20"/>
          <w:szCs w:val="20"/>
        </w:rPr>
        <w:t xml:space="preserve"> effective from 1 July 2013 </w:t>
      </w:r>
      <w:r>
        <w:rPr>
          <w:rFonts w:ascii="Verdana" w:hAnsi="Verdana" w:cs="Open Sans"/>
          <w:sz w:val="20"/>
          <w:szCs w:val="20"/>
        </w:rPr>
        <w:t xml:space="preserve">and </w:t>
      </w:r>
      <w:r w:rsidRPr="00B94604">
        <w:rPr>
          <w:rFonts w:ascii="Verdana" w:hAnsi="Verdana" w:cs="Open Sans"/>
          <w:sz w:val="20"/>
          <w:szCs w:val="20"/>
        </w:rPr>
        <w:t xml:space="preserve">is an annual self-assessed tax </w:t>
      </w:r>
      <w:r>
        <w:rPr>
          <w:rFonts w:ascii="Verdana" w:hAnsi="Verdana" w:cs="Open Sans"/>
          <w:sz w:val="20"/>
          <w:szCs w:val="20"/>
        </w:rPr>
        <w:t>which is applied to</w:t>
      </w:r>
      <w:r w:rsidRPr="00B94604">
        <w:rPr>
          <w:rFonts w:ascii="Verdana" w:hAnsi="Verdana" w:cs="Open Sans"/>
          <w:sz w:val="20"/>
          <w:szCs w:val="20"/>
        </w:rPr>
        <w:t xml:space="preserve"> the market value of residential properties</w:t>
      </w:r>
      <w:r>
        <w:rPr>
          <w:rFonts w:ascii="Verdana" w:hAnsi="Verdana" w:cs="Open Sans"/>
          <w:sz w:val="20"/>
          <w:szCs w:val="20"/>
        </w:rPr>
        <w:t xml:space="preserve">. </w:t>
      </w:r>
      <w:r w:rsidR="00805DB8">
        <w:rPr>
          <w:rFonts w:ascii="Verdana" w:hAnsi="Verdana" w:cs="Open Sans"/>
          <w:sz w:val="20"/>
          <w:szCs w:val="20"/>
        </w:rPr>
        <w:t xml:space="preserve">Since </w:t>
      </w:r>
      <w:r w:rsidR="00A85174">
        <w:rPr>
          <w:rFonts w:ascii="Verdana" w:hAnsi="Verdana" w:cs="Open Sans"/>
          <w:sz w:val="20"/>
          <w:szCs w:val="20"/>
        </w:rPr>
        <w:t>2014</w:t>
      </w:r>
      <w:r w:rsidR="00805DB8">
        <w:rPr>
          <w:rFonts w:ascii="Verdana" w:hAnsi="Verdana" w:cs="Open Sans"/>
          <w:sz w:val="20"/>
          <w:szCs w:val="20"/>
        </w:rPr>
        <w:t xml:space="preserve"> </w:t>
      </w:r>
      <w:r w:rsidR="00387789">
        <w:rPr>
          <w:rFonts w:ascii="Verdana" w:hAnsi="Verdana" w:cs="Open Sans"/>
          <w:sz w:val="20"/>
          <w:szCs w:val="20"/>
        </w:rPr>
        <w:t>M</w:t>
      </w:r>
      <w:r w:rsidR="00805DB8">
        <w:rPr>
          <w:rFonts w:ascii="Verdana" w:hAnsi="Verdana" w:cs="Open Sans"/>
          <w:sz w:val="20"/>
          <w:szCs w:val="20"/>
        </w:rPr>
        <w:t>embers</w:t>
      </w:r>
      <w:r w:rsidR="000E46C5">
        <w:rPr>
          <w:rFonts w:ascii="Verdana" w:hAnsi="Verdana" w:cs="Open Sans"/>
          <w:sz w:val="20"/>
          <w:szCs w:val="20"/>
        </w:rPr>
        <w:t xml:space="preserve"> of South Dublin County Council</w:t>
      </w:r>
      <w:r w:rsidR="00805DB8">
        <w:rPr>
          <w:rFonts w:ascii="Verdana" w:hAnsi="Verdana" w:cs="Open Sans"/>
          <w:sz w:val="20"/>
          <w:szCs w:val="20"/>
        </w:rPr>
        <w:t xml:space="preserve"> would consider and pass a formal resolution to vary the basic rate of the Local Property Tax at the Council</w:t>
      </w:r>
      <w:r w:rsidR="00BC15EE">
        <w:rPr>
          <w:rFonts w:ascii="Verdana" w:hAnsi="Verdana" w:cs="Open Sans"/>
          <w:sz w:val="20"/>
          <w:szCs w:val="20"/>
        </w:rPr>
        <w:t>’</w:t>
      </w:r>
      <w:r w:rsidR="00805DB8">
        <w:rPr>
          <w:rFonts w:ascii="Verdana" w:hAnsi="Verdana" w:cs="Open Sans"/>
          <w:sz w:val="20"/>
          <w:szCs w:val="20"/>
        </w:rPr>
        <w:t>s September monthly meeting. This year the approach will be different due to</w:t>
      </w:r>
      <w:r w:rsidR="00887851">
        <w:rPr>
          <w:rFonts w:ascii="Verdana" w:hAnsi="Verdana" w:cs="Open Sans"/>
          <w:sz w:val="20"/>
          <w:szCs w:val="20"/>
        </w:rPr>
        <w:t>:</w:t>
      </w:r>
    </w:p>
    <w:p w14:paraId="1C7D68F0" w14:textId="7FEF6309" w:rsidR="00805DB8" w:rsidRDefault="00805DB8" w:rsidP="00805DB8">
      <w:pPr>
        <w:pStyle w:val="NoSpacing"/>
        <w:numPr>
          <w:ilvl w:val="0"/>
          <w:numId w:val="16"/>
        </w:numPr>
        <w:spacing w:line="360" w:lineRule="auto"/>
        <w:jc w:val="both"/>
        <w:rPr>
          <w:rFonts w:ascii="Verdana" w:hAnsi="Verdana" w:cs="Open Sans"/>
          <w:sz w:val="20"/>
          <w:szCs w:val="20"/>
        </w:rPr>
      </w:pPr>
      <w:r>
        <w:rPr>
          <w:rFonts w:ascii="Verdana" w:hAnsi="Verdana" w:cs="Open Sans"/>
          <w:sz w:val="20"/>
          <w:szCs w:val="20"/>
        </w:rPr>
        <w:t>Local Property Tax (Local Adjustment Factor)</w:t>
      </w:r>
      <w:r w:rsidR="00F77D9A">
        <w:rPr>
          <w:rFonts w:ascii="Verdana" w:hAnsi="Verdana" w:cs="Open Sans"/>
          <w:sz w:val="20"/>
          <w:szCs w:val="20"/>
        </w:rPr>
        <w:t xml:space="preserve"> </w:t>
      </w:r>
      <w:r>
        <w:rPr>
          <w:rFonts w:ascii="Verdana" w:hAnsi="Verdana" w:cs="Open Sans"/>
          <w:sz w:val="20"/>
          <w:szCs w:val="20"/>
        </w:rPr>
        <w:t>(Amendment) Regulations 2021</w:t>
      </w:r>
    </w:p>
    <w:p w14:paraId="0F567EA0" w14:textId="153ED1CA" w:rsidR="00805DB8" w:rsidRDefault="00805DB8" w:rsidP="00805DB8">
      <w:pPr>
        <w:pStyle w:val="NoSpacing"/>
        <w:numPr>
          <w:ilvl w:val="0"/>
          <w:numId w:val="16"/>
        </w:numPr>
        <w:spacing w:line="360" w:lineRule="auto"/>
        <w:jc w:val="both"/>
        <w:rPr>
          <w:rFonts w:ascii="Verdana" w:hAnsi="Verdana" w:cs="Open Sans"/>
          <w:sz w:val="20"/>
          <w:szCs w:val="20"/>
        </w:rPr>
      </w:pPr>
      <w:r>
        <w:rPr>
          <w:rFonts w:ascii="Verdana" w:hAnsi="Verdana" w:cs="Open Sans"/>
          <w:sz w:val="20"/>
          <w:szCs w:val="20"/>
        </w:rPr>
        <w:t xml:space="preserve">Finance </w:t>
      </w:r>
      <w:r w:rsidR="00F77D9A">
        <w:rPr>
          <w:rFonts w:ascii="Verdana" w:hAnsi="Verdana" w:cs="Open Sans"/>
          <w:sz w:val="20"/>
          <w:szCs w:val="20"/>
        </w:rPr>
        <w:t>(L</w:t>
      </w:r>
      <w:r>
        <w:rPr>
          <w:rFonts w:ascii="Verdana" w:hAnsi="Verdana" w:cs="Open Sans"/>
          <w:sz w:val="20"/>
          <w:szCs w:val="20"/>
        </w:rPr>
        <w:t>ocal Property Tax)</w:t>
      </w:r>
      <w:r w:rsidR="00F77D9A">
        <w:rPr>
          <w:rFonts w:ascii="Verdana" w:hAnsi="Verdana" w:cs="Open Sans"/>
          <w:sz w:val="20"/>
          <w:szCs w:val="20"/>
        </w:rPr>
        <w:t xml:space="preserve"> </w:t>
      </w:r>
      <w:r>
        <w:rPr>
          <w:rFonts w:ascii="Verdana" w:hAnsi="Verdana" w:cs="Open Sans"/>
          <w:sz w:val="20"/>
          <w:szCs w:val="20"/>
        </w:rPr>
        <w:t>(Amendment) Bill 2021</w:t>
      </w:r>
    </w:p>
    <w:p w14:paraId="7A80FEA2" w14:textId="41B59140" w:rsidR="00805DB8" w:rsidRDefault="00805DB8" w:rsidP="00375793">
      <w:pPr>
        <w:pStyle w:val="NoSpacing"/>
        <w:spacing w:line="360" w:lineRule="auto"/>
        <w:jc w:val="both"/>
        <w:rPr>
          <w:rFonts w:ascii="Verdana" w:hAnsi="Verdana" w:cs="Open Sans"/>
          <w:sz w:val="20"/>
          <w:szCs w:val="20"/>
        </w:rPr>
      </w:pPr>
    </w:p>
    <w:p w14:paraId="6E39A564" w14:textId="7E29FB8A" w:rsidR="00805DB8" w:rsidRPr="00F77D9A" w:rsidRDefault="00805DB8" w:rsidP="00A85174">
      <w:pPr>
        <w:pStyle w:val="NoSpacing"/>
        <w:numPr>
          <w:ilvl w:val="0"/>
          <w:numId w:val="17"/>
        </w:numPr>
        <w:spacing w:line="360" w:lineRule="auto"/>
        <w:jc w:val="both"/>
        <w:rPr>
          <w:rFonts w:ascii="Verdana" w:hAnsi="Verdana" w:cs="Open Sans"/>
          <w:sz w:val="20"/>
          <w:szCs w:val="20"/>
          <w:u w:val="single"/>
        </w:rPr>
      </w:pPr>
      <w:r w:rsidRPr="00F77D9A">
        <w:rPr>
          <w:rFonts w:ascii="Verdana" w:hAnsi="Verdana" w:cs="Open Sans"/>
          <w:sz w:val="20"/>
          <w:szCs w:val="20"/>
          <w:u w:val="single"/>
        </w:rPr>
        <w:t>Local Property Tax (Local Adjustment Factor)</w:t>
      </w:r>
      <w:r w:rsidR="00F77D9A" w:rsidRPr="00F77D9A">
        <w:rPr>
          <w:rFonts w:ascii="Verdana" w:hAnsi="Verdana" w:cs="Open Sans"/>
          <w:sz w:val="20"/>
          <w:szCs w:val="20"/>
          <w:u w:val="single"/>
        </w:rPr>
        <w:t xml:space="preserve"> </w:t>
      </w:r>
      <w:r w:rsidRPr="00F77D9A">
        <w:rPr>
          <w:rFonts w:ascii="Verdana" w:hAnsi="Verdana" w:cs="Open Sans"/>
          <w:sz w:val="20"/>
          <w:szCs w:val="20"/>
          <w:u w:val="single"/>
        </w:rPr>
        <w:t>(Amendment) Regulations 2021</w:t>
      </w:r>
    </w:p>
    <w:p w14:paraId="487C3C22" w14:textId="77777777" w:rsidR="00A85174" w:rsidRDefault="00F77D9A" w:rsidP="00375793">
      <w:pPr>
        <w:pStyle w:val="NoSpacing"/>
        <w:spacing w:line="360" w:lineRule="auto"/>
        <w:jc w:val="both"/>
        <w:rPr>
          <w:rFonts w:ascii="Verdana" w:hAnsi="Verdana" w:cs="Open Sans"/>
          <w:sz w:val="20"/>
          <w:szCs w:val="20"/>
        </w:rPr>
      </w:pPr>
      <w:r>
        <w:rPr>
          <w:rFonts w:ascii="Verdana" w:hAnsi="Verdana" w:cs="Open Sans"/>
          <w:sz w:val="20"/>
          <w:szCs w:val="20"/>
        </w:rPr>
        <w:t>The Local Property Tax (Local Adjustment Factor) (Amendment) Regulations 2021 came into operation on the 10</w:t>
      </w:r>
      <w:r w:rsidRPr="00F77D9A">
        <w:rPr>
          <w:rFonts w:ascii="Verdana" w:hAnsi="Verdana" w:cs="Open Sans"/>
          <w:sz w:val="20"/>
          <w:szCs w:val="20"/>
          <w:vertAlign w:val="superscript"/>
        </w:rPr>
        <w:t>th</w:t>
      </w:r>
      <w:r>
        <w:rPr>
          <w:rFonts w:ascii="Verdana" w:hAnsi="Verdana" w:cs="Open Sans"/>
          <w:sz w:val="20"/>
          <w:szCs w:val="20"/>
        </w:rPr>
        <w:t xml:space="preserve"> June 2021.These regulations amended the </w:t>
      </w:r>
      <w:r w:rsidR="00A85174">
        <w:rPr>
          <w:rFonts w:ascii="Verdana" w:hAnsi="Verdana" w:cs="Open Sans"/>
          <w:sz w:val="20"/>
          <w:szCs w:val="20"/>
        </w:rPr>
        <w:t xml:space="preserve">Local Property Tax (Local Adjustment Factor) (Amendment) Regulations 2014 by </w:t>
      </w:r>
    </w:p>
    <w:p w14:paraId="2C898061" w14:textId="5A1C82E3" w:rsidR="00A85174" w:rsidRDefault="00727812" w:rsidP="00A85174">
      <w:pPr>
        <w:pStyle w:val="NoSpacing"/>
        <w:numPr>
          <w:ilvl w:val="0"/>
          <w:numId w:val="22"/>
        </w:numPr>
        <w:spacing w:line="360" w:lineRule="auto"/>
        <w:jc w:val="both"/>
        <w:rPr>
          <w:rFonts w:ascii="Verdana" w:hAnsi="Verdana" w:cs="Open Sans"/>
          <w:sz w:val="20"/>
          <w:szCs w:val="20"/>
        </w:rPr>
      </w:pPr>
      <w:r>
        <w:rPr>
          <w:rFonts w:ascii="Verdana" w:hAnsi="Verdana" w:cs="Open Sans"/>
          <w:sz w:val="20"/>
          <w:szCs w:val="20"/>
        </w:rPr>
        <w:t>C</w:t>
      </w:r>
      <w:r w:rsidR="00A85174">
        <w:rPr>
          <w:rFonts w:ascii="Verdana" w:hAnsi="Verdana" w:cs="Open Sans"/>
          <w:sz w:val="20"/>
          <w:szCs w:val="20"/>
        </w:rPr>
        <w:t>hanging the duration of the consultation period from a minimum of 30 days to a minimum of 14 days</w:t>
      </w:r>
    </w:p>
    <w:p w14:paraId="6D921C97" w14:textId="1FF4814E" w:rsidR="00805DB8" w:rsidRDefault="00A85174" w:rsidP="00A85174">
      <w:pPr>
        <w:pStyle w:val="NoSpacing"/>
        <w:numPr>
          <w:ilvl w:val="0"/>
          <w:numId w:val="22"/>
        </w:numPr>
        <w:spacing w:line="360" w:lineRule="auto"/>
        <w:jc w:val="both"/>
        <w:rPr>
          <w:rFonts w:ascii="Verdana" w:hAnsi="Verdana" w:cs="Open Sans"/>
          <w:sz w:val="20"/>
          <w:szCs w:val="20"/>
        </w:rPr>
      </w:pPr>
      <w:r>
        <w:rPr>
          <w:rFonts w:ascii="Verdana" w:hAnsi="Verdana" w:cs="Open Sans"/>
          <w:sz w:val="20"/>
          <w:szCs w:val="20"/>
        </w:rPr>
        <w:t>Adjust</w:t>
      </w:r>
      <w:r w:rsidR="00923729">
        <w:rPr>
          <w:rFonts w:ascii="Verdana" w:hAnsi="Verdana" w:cs="Open Sans"/>
          <w:sz w:val="20"/>
          <w:szCs w:val="20"/>
        </w:rPr>
        <w:t>ing</w:t>
      </w:r>
      <w:r>
        <w:rPr>
          <w:rFonts w:ascii="Verdana" w:hAnsi="Verdana" w:cs="Open Sans"/>
          <w:sz w:val="20"/>
          <w:szCs w:val="20"/>
        </w:rPr>
        <w:t xml:space="preserve"> the issues that local authorities must formally consider as part of the local adjustment factor decision. </w:t>
      </w:r>
    </w:p>
    <w:p w14:paraId="550E3226" w14:textId="77777777" w:rsidR="00A85174" w:rsidRDefault="00A85174" w:rsidP="00A85174">
      <w:pPr>
        <w:pStyle w:val="NoSpacing"/>
        <w:spacing w:line="360" w:lineRule="auto"/>
        <w:ind w:left="720"/>
        <w:jc w:val="both"/>
        <w:rPr>
          <w:rFonts w:ascii="Verdana" w:hAnsi="Verdana" w:cs="Open Sans"/>
          <w:sz w:val="20"/>
          <w:szCs w:val="20"/>
        </w:rPr>
      </w:pPr>
    </w:p>
    <w:p w14:paraId="719FEAE7" w14:textId="159273DC" w:rsidR="00A85174" w:rsidRPr="00A85174" w:rsidRDefault="00A85174" w:rsidP="00A85174">
      <w:pPr>
        <w:pStyle w:val="NoSpacing"/>
        <w:spacing w:line="360" w:lineRule="auto"/>
        <w:ind w:left="360"/>
        <w:jc w:val="both"/>
        <w:rPr>
          <w:rFonts w:ascii="Verdana" w:hAnsi="Verdana" w:cs="Open Sans"/>
          <w:sz w:val="20"/>
          <w:szCs w:val="20"/>
          <w:u w:val="single"/>
        </w:rPr>
      </w:pPr>
      <w:r w:rsidRPr="00A85174">
        <w:rPr>
          <w:rFonts w:ascii="Verdana" w:hAnsi="Verdana" w:cs="Open Sans"/>
          <w:sz w:val="20"/>
          <w:szCs w:val="20"/>
          <w:u w:val="single"/>
        </w:rPr>
        <w:t>2. Finance (Local Property Tax) (Amendment) Bill 2021</w:t>
      </w:r>
    </w:p>
    <w:p w14:paraId="5F7EE893" w14:textId="429D653F" w:rsidR="005E70A6" w:rsidRDefault="00B05A1C" w:rsidP="00375793">
      <w:pPr>
        <w:pStyle w:val="NoSpacing"/>
        <w:spacing w:line="360" w:lineRule="auto"/>
        <w:jc w:val="both"/>
        <w:rPr>
          <w:rFonts w:ascii="Verdana" w:hAnsi="Verdana" w:cs="Open Sans"/>
          <w:sz w:val="20"/>
          <w:szCs w:val="20"/>
        </w:rPr>
      </w:pPr>
      <w:r>
        <w:rPr>
          <w:rFonts w:ascii="Verdana" w:hAnsi="Verdana" w:cs="Open Sans"/>
          <w:sz w:val="20"/>
          <w:szCs w:val="20"/>
        </w:rPr>
        <w:t>On the 2</w:t>
      </w:r>
      <w:r w:rsidRPr="00B05A1C">
        <w:rPr>
          <w:rFonts w:ascii="Verdana" w:hAnsi="Verdana" w:cs="Open Sans"/>
          <w:sz w:val="20"/>
          <w:szCs w:val="20"/>
          <w:vertAlign w:val="superscript"/>
        </w:rPr>
        <w:t>nd</w:t>
      </w:r>
      <w:r>
        <w:rPr>
          <w:rFonts w:ascii="Verdana" w:hAnsi="Verdana" w:cs="Open Sans"/>
          <w:sz w:val="20"/>
          <w:szCs w:val="20"/>
        </w:rPr>
        <w:t xml:space="preserve"> of June 2021, the Minister for Finance announced changes to the Local Property Tax (LPT), publishing the heads of the Finance (Local Property Tax) (Amendment) Bill 2021. While the legislative text of the Bill has not yet been released, the heads of the bill gives a clear indication of the measures that the bill is expected to introduce.</w:t>
      </w:r>
      <w:r w:rsidR="00887851">
        <w:rPr>
          <w:rFonts w:ascii="Verdana" w:hAnsi="Verdana" w:cs="Open Sans"/>
          <w:sz w:val="20"/>
          <w:szCs w:val="20"/>
        </w:rPr>
        <w:t xml:space="preserve"> </w:t>
      </w:r>
      <w:r w:rsidR="005E70A6">
        <w:rPr>
          <w:rFonts w:ascii="Verdana" w:hAnsi="Verdana" w:cs="Open Sans"/>
          <w:sz w:val="20"/>
          <w:szCs w:val="20"/>
        </w:rPr>
        <w:t>Some of the main new measures included in the bill are:</w:t>
      </w:r>
    </w:p>
    <w:p w14:paraId="7B996ECB" w14:textId="727868EA" w:rsidR="005E70A6" w:rsidRDefault="005E70A6"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Specifying 1</w:t>
      </w:r>
      <w:r w:rsidRPr="005E70A6">
        <w:rPr>
          <w:rFonts w:ascii="Verdana" w:hAnsi="Verdana" w:cs="Open Sans"/>
          <w:sz w:val="20"/>
          <w:szCs w:val="20"/>
          <w:vertAlign w:val="superscript"/>
        </w:rPr>
        <w:t>st</w:t>
      </w:r>
      <w:r>
        <w:rPr>
          <w:rFonts w:ascii="Verdana" w:hAnsi="Verdana" w:cs="Open Sans"/>
          <w:sz w:val="20"/>
          <w:szCs w:val="20"/>
        </w:rPr>
        <w:t xml:space="preserve"> November 2021 as the next valuation date for LPT purposes</w:t>
      </w:r>
    </w:p>
    <w:p w14:paraId="105DDE4F" w14:textId="6A678E23"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Change the Local Adjustment Factor (LAF) notification date</w:t>
      </w:r>
    </w:p>
    <w:p w14:paraId="15BBFD78" w14:textId="77777777" w:rsidR="004D74BF" w:rsidRDefault="005E70A6"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Property Valuations will be reviewed every 4 years (previously 3 years)</w:t>
      </w:r>
    </w:p>
    <w:p w14:paraId="7E98B001" w14:textId="21C4CB67" w:rsidR="005E70A6" w:rsidRDefault="00D37740"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Bring certain currently exempted and excluded properties into the taxation system</w:t>
      </w:r>
    </w:p>
    <w:p w14:paraId="7276C399" w14:textId="1B081B96" w:rsidR="00D37740" w:rsidRDefault="00D37740"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Regularly bring new properties within the LPT charge</w:t>
      </w:r>
    </w:p>
    <w:p w14:paraId="24323271" w14:textId="77777777"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End certain exemptions (first time buyers and unsold trading stock)</w:t>
      </w:r>
    </w:p>
    <w:p w14:paraId="211709B5" w14:textId="67F7B045"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Cessation of exemptions between valuations</w:t>
      </w:r>
    </w:p>
    <w:p w14:paraId="1107C760" w14:textId="77777777"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lastRenderedPageBreak/>
        <w:t>Modify the exemption for properties vacated by persons due to illness</w:t>
      </w:r>
    </w:p>
    <w:p w14:paraId="2724F792" w14:textId="6F507E11"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Increase thresholds for deferrals</w:t>
      </w:r>
    </w:p>
    <w:p w14:paraId="7E014749" w14:textId="600FF63A" w:rsidR="004D74BF" w:rsidRDefault="004D74BF" w:rsidP="004D74BF">
      <w:pPr>
        <w:pStyle w:val="NoSpacing"/>
        <w:numPr>
          <w:ilvl w:val="0"/>
          <w:numId w:val="24"/>
        </w:numPr>
        <w:spacing w:line="360" w:lineRule="auto"/>
        <w:jc w:val="both"/>
        <w:rPr>
          <w:rFonts w:ascii="Verdana" w:hAnsi="Verdana" w:cs="Open Sans"/>
          <w:sz w:val="20"/>
          <w:szCs w:val="20"/>
        </w:rPr>
      </w:pPr>
      <w:r>
        <w:rPr>
          <w:rFonts w:ascii="Verdana" w:hAnsi="Verdana" w:cs="Open Sans"/>
          <w:sz w:val="20"/>
          <w:szCs w:val="20"/>
        </w:rPr>
        <w:t>A number of administrative and technical reforms</w:t>
      </w:r>
    </w:p>
    <w:p w14:paraId="0A8BEF50" w14:textId="7A443156" w:rsidR="005E70A6" w:rsidRDefault="005E70A6" w:rsidP="00375793">
      <w:pPr>
        <w:pStyle w:val="NoSpacing"/>
        <w:spacing w:line="360" w:lineRule="auto"/>
        <w:jc w:val="both"/>
        <w:rPr>
          <w:rFonts w:ascii="Verdana" w:hAnsi="Verdana" w:cs="Open Sans"/>
          <w:sz w:val="20"/>
          <w:szCs w:val="20"/>
        </w:rPr>
      </w:pPr>
      <w:r>
        <w:rPr>
          <w:rFonts w:ascii="Verdana" w:hAnsi="Verdana" w:cs="Open Sans"/>
          <w:sz w:val="20"/>
          <w:szCs w:val="20"/>
        </w:rPr>
        <w:t xml:space="preserve"> </w:t>
      </w:r>
    </w:p>
    <w:p w14:paraId="1EA35946" w14:textId="11BF5A6C" w:rsidR="004D74BF" w:rsidRDefault="006E74C8" w:rsidP="00375793">
      <w:pPr>
        <w:pStyle w:val="NoSpacing"/>
        <w:spacing w:line="360" w:lineRule="auto"/>
        <w:jc w:val="both"/>
        <w:rPr>
          <w:rFonts w:ascii="Verdana" w:hAnsi="Verdana" w:cs="Open Sans"/>
          <w:sz w:val="20"/>
          <w:szCs w:val="20"/>
        </w:rPr>
      </w:pPr>
      <w:r>
        <w:rPr>
          <w:rFonts w:ascii="Verdana" w:hAnsi="Verdana" w:cs="Open Sans"/>
          <w:sz w:val="20"/>
          <w:szCs w:val="20"/>
        </w:rPr>
        <w:t>The Department</w:t>
      </w:r>
      <w:r w:rsidR="00887851">
        <w:rPr>
          <w:rFonts w:ascii="Verdana" w:hAnsi="Verdana" w:cs="Open Sans"/>
          <w:sz w:val="20"/>
          <w:szCs w:val="20"/>
        </w:rPr>
        <w:t xml:space="preserve"> of Finance</w:t>
      </w:r>
      <w:r>
        <w:rPr>
          <w:rFonts w:ascii="Verdana" w:hAnsi="Verdana" w:cs="Open Sans"/>
          <w:sz w:val="20"/>
          <w:szCs w:val="20"/>
        </w:rPr>
        <w:t xml:space="preserve"> have</w:t>
      </w:r>
      <w:r w:rsidR="00EA0854">
        <w:rPr>
          <w:rFonts w:ascii="Verdana" w:hAnsi="Verdana" w:cs="Open Sans"/>
          <w:sz w:val="20"/>
          <w:szCs w:val="20"/>
        </w:rPr>
        <w:t xml:space="preserve"> estimated </w:t>
      </w:r>
      <w:r w:rsidR="00BC15EE">
        <w:rPr>
          <w:rFonts w:ascii="Verdana" w:hAnsi="Verdana" w:cs="Open Sans"/>
          <w:sz w:val="20"/>
          <w:szCs w:val="20"/>
        </w:rPr>
        <w:t xml:space="preserve">that </w:t>
      </w:r>
      <w:r w:rsidR="00EA0854">
        <w:rPr>
          <w:rFonts w:ascii="Verdana" w:hAnsi="Verdana" w:cs="Open Sans"/>
          <w:sz w:val="20"/>
          <w:szCs w:val="20"/>
        </w:rPr>
        <w:t>f</w:t>
      </w:r>
      <w:r w:rsidR="001519F9">
        <w:rPr>
          <w:rFonts w:ascii="Verdana" w:hAnsi="Verdana" w:cs="Open Sans"/>
          <w:sz w:val="20"/>
          <w:szCs w:val="20"/>
        </w:rPr>
        <w:t>or those already paying LPT, it is expected that up to 53% of tax payers should not experience any change in their LPT liability as a result of the new measures, whereas 11% of the tax payers</w:t>
      </w:r>
      <w:r w:rsidR="00EA0854">
        <w:rPr>
          <w:rFonts w:ascii="Verdana" w:hAnsi="Verdana" w:cs="Open Sans"/>
          <w:sz w:val="20"/>
          <w:szCs w:val="20"/>
        </w:rPr>
        <w:t xml:space="preserve"> should see a decrease in their liability. Of the remaining 36%, the liability of 33% of taxpayers should increase by no more than €100 with 3% expected to incur an increase of over €100</w:t>
      </w:r>
      <w:r>
        <w:rPr>
          <w:rFonts w:ascii="Verdana" w:hAnsi="Verdana" w:cs="Open Sans"/>
          <w:sz w:val="20"/>
          <w:szCs w:val="20"/>
        </w:rPr>
        <w:t>. Details in the proposed changes to tax bands and charges are shown in the table below.</w:t>
      </w:r>
    </w:p>
    <w:p w14:paraId="0334FAA8" w14:textId="77777777" w:rsidR="006E74C8" w:rsidRDefault="006E74C8" w:rsidP="00375793">
      <w:pPr>
        <w:pStyle w:val="NoSpacing"/>
        <w:spacing w:line="360" w:lineRule="auto"/>
        <w:jc w:val="both"/>
        <w:rPr>
          <w:rFonts w:ascii="Verdana" w:hAnsi="Verdana" w:cs="Open Sans"/>
          <w:sz w:val="20"/>
          <w:szCs w:val="20"/>
        </w:rPr>
      </w:pPr>
    </w:p>
    <w:tbl>
      <w:tblPr>
        <w:tblW w:w="8380" w:type="dxa"/>
        <w:tblLook w:val="04A0" w:firstRow="1" w:lastRow="0" w:firstColumn="1" w:lastColumn="0" w:noHBand="0" w:noVBand="1"/>
      </w:tblPr>
      <w:tblGrid>
        <w:gridCol w:w="3160"/>
        <w:gridCol w:w="1088"/>
        <w:gridCol w:w="2812"/>
        <w:gridCol w:w="1320"/>
      </w:tblGrid>
      <w:tr w:rsidR="006E74C8" w:rsidRPr="006E74C8" w14:paraId="07FC51F9" w14:textId="77777777" w:rsidTr="006E74C8">
        <w:trPr>
          <w:trHeight w:val="312"/>
        </w:trPr>
        <w:tc>
          <w:tcPr>
            <w:tcW w:w="83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AA22C" w14:textId="77777777" w:rsidR="006E74C8" w:rsidRPr="006E74C8" w:rsidRDefault="006E74C8" w:rsidP="006E74C8">
            <w:pPr>
              <w:jc w:val="center"/>
              <w:rPr>
                <w:rFonts w:ascii="Lato" w:hAnsi="Lato" w:cs="Calibri"/>
                <w:b/>
                <w:bCs/>
                <w:color w:val="000000"/>
                <w:sz w:val="24"/>
                <w:szCs w:val="24"/>
                <w:lang w:val="en-IE" w:eastAsia="en-IE"/>
              </w:rPr>
            </w:pPr>
            <w:r w:rsidRPr="006E74C8">
              <w:rPr>
                <w:rFonts w:ascii="Lato" w:hAnsi="Lato" w:cs="Calibri"/>
                <w:b/>
                <w:bCs/>
                <w:color w:val="000000"/>
                <w:sz w:val="24"/>
                <w:szCs w:val="24"/>
                <w:lang w:val="en-IE" w:eastAsia="en-IE"/>
              </w:rPr>
              <w:t>New Band Structure:</w:t>
            </w:r>
            <w:r w:rsidRPr="006E74C8">
              <w:rPr>
                <w:rFonts w:ascii="Lato" w:hAnsi="Lato" w:cs="Calibri"/>
                <w:color w:val="000000"/>
                <w:sz w:val="24"/>
                <w:szCs w:val="24"/>
                <w:lang w:val="en-IE" w:eastAsia="en-IE"/>
              </w:rPr>
              <w:t xml:space="preserve"> </w:t>
            </w:r>
          </w:p>
        </w:tc>
      </w:tr>
      <w:tr w:rsidR="006E74C8" w:rsidRPr="006E74C8" w14:paraId="0AB23F6D" w14:textId="77777777" w:rsidTr="006E74C8">
        <w:trPr>
          <w:trHeight w:val="312"/>
        </w:trPr>
        <w:tc>
          <w:tcPr>
            <w:tcW w:w="4248" w:type="dxa"/>
            <w:gridSpan w:val="2"/>
            <w:tcBorders>
              <w:top w:val="single" w:sz="4" w:space="0" w:color="auto"/>
              <w:left w:val="single" w:sz="4" w:space="0" w:color="auto"/>
              <w:bottom w:val="single" w:sz="4" w:space="0" w:color="auto"/>
              <w:right w:val="single" w:sz="4" w:space="0" w:color="auto"/>
            </w:tcBorders>
            <w:shd w:val="clear" w:color="000000" w:fill="ACB9CA"/>
            <w:vAlign w:val="center"/>
            <w:hideMark/>
          </w:tcPr>
          <w:p w14:paraId="75E164B7" w14:textId="77777777" w:rsidR="006E74C8" w:rsidRPr="006E74C8" w:rsidRDefault="006E74C8" w:rsidP="006E74C8">
            <w:pPr>
              <w:jc w:val="center"/>
              <w:rPr>
                <w:rFonts w:ascii="Lato" w:hAnsi="Lato" w:cs="Calibri"/>
                <w:b/>
                <w:bCs/>
                <w:color w:val="000000"/>
                <w:sz w:val="24"/>
                <w:szCs w:val="24"/>
                <w:lang w:val="en-IE" w:eastAsia="en-IE"/>
              </w:rPr>
            </w:pPr>
            <w:r w:rsidRPr="006E74C8">
              <w:rPr>
                <w:rFonts w:ascii="Lato" w:hAnsi="Lato" w:cs="Calibri"/>
                <w:b/>
                <w:bCs/>
                <w:color w:val="000000"/>
                <w:sz w:val="24"/>
                <w:szCs w:val="24"/>
                <w:lang w:val="en-IE" w:eastAsia="en-IE"/>
              </w:rPr>
              <w:t>Current Band Structure</w:t>
            </w:r>
            <w:r w:rsidRPr="006E74C8">
              <w:rPr>
                <w:rFonts w:ascii="Lato" w:hAnsi="Lato" w:cs="Calibri"/>
                <w:color w:val="000000"/>
                <w:sz w:val="24"/>
                <w:szCs w:val="24"/>
                <w:lang w:val="en-IE" w:eastAsia="en-IE"/>
              </w:rPr>
              <w:t xml:space="preserve"> </w:t>
            </w:r>
          </w:p>
        </w:tc>
        <w:tc>
          <w:tcPr>
            <w:tcW w:w="4132" w:type="dxa"/>
            <w:gridSpan w:val="2"/>
            <w:tcBorders>
              <w:top w:val="single" w:sz="4" w:space="0" w:color="auto"/>
              <w:left w:val="nil"/>
              <w:bottom w:val="single" w:sz="4" w:space="0" w:color="auto"/>
              <w:right w:val="single" w:sz="4" w:space="0" w:color="auto"/>
            </w:tcBorders>
            <w:shd w:val="clear" w:color="000000" w:fill="FFE699"/>
            <w:vAlign w:val="center"/>
            <w:hideMark/>
          </w:tcPr>
          <w:p w14:paraId="62E1C793" w14:textId="77777777" w:rsidR="006E74C8" w:rsidRPr="006E74C8" w:rsidRDefault="006E74C8" w:rsidP="006E74C8">
            <w:pPr>
              <w:jc w:val="center"/>
              <w:rPr>
                <w:rFonts w:ascii="Lato" w:hAnsi="Lato" w:cs="Calibri"/>
                <w:b/>
                <w:bCs/>
                <w:color w:val="000000"/>
                <w:sz w:val="24"/>
                <w:szCs w:val="24"/>
                <w:lang w:val="en-IE" w:eastAsia="en-IE"/>
              </w:rPr>
            </w:pPr>
            <w:r w:rsidRPr="006E74C8">
              <w:rPr>
                <w:rFonts w:ascii="Lato" w:hAnsi="Lato" w:cs="Calibri"/>
                <w:b/>
                <w:bCs/>
                <w:color w:val="000000"/>
                <w:sz w:val="24"/>
                <w:szCs w:val="24"/>
                <w:lang w:val="en-IE" w:eastAsia="en-IE"/>
              </w:rPr>
              <w:t>Proposed</w:t>
            </w:r>
            <w:r w:rsidRPr="006E74C8">
              <w:rPr>
                <w:rFonts w:ascii="Lato" w:hAnsi="Lato" w:cs="Calibri"/>
                <w:color w:val="000000"/>
                <w:sz w:val="24"/>
                <w:szCs w:val="24"/>
                <w:lang w:val="en-IE" w:eastAsia="en-IE"/>
              </w:rPr>
              <w:t xml:space="preserve"> </w:t>
            </w:r>
          </w:p>
        </w:tc>
      </w:tr>
      <w:tr w:rsidR="006E74C8" w:rsidRPr="006E74C8" w14:paraId="4179C458"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7337F716"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Band </w:t>
            </w:r>
          </w:p>
        </w:tc>
        <w:tc>
          <w:tcPr>
            <w:tcW w:w="1088" w:type="dxa"/>
            <w:tcBorders>
              <w:top w:val="nil"/>
              <w:left w:val="nil"/>
              <w:bottom w:val="single" w:sz="4" w:space="0" w:color="auto"/>
              <w:right w:val="single" w:sz="4" w:space="0" w:color="auto"/>
            </w:tcBorders>
            <w:shd w:val="clear" w:color="000000" w:fill="ACB9CA"/>
            <w:vAlign w:val="center"/>
            <w:hideMark/>
          </w:tcPr>
          <w:p w14:paraId="450EF390"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Charge</w:t>
            </w:r>
          </w:p>
        </w:tc>
        <w:tc>
          <w:tcPr>
            <w:tcW w:w="2812" w:type="dxa"/>
            <w:tcBorders>
              <w:top w:val="nil"/>
              <w:left w:val="nil"/>
              <w:bottom w:val="single" w:sz="4" w:space="0" w:color="auto"/>
              <w:right w:val="single" w:sz="4" w:space="0" w:color="auto"/>
            </w:tcBorders>
            <w:shd w:val="clear" w:color="000000" w:fill="FFE699"/>
            <w:vAlign w:val="center"/>
            <w:hideMark/>
          </w:tcPr>
          <w:p w14:paraId="69A2BCCB"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Band </w:t>
            </w:r>
          </w:p>
        </w:tc>
        <w:tc>
          <w:tcPr>
            <w:tcW w:w="1320" w:type="dxa"/>
            <w:tcBorders>
              <w:top w:val="nil"/>
              <w:left w:val="nil"/>
              <w:bottom w:val="single" w:sz="4" w:space="0" w:color="auto"/>
              <w:right w:val="single" w:sz="4" w:space="0" w:color="auto"/>
            </w:tcBorders>
            <w:shd w:val="clear" w:color="000000" w:fill="FFE699"/>
            <w:vAlign w:val="center"/>
            <w:hideMark/>
          </w:tcPr>
          <w:p w14:paraId="23319DA7"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Charge </w:t>
            </w:r>
          </w:p>
        </w:tc>
      </w:tr>
      <w:tr w:rsidR="006E74C8" w:rsidRPr="006E74C8" w14:paraId="633562A7"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776E320A"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0 – 100,000 </w:t>
            </w:r>
          </w:p>
        </w:tc>
        <w:tc>
          <w:tcPr>
            <w:tcW w:w="1088" w:type="dxa"/>
            <w:tcBorders>
              <w:top w:val="nil"/>
              <w:left w:val="nil"/>
              <w:bottom w:val="single" w:sz="4" w:space="0" w:color="auto"/>
              <w:right w:val="single" w:sz="4" w:space="0" w:color="auto"/>
            </w:tcBorders>
            <w:shd w:val="clear" w:color="000000" w:fill="ACB9CA"/>
            <w:vAlign w:val="center"/>
            <w:hideMark/>
          </w:tcPr>
          <w:p w14:paraId="5982B42D"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90 </w:t>
            </w:r>
          </w:p>
        </w:tc>
        <w:tc>
          <w:tcPr>
            <w:tcW w:w="2812" w:type="dxa"/>
            <w:tcBorders>
              <w:top w:val="nil"/>
              <w:left w:val="nil"/>
              <w:bottom w:val="single" w:sz="4" w:space="0" w:color="auto"/>
              <w:right w:val="single" w:sz="4" w:space="0" w:color="auto"/>
            </w:tcBorders>
            <w:shd w:val="clear" w:color="000000" w:fill="FFE699"/>
            <w:vAlign w:val="center"/>
            <w:hideMark/>
          </w:tcPr>
          <w:p w14:paraId="0646F6A5"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 – 200,000 </w:t>
            </w:r>
          </w:p>
        </w:tc>
        <w:tc>
          <w:tcPr>
            <w:tcW w:w="1320" w:type="dxa"/>
            <w:tcBorders>
              <w:top w:val="nil"/>
              <w:left w:val="nil"/>
              <w:bottom w:val="single" w:sz="4" w:space="0" w:color="auto"/>
              <w:right w:val="single" w:sz="4" w:space="0" w:color="auto"/>
            </w:tcBorders>
            <w:shd w:val="clear" w:color="000000" w:fill="FFE699"/>
            <w:vAlign w:val="center"/>
            <w:hideMark/>
          </w:tcPr>
          <w:p w14:paraId="6B70D8AD"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90 </w:t>
            </w:r>
          </w:p>
        </w:tc>
      </w:tr>
      <w:tr w:rsidR="006E74C8" w:rsidRPr="006E74C8" w14:paraId="61AE9F67"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1216799C"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100,001 – 150,000 </w:t>
            </w:r>
          </w:p>
        </w:tc>
        <w:tc>
          <w:tcPr>
            <w:tcW w:w="1088" w:type="dxa"/>
            <w:tcBorders>
              <w:top w:val="nil"/>
              <w:left w:val="nil"/>
              <w:bottom w:val="single" w:sz="4" w:space="0" w:color="auto"/>
              <w:right w:val="single" w:sz="4" w:space="0" w:color="auto"/>
            </w:tcBorders>
            <w:shd w:val="clear" w:color="000000" w:fill="ACB9CA"/>
            <w:vAlign w:val="center"/>
            <w:hideMark/>
          </w:tcPr>
          <w:p w14:paraId="03442074"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225 </w:t>
            </w:r>
          </w:p>
        </w:tc>
        <w:tc>
          <w:tcPr>
            <w:tcW w:w="2812" w:type="dxa"/>
            <w:tcBorders>
              <w:top w:val="nil"/>
              <w:left w:val="nil"/>
              <w:bottom w:val="single" w:sz="4" w:space="0" w:color="auto"/>
              <w:right w:val="single" w:sz="4" w:space="0" w:color="auto"/>
            </w:tcBorders>
            <w:shd w:val="clear" w:color="000000" w:fill="FFE699"/>
            <w:vAlign w:val="center"/>
            <w:hideMark/>
          </w:tcPr>
          <w:p w14:paraId="679DC041"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200,000 – 262,500 </w:t>
            </w:r>
          </w:p>
        </w:tc>
        <w:tc>
          <w:tcPr>
            <w:tcW w:w="1320" w:type="dxa"/>
            <w:tcBorders>
              <w:top w:val="nil"/>
              <w:left w:val="nil"/>
              <w:bottom w:val="single" w:sz="4" w:space="0" w:color="auto"/>
              <w:right w:val="single" w:sz="4" w:space="0" w:color="auto"/>
            </w:tcBorders>
            <w:shd w:val="clear" w:color="000000" w:fill="FFE699"/>
            <w:vAlign w:val="center"/>
            <w:hideMark/>
          </w:tcPr>
          <w:p w14:paraId="29E56DB6"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225 </w:t>
            </w:r>
          </w:p>
        </w:tc>
      </w:tr>
      <w:tr w:rsidR="006E74C8" w:rsidRPr="006E74C8" w14:paraId="1AB27506"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03262CC8"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150,001 – 200,000 </w:t>
            </w:r>
          </w:p>
        </w:tc>
        <w:tc>
          <w:tcPr>
            <w:tcW w:w="1088" w:type="dxa"/>
            <w:tcBorders>
              <w:top w:val="nil"/>
              <w:left w:val="nil"/>
              <w:bottom w:val="single" w:sz="4" w:space="0" w:color="auto"/>
              <w:right w:val="single" w:sz="4" w:space="0" w:color="auto"/>
            </w:tcBorders>
            <w:shd w:val="clear" w:color="000000" w:fill="ACB9CA"/>
            <w:vAlign w:val="center"/>
            <w:hideMark/>
          </w:tcPr>
          <w:p w14:paraId="6A909985"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315 </w:t>
            </w:r>
          </w:p>
        </w:tc>
        <w:tc>
          <w:tcPr>
            <w:tcW w:w="2812" w:type="dxa"/>
            <w:tcBorders>
              <w:top w:val="nil"/>
              <w:left w:val="nil"/>
              <w:bottom w:val="single" w:sz="4" w:space="0" w:color="auto"/>
              <w:right w:val="single" w:sz="4" w:space="0" w:color="auto"/>
            </w:tcBorders>
            <w:shd w:val="clear" w:color="000000" w:fill="FFE699"/>
            <w:vAlign w:val="center"/>
            <w:hideMark/>
          </w:tcPr>
          <w:p w14:paraId="485E6B3E"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262,501 – 350,000 </w:t>
            </w:r>
          </w:p>
        </w:tc>
        <w:tc>
          <w:tcPr>
            <w:tcW w:w="1320" w:type="dxa"/>
            <w:tcBorders>
              <w:top w:val="nil"/>
              <w:left w:val="nil"/>
              <w:bottom w:val="single" w:sz="4" w:space="0" w:color="auto"/>
              <w:right w:val="single" w:sz="4" w:space="0" w:color="auto"/>
            </w:tcBorders>
            <w:shd w:val="clear" w:color="000000" w:fill="FFE699"/>
            <w:vAlign w:val="center"/>
            <w:hideMark/>
          </w:tcPr>
          <w:p w14:paraId="694517E4"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315 </w:t>
            </w:r>
          </w:p>
        </w:tc>
      </w:tr>
      <w:tr w:rsidR="006E74C8" w:rsidRPr="006E74C8" w14:paraId="1DD57686"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4B402FEF"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200,001 – 250,000 </w:t>
            </w:r>
          </w:p>
        </w:tc>
        <w:tc>
          <w:tcPr>
            <w:tcW w:w="1088" w:type="dxa"/>
            <w:tcBorders>
              <w:top w:val="nil"/>
              <w:left w:val="nil"/>
              <w:bottom w:val="single" w:sz="4" w:space="0" w:color="auto"/>
              <w:right w:val="single" w:sz="4" w:space="0" w:color="auto"/>
            </w:tcBorders>
            <w:shd w:val="clear" w:color="000000" w:fill="ACB9CA"/>
            <w:vAlign w:val="center"/>
            <w:hideMark/>
          </w:tcPr>
          <w:p w14:paraId="787BCBF9"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405 </w:t>
            </w:r>
          </w:p>
        </w:tc>
        <w:tc>
          <w:tcPr>
            <w:tcW w:w="2812" w:type="dxa"/>
            <w:tcBorders>
              <w:top w:val="nil"/>
              <w:left w:val="nil"/>
              <w:bottom w:val="single" w:sz="4" w:space="0" w:color="auto"/>
              <w:right w:val="single" w:sz="4" w:space="0" w:color="auto"/>
            </w:tcBorders>
            <w:shd w:val="clear" w:color="000000" w:fill="FFE699"/>
            <w:vAlign w:val="center"/>
            <w:hideMark/>
          </w:tcPr>
          <w:p w14:paraId="404CFBBB"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350,000 – 437,500 </w:t>
            </w:r>
          </w:p>
        </w:tc>
        <w:tc>
          <w:tcPr>
            <w:tcW w:w="1320" w:type="dxa"/>
            <w:tcBorders>
              <w:top w:val="nil"/>
              <w:left w:val="nil"/>
              <w:bottom w:val="single" w:sz="4" w:space="0" w:color="auto"/>
              <w:right w:val="single" w:sz="4" w:space="0" w:color="auto"/>
            </w:tcBorders>
            <w:shd w:val="clear" w:color="000000" w:fill="FFE699"/>
            <w:vAlign w:val="center"/>
            <w:hideMark/>
          </w:tcPr>
          <w:p w14:paraId="6461FA8A"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405 </w:t>
            </w:r>
          </w:p>
        </w:tc>
      </w:tr>
      <w:tr w:rsidR="006E74C8" w:rsidRPr="006E74C8" w14:paraId="4A62AFE1"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2130A5DC"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250,001 – 300,000 </w:t>
            </w:r>
          </w:p>
        </w:tc>
        <w:tc>
          <w:tcPr>
            <w:tcW w:w="1088" w:type="dxa"/>
            <w:tcBorders>
              <w:top w:val="nil"/>
              <w:left w:val="nil"/>
              <w:bottom w:val="single" w:sz="4" w:space="0" w:color="auto"/>
              <w:right w:val="single" w:sz="4" w:space="0" w:color="auto"/>
            </w:tcBorders>
            <w:shd w:val="clear" w:color="000000" w:fill="ACB9CA"/>
            <w:vAlign w:val="center"/>
            <w:hideMark/>
          </w:tcPr>
          <w:p w14:paraId="62579EB8"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495 </w:t>
            </w:r>
          </w:p>
        </w:tc>
        <w:tc>
          <w:tcPr>
            <w:tcW w:w="2812" w:type="dxa"/>
            <w:tcBorders>
              <w:top w:val="nil"/>
              <w:left w:val="nil"/>
              <w:bottom w:val="single" w:sz="4" w:space="0" w:color="auto"/>
              <w:right w:val="single" w:sz="4" w:space="0" w:color="auto"/>
            </w:tcBorders>
            <w:shd w:val="clear" w:color="000000" w:fill="FFE699"/>
            <w:vAlign w:val="center"/>
            <w:hideMark/>
          </w:tcPr>
          <w:p w14:paraId="5670E2B7"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437,501 – 525,000 </w:t>
            </w:r>
          </w:p>
        </w:tc>
        <w:tc>
          <w:tcPr>
            <w:tcW w:w="1320" w:type="dxa"/>
            <w:tcBorders>
              <w:top w:val="nil"/>
              <w:left w:val="nil"/>
              <w:bottom w:val="single" w:sz="4" w:space="0" w:color="auto"/>
              <w:right w:val="single" w:sz="4" w:space="0" w:color="auto"/>
            </w:tcBorders>
            <w:shd w:val="clear" w:color="000000" w:fill="FFE699"/>
            <w:vAlign w:val="center"/>
            <w:hideMark/>
          </w:tcPr>
          <w:p w14:paraId="43B67992"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495 </w:t>
            </w:r>
          </w:p>
        </w:tc>
      </w:tr>
      <w:tr w:rsidR="006E74C8" w:rsidRPr="006E74C8" w14:paraId="5FD0044E"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47021C69"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300,001 – 350,000 </w:t>
            </w:r>
          </w:p>
        </w:tc>
        <w:tc>
          <w:tcPr>
            <w:tcW w:w="1088" w:type="dxa"/>
            <w:tcBorders>
              <w:top w:val="nil"/>
              <w:left w:val="nil"/>
              <w:bottom w:val="single" w:sz="4" w:space="0" w:color="auto"/>
              <w:right w:val="single" w:sz="4" w:space="0" w:color="auto"/>
            </w:tcBorders>
            <w:shd w:val="clear" w:color="000000" w:fill="ACB9CA"/>
            <w:vAlign w:val="center"/>
            <w:hideMark/>
          </w:tcPr>
          <w:p w14:paraId="3708C189"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585 </w:t>
            </w:r>
          </w:p>
        </w:tc>
        <w:tc>
          <w:tcPr>
            <w:tcW w:w="2812" w:type="dxa"/>
            <w:tcBorders>
              <w:top w:val="nil"/>
              <w:left w:val="nil"/>
              <w:bottom w:val="single" w:sz="4" w:space="0" w:color="auto"/>
              <w:right w:val="single" w:sz="4" w:space="0" w:color="auto"/>
            </w:tcBorders>
            <w:shd w:val="clear" w:color="000000" w:fill="FFE699"/>
            <w:vAlign w:val="center"/>
            <w:hideMark/>
          </w:tcPr>
          <w:p w14:paraId="65F572FE"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525,001 – 612,500 </w:t>
            </w:r>
          </w:p>
        </w:tc>
        <w:tc>
          <w:tcPr>
            <w:tcW w:w="1320" w:type="dxa"/>
            <w:tcBorders>
              <w:top w:val="nil"/>
              <w:left w:val="nil"/>
              <w:bottom w:val="single" w:sz="4" w:space="0" w:color="auto"/>
              <w:right w:val="single" w:sz="4" w:space="0" w:color="auto"/>
            </w:tcBorders>
            <w:shd w:val="clear" w:color="000000" w:fill="FFE699"/>
            <w:vAlign w:val="center"/>
            <w:hideMark/>
          </w:tcPr>
          <w:p w14:paraId="14496C64"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585 </w:t>
            </w:r>
          </w:p>
        </w:tc>
      </w:tr>
      <w:tr w:rsidR="006E74C8" w:rsidRPr="006E74C8" w14:paraId="50A8011F"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4A420538"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350,001 – 400,000 </w:t>
            </w:r>
          </w:p>
        </w:tc>
        <w:tc>
          <w:tcPr>
            <w:tcW w:w="1088" w:type="dxa"/>
            <w:tcBorders>
              <w:top w:val="nil"/>
              <w:left w:val="nil"/>
              <w:bottom w:val="single" w:sz="4" w:space="0" w:color="auto"/>
              <w:right w:val="single" w:sz="4" w:space="0" w:color="auto"/>
            </w:tcBorders>
            <w:shd w:val="clear" w:color="000000" w:fill="ACB9CA"/>
            <w:vAlign w:val="center"/>
            <w:hideMark/>
          </w:tcPr>
          <w:p w14:paraId="61CF09DC"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675 </w:t>
            </w:r>
          </w:p>
        </w:tc>
        <w:tc>
          <w:tcPr>
            <w:tcW w:w="2812" w:type="dxa"/>
            <w:tcBorders>
              <w:top w:val="nil"/>
              <w:left w:val="nil"/>
              <w:bottom w:val="single" w:sz="4" w:space="0" w:color="auto"/>
              <w:right w:val="single" w:sz="4" w:space="0" w:color="auto"/>
            </w:tcBorders>
            <w:shd w:val="clear" w:color="000000" w:fill="FFE699"/>
            <w:vAlign w:val="center"/>
            <w:hideMark/>
          </w:tcPr>
          <w:p w14:paraId="5EBA38ED"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612,501 – 700,000 </w:t>
            </w:r>
          </w:p>
        </w:tc>
        <w:tc>
          <w:tcPr>
            <w:tcW w:w="1320" w:type="dxa"/>
            <w:tcBorders>
              <w:top w:val="nil"/>
              <w:left w:val="nil"/>
              <w:bottom w:val="single" w:sz="4" w:space="0" w:color="auto"/>
              <w:right w:val="single" w:sz="4" w:space="0" w:color="auto"/>
            </w:tcBorders>
            <w:shd w:val="clear" w:color="000000" w:fill="FFE699"/>
            <w:vAlign w:val="center"/>
            <w:hideMark/>
          </w:tcPr>
          <w:p w14:paraId="2926CD8A"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675 </w:t>
            </w:r>
          </w:p>
        </w:tc>
      </w:tr>
      <w:tr w:rsidR="006E74C8" w:rsidRPr="006E74C8" w14:paraId="5CA63D56"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583FE1DE"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400,001 – 450,000 </w:t>
            </w:r>
          </w:p>
        </w:tc>
        <w:tc>
          <w:tcPr>
            <w:tcW w:w="1088" w:type="dxa"/>
            <w:tcBorders>
              <w:top w:val="nil"/>
              <w:left w:val="nil"/>
              <w:bottom w:val="single" w:sz="4" w:space="0" w:color="auto"/>
              <w:right w:val="single" w:sz="4" w:space="0" w:color="auto"/>
            </w:tcBorders>
            <w:shd w:val="clear" w:color="000000" w:fill="ACB9CA"/>
            <w:vAlign w:val="center"/>
            <w:hideMark/>
          </w:tcPr>
          <w:p w14:paraId="25C8F929"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765 </w:t>
            </w:r>
          </w:p>
        </w:tc>
        <w:tc>
          <w:tcPr>
            <w:tcW w:w="2812" w:type="dxa"/>
            <w:tcBorders>
              <w:top w:val="nil"/>
              <w:left w:val="nil"/>
              <w:bottom w:val="single" w:sz="4" w:space="0" w:color="auto"/>
              <w:right w:val="single" w:sz="4" w:space="0" w:color="auto"/>
            </w:tcBorders>
            <w:shd w:val="clear" w:color="000000" w:fill="FFE699"/>
            <w:vAlign w:val="center"/>
            <w:hideMark/>
          </w:tcPr>
          <w:p w14:paraId="2A0B68DF"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700,001 – 787,500 </w:t>
            </w:r>
          </w:p>
        </w:tc>
        <w:tc>
          <w:tcPr>
            <w:tcW w:w="1320" w:type="dxa"/>
            <w:tcBorders>
              <w:top w:val="nil"/>
              <w:left w:val="nil"/>
              <w:bottom w:val="single" w:sz="4" w:space="0" w:color="auto"/>
              <w:right w:val="single" w:sz="4" w:space="0" w:color="auto"/>
            </w:tcBorders>
            <w:shd w:val="clear" w:color="000000" w:fill="FFE699"/>
            <w:vAlign w:val="center"/>
            <w:hideMark/>
          </w:tcPr>
          <w:p w14:paraId="12C2F7B9"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765 </w:t>
            </w:r>
          </w:p>
        </w:tc>
      </w:tr>
      <w:tr w:rsidR="006E74C8" w:rsidRPr="006E74C8" w14:paraId="284391C3"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708BF0DE"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450,001 – 500,000 </w:t>
            </w:r>
          </w:p>
        </w:tc>
        <w:tc>
          <w:tcPr>
            <w:tcW w:w="1088" w:type="dxa"/>
            <w:tcBorders>
              <w:top w:val="nil"/>
              <w:left w:val="nil"/>
              <w:bottom w:val="single" w:sz="4" w:space="0" w:color="auto"/>
              <w:right w:val="single" w:sz="4" w:space="0" w:color="auto"/>
            </w:tcBorders>
            <w:shd w:val="clear" w:color="000000" w:fill="ACB9CA"/>
            <w:vAlign w:val="center"/>
            <w:hideMark/>
          </w:tcPr>
          <w:p w14:paraId="43A472AE"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855 </w:t>
            </w:r>
          </w:p>
        </w:tc>
        <w:tc>
          <w:tcPr>
            <w:tcW w:w="2812" w:type="dxa"/>
            <w:tcBorders>
              <w:top w:val="nil"/>
              <w:left w:val="nil"/>
              <w:bottom w:val="single" w:sz="4" w:space="0" w:color="auto"/>
              <w:right w:val="single" w:sz="4" w:space="0" w:color="auto"/>
            </w:tcBorders>
            <w:shd w:val="clear" w:color="000000" w:fill="FFE699"/>
            <w:vAlign w:val="center"/>
            <w:hideMark/>
          </w:tcPr>
          <w:p w14:paraId="16D044C5"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787,501 – 875,000 </w:t>
            </w:r>
          </w:p>
        </w:tc>
        <w:tc>
          <w:tcPr>
            <w:tcW w:w="1320" w:type="dxa"/>
            <w:tcBorders>
              <w:top w:val="nil"/>
              <w:left w:val="nil"/>
              <w:bottom w:val="single" w:sz="4" w:space="0" w:color="auto"/>
              <w:right w:val="single" w:sz="4" w:space="0" w:color="auto"/>
            </w:tcBorders>
            <w:shd w:val="clear" w:color="000000" w:fill="FFE699"/>
            <w:vAlign w:val="center"/>
            <w:hideMark/>
          </w:tcPr>
          <w:p w14:paraId="4EEAFEF3"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855 </w:t>
            </w:r>
          </w:p>
        </w:tc>
      </w:tr>
      <w:tr w:rsidR="006E74C8" w:rsidRPr="006E74C8" w14:paraId="14738350"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433BA561"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500,001 – 550,000 </w:t>
            </w:r>
          </w:p>
        </w:tc>
        <w:tc>
          <w:tcPr>
            <w:tcW w:w="1088" w:type="dxa"/>
            <w:tcBorders>
              <w:top w:val="nil"/>
              <w:left w:val="nil"/>
              <w:bottom w:val="single" w:sz="4" w:space="0" w:color="auto"/>
              <w:right w:val="single" w:sz="4" w:space="0" w:color="auto"/>
            </w:tcBorders>
            <w:shd w:val="clear" w:color="000000" w:fill="ACB9CA"/>
            <w:vAlign w:val="center"/>
            <w:hideMark/>
          </w:tcPr>
          <w:p w14:paraId="62445546"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945 </w:t>
            </w:r>
          </w:p>
        </w:tc>
        <w:tc>
          <w:tcPr>
            <w:tcW w:w="2812" w:type="dxa"/>
            <w:tcBorders>
              <w:top w:val="nil"/>
              <w:left w:val="nil"/>
              <w:bottom w:val="single" w:sz="4" w:space="0" w:color="auto"/>
              <w:right w:val="single" w:sz="4" w:space="0" w:color="auto"/>
            </w:tcBorders>
            <w:shd w:val="clear" w:color="000000" w:fill="FFE699"/>
            <w:vAlign w:val="center"/>
            <w:hideMark/>
          </w:tcPr>
          <w:p w14:paraId="728852DE"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875,001 – 962,500 </w:t>
            </w:r>
          </w:p>
        </w:tc>
        <w:tc>
          <w:tcPr>
            <w:tcW w:w="1320" w:type="dxa"/>
            <w:tcBorders>
              <w:top w:val="nil"/>
              <w:left w:val="nil"/>
              <w:bottom w:val="single" w:sz="4" w:space="0" w:color="auto"/>
              <w:right w:val="single" w:sz="4" w:space="0" w:color="auto"/>
            </w:tcBorders>
            <w:shd w:val="clear" w:color="000000" w:fill="FFE699"/>
            <w:vAlign w:val="center"/>
            <w:hideMark/>
          </w:tcPr>
          <w:p w14:paraId="72DFF2D3"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945 </w:t>
            </w:r>
          </w:p>
        </w:tc>
      </w:tr>
      <w:tr w:rsidR="006E74C8" w:rsidRPr="006E74C8" w14:paraId="5DBDFC0B"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2E8154E0"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550,001 – 600,000 </w:t>
            </w:r>
          </w:p>
        </w:tc>
        <w:tc>
          <w:tcPr>
            <w:tcW w:w="1088" w:type="dxa"/>
            <w:tcBorders>
              <w:top w:val="nil"/>
              <w:left w:val="nil"/>
              <w:bottom w:val="single" w:sz="4" w:space="0" w:color="auto"/>
              <w:right w:val="single" w:sz="4" w:space="0" w:color="auto"/>
            </w:tcBorders>
            <w:shd w:val="clear" w:color="000000" w:fill="ACB9CA"/>
            <w:vAlign w:val="center"/>
            <w:hideMark/>
          </w:tcPr>
          <w:p w14:paraId="32A1F3C9"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€1,035 </w:t>
            </w:r>
          </w:p>
        </w:tc>
        <w:tc>
          <w:tcPr>
            <w:tcW w:w="2812" w:type="dxa"/>
            <w:tcBorders>
              <w:top w:val="nil"/>
              <w:left w:val="nil"/>
              <w:bottom w:val="single" w:sz="4" w:space="0" w:color="auto"/>
              <w:right w:val="single" w:sz="4" w:space="0" w:color="auto"/>
            </w:tcBorders>
            <w:shd w:val="clear" w:color="000000" w:fill="FFE699"/>
            <w:vAlign w:val="center"/>
            <w:hideMark/>
          </w:tcPr>
          <w:p w14:paraId="0A123AC4"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962,501 – 1,050,000 </w:t>
            </w:r>
          </w:p>
        </w:tc>
        <w:tc>
          <w:tcPr>
            <w:tcW w:w="1320" w:type="dxa"/>
            <w:tcBorders>
              <w:top w:val="nil"/>
              <w:left w:val="nil"/>
              <w:bottom w:val="single" w:sz="4" w:space="0" w:color="auto"/>
              <w:right w:val="single" w:sz="4" w:space="0" w:color="auto"/>
            </w:tcBorders>
            <w:shd w:val="clear" w:color="000000" w:fill="FFE699"/>
            <w:vAlign w:val="center"/>
            <w:hideMark/>
          </w:tcPr>
          <w:p w14:paraId="78653562"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1,035 </w:t>
            </w:r>
          </w:p>
        </w:tc>
      </w:tr>
      <w:tr w:rsidR="006E74C8" w:rsidRPr="006E74C8" w14:paraId="0F9E16ED" w14:textId="77777777" w:rsidTr="006E74C8">
        <w:trPr>
          <w:trHeight w:val="312"/>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5C7B0D2F"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600,001 – 650,000 </w:t>
            </w:r>
          </w:p>
        </w:tc>
        <w:tc>
          <w:tcPr>
            <w:tcW w:w="1088" w:type="dxa"/>
            <w:tcBorders>
              <w:top w:val="nil"/>
              <w:left w:val="nil"/>
              <w:bottom w:val="single" w:sz="4" w:space="0" w:color="auto"/>
              <w:right w:val="single" w:sz="4" w:space="0" w:color="auto"/>
            </w:tcBorders>
            <w:shd w:val="clear" w:color="000000" w:fill="ACB9CA"/>
            <w:vAlign w:val="center"/>
            <w:hideMark/>
          </w:tcPr>
          <w:p w14:paraId="77B5A015"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€1,125 </w:t>
            </w:r>
          </w:p>
        </w:tc>
        <w:tc>
          <w:tcPr>
            <w:tcW w:w="2812" w:type="dxa"/>
            <w:tcBorders>
              <w:top w:val="nil"/>
              <w:left w:val="nil"/>
              <w:bottom w:val="single" w:sz="4" w:space="0" w:color="auto"/>
              <w:right w:val="single" w:sz="4" w:space="0" w:color="auto"/>
            </w:tcBorders>
            <w:shd w:val="clear" w:color="000000" w:fill="FFE699"/>
            <w:vAlign w:val="center"/>
            <w:hideMark/>
          </w:tcPr>
          <w:p w14:paraId="0DCB47EF"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1,050,001 – 1,137,500 </w:t>
            </w:r>
          </w:p>
        </w:tc>
        <w:tc>
          <w:tcPr>
            <w:tcW w:w="1320" w:type="dxa"/>
            <w:tcBorders>
              <w:top w:val="nil"/>
              <w:left w:val="nil"/>
              <w:bottom w:val="single" w:sz="4" w:space="0" w:color="auto"/>
              <w:right w:val="single" w:sz="4" w:space="0" w:color="auto"/>
            </w:tcBorders>
            <w:shd w:val="clear" w:color="000000" w:fill="FFE699"/>
            <w:vAlign w:val="center"/>
            <w:hideMark/>
          </w:tcPr>
          <w:p w14:paraId="4A934A81"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1,190 </w:t>
            </w:r>
          </w:p>
        </w:tc>
      </w:tr>
      <w:tr w:rsidR="006E74C8" w:rsidRPr="006E74C8" w14:paraId="6E754CE1"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3EE23054"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650,001 – 700,000 </w:t>
            </w:r>
          </w:p>
        </w:tc>
        <w:tc>
          <w:tcPr>
            <w:tcW w:w="1088" w:type="dxa"/>
            <w:tcBorders>
              <w:top w:val="nil"/>
              <w:left w:val="nil"/>
              <w:bottom w:val="single" w:sz="4" w:space="0" w:color="auto"/>
              <w:right w:val="single" w:sz="4" w:space="0" w:color="auto"/>
            </w:tcBorders>
            <w:shd w:val="clear" w:color="000000" w:fill="ACB9CA"/>
            <w:vAlign w:val="center"/>
            <w:hideMark/>
          </w:tcPr>
          <w:p w14:paraId="0664E321"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€1,215 </w:t>
            </w:r>
          </w:p>
        </w:tc>
        <w:tc>
          <w:tcPr>
            <w:tcW w:w="2812" w:type="dxa"/>
            <w:tcBorders>
              <w:top w:val="nil"/>
              <w:left w:val="nil"/>
              <w:bottom w:val="single" w:sz="4" w:space="0" w:color="auto"/>
              <w:right w:val="single" w:sz="4" w:space="0" w:color="auto"/>
            </w:tcBorders>
            <w:shd w:val="clear" w:color="000000" w:fill="FFE699"/>
            <w:vAlign w:val="center"/>
            <w:hideMark/>
          </w:tcPr>
          <w:p w14:paraId="676A2FF1"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1,137,501 – 1,225,000 </w:t>
            </w:r>
          </w:p>
        </w:tc>
        <w:tc>
          <w:tcPr>
            <w:tcW w:w="1320" w:type="dxa"/>
            <w:tcBorders>
              <w:top w:val="nil"/>
              <w:left w:val="nil"/>
              <w:bottom w:val="single" w:sz="4" w:space="0" w:color="auto"/>
              <w:right w:val="single" w:sz="4" w:space="0" w:color="auto"/>
            </w:tcBorders>
            <w:shd w:val="clear" w:color="000000" w:fill="FFE699"/>
            <w:vAlign w:val="center"/>
            <w:hideMark/>
          </w:tcPr>
          <w:p w14:paraId="6FBE3146"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1,409 </w:t>
            </w:r>
          </w:p>
        </w:tc>
      </w:tr>
      <w:tr w:rsidR="006E74C8" w:rsidRPr="006E74C8" w14:paraId="24C603C0"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251336B8"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700,001 – 750,000 </w:t>
            </w:r>
          </w:p>
        </w:tc>
        <w:tc>
          <w:tcPr>
            <w:tcW w:w="1088" w:type="dxa"/>
            <w:tcBorders>
              <w:top w:val="nil"/>
              <w:left w:val="nil"/>
              <w:bottom w:val="single" w:sz="4" w:space="0" w:color="auto"/>
              <w:right w:val="single" w:sz="4" w:space="0" w:color="auto"/>
            </w:tcBorders>
            <w:shd w:val="clear" w:color="000000" w:fill="ACB9CA"/>
            <w:vAlign w:val="center"/>
            <w:hideMark/>
          </w:tcPr>
          <w:p w14:paraId="6D2708BB"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€1,305 </w:t>
            </w:r>
          </w:p>
        </w:tc>
        <w:tc>
          <w:tcPr>
            <w:tcW w:w="2812" w:type="dxa"/>
            <w:tcBorders>
              <w:top w:val="nil"/>
              <w:left w:val="nil"/>
              <w:bottom w:val="single" w:sz="4" w:space="0" w:color="auto"/>
              <w:right w:val="single" w:sz="4" w:space="0" w:color="auto"/>
            </w:tcBorders>
            <w:shd w:val="clear" w:color="000000" w:fill="FFE699"/>
            <w:vAlign w:val="center"/>
            <w:hideMark/>
          </w:tcPr>
          <w:p w14:paraId="0D86F09D"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1,225,001 – 1,312,000 </w:t>
            </w:r>
          </w:p>
        </w:tc>
        <w:tc>
          <w:tcPr>
            <w:tcW w:w="1320" w:type="dxa"/>
            <w:tcBorders>
              <w:top w:val="nil"/>
              <w:left w:val="nil"/>
              <w:bottom w:val="single" w:sz="4" w:space="0" w:color="auto"/>
              <w:right w:val="single" w:sz="4" w:space="0" w:color="auto"/>
            </w:tcBorders>
            <w:shd w:val="clear" w:color="000000" w:fill="FFE699"/>
            <w:vAlign w:val="center"/>
            <w:hideMark/>
          </w:tcPr>
          <w:p w14:paraId="0CC9621F"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1,627 </w:t>
            </w:r>
          </w:p>
        </w:tc>
      </w:tr>
      <w:tr w:rsidR="006E74C8" w:rsidRPr="006E74C8" w14:paraId="7306AD9B"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5B8A90F9"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750,001 – 800,000 </w:t>
            </w:r>
          </w:p>
        </w:tc>
        <w:tc>
          <w:tcPr>
            <w:tcW w:w="1088" w:type="dxa"/>
            <w:tcBorders>
              <w:top w:val="nil"/>
              <w:left w:val="nil"/>
              <w:bottom w:val="single" w:sz="4" w:space="0" w:color="auto"/>
              <w:right w:val="single" w:sz="4" w:space="0" w:color="auto"/>
            </w:tcBorders>
            <w:shd w:val="clear" w:color="000000" w:fill="ACB9CA"/>
            <w:vAlign w:val="center"/>
            <w:hideMark/>
          </w:tcPr>
          <w:p w14:paraId="6DE89172"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€1,395 </w:t>
            </w:r>
          </w:p>
        </w:tc>
        <w:tc>
          <w:tcPr>
            <w:tcW w:w="2812" w:type="dxa"/>
            <w:tcBorders>
              <w:top w:val="nil"/>
              <w:left w:val="nil"/>
              <w:bottom w:val="single" w:sz="4" w:space="0" w:color="auto"/>
              <w:right w:val="single" w:sz="4" w:space="0" w:color="auto"/>
            </w:tcBorders>
            <w:shd w:val="clear" w:color="000000" w:fill="FFE699"/>
            <w:vAlign w:val="center"/>
            <w:hideMark/>
          </w:tcPr>
          <w:p w14:paraId="0E20BF53"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1,312,501 – 1,400,000 </w:t>
            </w:r>
          </w:p>
        </w:tc>
        <w:tc>
          <w:tcPr>
            <w:tcW w:w="1320" w:type="dxa"/>
            <w:tcBorders>
              <w:top w:val="nil"/>
              <w:left w:val="nil"/>
              <w:bottom w:val="single" w:sz="4" w:space="0" w:color="auto"/>
              <w:right w:val="single" w:sz="4" w:space="0" w:color="auto"/>
            </w:tcBorders>
            <w:shd w:val="clear" w:color="000000" w:fill="FFE699"/>
            <w:vAlign w:val="center"/>
            <w:hideMark/>
          </w:tcPr>
          <w:p w14:paraId="19587ED7"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1,846 </w:t>
            </w:r>
          </w:p>
        </w:tc>
      </w:tr>
      <w:tr w:rsidR="006E74C8" w:rsidRPr="006E74C8" w14:paraId="535E3E2E"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623F19A7"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800,001 – 850,000 </w:t>
            </w:r>
          </w:p>
        </w:tc>
        <w:tc>
          <w:tcPr>
            <w:tcW w:w="1088" w:type="dxa"/>
            <w:tcBorders>
              <w:top w:val="nil"/>
              <w:left w:val="nil"/>
              <w:bottom w:val="single" w:sz="4" w:space="0" w:color="auto"/>
              <w:right w:val="single" w:sz="4" w:space="0" w:color="auto"/>
            </w:tcBorders>
            <w:shd w:val="clear" w:color="000000" w:fill="ACB9CA"/>
            <w:vAlign w:val="center"/>
            <w:hideMark/>
          </w:tcPr>
          <w:p w14:paraId="29C80FBC"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€1,485 </w:t>
            </w:r>
          </w:p>
        </w:tc>
        <w:tc>
          <w:tcPr>
            <w:tcW w:w="2812" w:type="dxa"/>
            <w:tcBorders>
              <w:top w:val="nil"/>
              <w:left w:val="nil"/>
              <w:bottom w:val="single" w:sz="4" w:space="0" w:color="auto"/>
              <w:right w:val="single" w:sz="4" w:space="0" w:color="auto"/>
            </w:tcBorders>
            <w:shd w:val="clear" w:color="000000" w:fill="FFE699"/>
            <w:vAlign w:val="center"/>
            <w:hideMark/>
          </w:tcPr>
          <w:p w14:paraId="7B1060A2"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1,400,001 – 1,487,500 </w:t>
            </w:r>
          </w:p>
        </w:tc>
        <w:tc>
          <w:tcPr>
            <w:tcW w:w="1320" w:type="dxa"/>
            <w:tcBorders>
              <w:top w:val="nil"/>
              <w:left w:val="nil"/>
              <w:bottom w:val="single" w:sz="4" w:space="0" w:color="auto"/>
              <w:right w:val="single" w:sz="4" w:space="0" w:color="auto"/>
            </w:tcBorders>
            <w:shd w:val="clear" w:color="000000" w:fill="FFE699"/>
            <w:vAlign w:val="center"/>
            <w:hideMark/>
          </w:tcPr>
          <w:p w14:paraId="3E580FAD"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2,065 </w:t>
            </w:r>
          </w:p>
        </w:tc>
      </w:tr>
      <w:tr w:rsidR="006E74C8" w:rsidRPr="006E74C8" w14:paraId="1B8C4B55"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61845ED9"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850,001 – 900,000 </w:t>
            </w:r>
          </w:p>
        </w:tc>
        <w:tc>
          <w:tcPr>
            <w:tcW w:w="1088" w:type="dxa"/>
            <w:tcBorders>
              <w:top w:val="nil"/>
              <w:left w:val="nil"/>
              <w:bottom w:val="single" w:sz="4" w:space="0" w:color="auto"/>
              <w:right w:val="single" w:sz="4" w:space="0" w:color="auto"/>
            </w:tcBorders>
            <w:shd w:val="clear" w:color="000000" w:fill="ACB9CA"/>
            <w:vAlign w:val="center"/>
            <w:hideMark/>
          </w:tcPr>
          <w:p w14:paraId="2E379981"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€1,575 </w:t>
            </w:r>
          </w:p>
        </w:tc>
        <w:tc>
          <w:tcPr>
            <w:tcW w:w="2812" w:type="dxa"/>
            <w:tcBorders>
              <w:top w:val="nil"/>
              <w:left w:val="nil"/>
              <w:bottom w:val="single" w:sz="4" w:space="0" w:color="auto"/>
              <w:right w:val="single" w:sz="4" w:space="0" w:color="auto"/>
            </w:tcBorders>
            <w:shd w:val="clear" w:color="000000" w:fill="FFE699"/>
            <w:vAlign w:val="center"/>
            <w:hideMark/>
          </w:tcPr>
          <w:p w14:paraId="2608A835"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1,487,501 – 1,575,000 </w:t>
            </w:r>
          </w:p>
        </w:tc>
        <w:tc>
          <w:tcPr>
            <w:tcW w:w="1320" w:type="dxa"/>
            <w:tcBorders>
              <w:top w:val="nil"/>
              <w:left w:val="nil"/>
              <w:bottom w:val="single" w:sz="4" w:space="0" w:color="auto"/>
              <w:right w:val="single" w:sz="4" w:space="0" w:color="auto"/>
            </w:tcBorders>
            <w:shd w:val="clear" w:color="000000" w:fill="FFE699"/>
            <w:vAlign w:val="center"/>
            <w:hideMark/>
          </w:tcPr>
          <w:p w14:paraId="3529B187"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2,284 </w:t>
            </w:r>
          </w:p>
        </w:tc>
      </w:tr>
      <w:tr w:rsidR="006E74C8" w:rsidRPr="006E74C8" w14:paraId="3F93E08B"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7032B3B3"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900,001 – 950,000 </w:t>
            </w:r>
          </w:p>
        </w:tc>
        <w:tc>
          <w:tcPr>
            <w:tcW w:w="1088" w:type="dxa"/>
            <w:tcBorders>
              <w:top w:val="nil"/>
              <w:left w:val="nil"/>
              <w:bottom w:val="single" w:sz="4" w:space="0" w:color="auto"/>
              <w:right w:val="single" w:sz="4" w:space="0" w:color="auto"/>
            </w:tcBorders>
            <w:shd w:val="clear" w:color="000000" w:fill="ACB9CA"/>
            <w:vAlign w:val="center"/>
            <w:hideMark/>
          </w:tcPr>
          <w:p w14:paraId="6424C03A"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€1,665 </w:t>
            </w:r>
          </w:p>
        </w:tc>
        <w:tc>
          <w:tcPr>
            <w:tcW w:w="2812" w:type="dxa"/>
            <w:tcBorders>
              <w:top w:val="nil"/>
              <w:left w:val="nil"/>
              <w:bottom w:val="single" w:sz="4" w:space="0" w:color="auto"/>
              <w:right w:val="single" w:sz="4" w:space="0" w:color="auto"/>
            </w:tcBorders>
            <w:shd w:val="clear" w:color="000000" w:fill="FFE699"/>
            <w:vAlign w:val="center"/>
            <w:hideMark/>
          </w:tcPr>
          <w:p w14:paraId="70EF67FB"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1,575,001 – 1,662,500 </w:t>
            </w:r>
          </w:p>
        </w:tc>
        <w:tc>
          <w:tcPr>
            <w:tcW w:w="1320" w:type="dxa"/>
            <w:tcBorders>
              <w:top w:val="nil"/>
              <w:left w:val="nil"/>
              <w:bottom w:val="single" w:sz="4" w:space="0" w:color="auto"/>
              <w:right w:val="single" w:sz="4" w:space="0" w:color="auto"/>
            </w:tcBorders>
            <w:shd w:val="clear" w:color="000000" w:fill="FFE699"/>
            <w:vAlign w:val="center"/>
            <w:hideMark/>
          </w:tcPr>
          <w:p w14:paraId="2B74EC24"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2,502 </w:t>
            </w:r>
          </w:p>
        </w:tc>
      </w:tr>
      <w:tr w:rsidR="006E74C8" w:rsidRPr="006E74C8" w14:paraId="0FBDD593"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271A0891"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950,001 – 1,000,000 </w:t>
            </w:r>
          </w:p>
        </w:tc>
        <w:tc>
          <w:tcPr>
            <w:tcW w:w="1088" w:type="dxa"/>
            <w:tcBorders>
              <w:top w:val="nil"/>
              <w:left w:val="nil"/>
              <w:bottom w:val="single" w:sz="4" w:space="0" w:color="auto"/>
              <w:right w:val="single" w:sz="4" w:space="0" w:color="auto"/>
            </w:tcBorders>
            <w:shd w:val="clear" w:color="000000" w:fill="ACB9CA"/>
            <w:vAlign w:val="center"/>
            <w:hideMark/>
          </w:tcPr>
          <w:p w14:paraId="2CC774E0"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€1,755 </w:t>
            </w:r>
          </w:p>
        </w:tc>
        <w:tc>
          <w:tcPr>
            <w:tcW w:w="2812" w:type="dxa"/>
            <w:tcBorders>
              <w:top w:val="nil"/>
              <w:left w:val="nil"/>
              <w:bottom w:val="single" w:sz="4" w:space="0" w:color="auto"/>
              <w:right w:val="single" w:sz="4" w:space="0" w:color="auto"/>
            </w:tcBorders>
            <w:shd w:val="clear" w:color="000000" w:fill="FFE699"/>
            <w:vAlign w:val="center"/>
            <w:hideMark/>
          </w:tcPr>
          <w:p w14:paraId="7ADB72D0"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1,662,501 – 1,750,000 </w:t>
            </w:r>
          </w:p>
        </w:tc>
        <w:tc>
          <w:tcPr>
            <w:tcW w:w="1320" w:type="dxa"/>
            <w:tcBorders>
              <w:top w:val="nil"/>
              <w:left w:val="nil"/>
              <w:bottom w:val="single" w:sz="4" w:space="0" w:color="auto"/>
              <w:right w:val="single" w:sz="4" w:space="0" w:color="auto"/>
            </w:tcBorders>
            <w:shd w:val="clear" w:color="000000" w:fill="FFE699"/>
            <w:vAlign w:val="center"/>
            <w:hideMark/>
          </w:tcPr>
          <w:p w14:paraId="4FD093AB"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     2,721 </w:t>
            </w:r>
          </w:p>
        </w:tc>
      </w:tr>
      <w:tr w:rsidR="006E74C8" w:rsidRPr="006E74C8" w14:paraId="438F633B" w14:textId="77777777" w:rsidTr="006E74C8">
        <w:trPr>
          <w:trHeight w:val="3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00B722B3"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Over €1m</w:t>
            </w:r>
          </w:p>
        </w:tc>
        <w:tc>
          <w:tcPr>
            <w:tcW w:w="1088" w:type="dxa"/>
            <w:tcBorders>
              <w:top w:val="nil"/>
              <w:left w:val="nil"/>
              <w:bottom w:val="single" w:sz="4" w:space="0" w:color="auto"/>
              <w:right w:val="single" w:sz="4" w:space="0" w:color="auto"/>
            </w:tcBorders>
            <w:shd w:val="clear" w:color="000000" w:fill="ACB9CA"/>
            <w:vAlign w:val="center"/>
            <w:hideMark/>
          </w:tcPr>
          <w:p w14:paraId="0CBAECA5" w14:textId="77777777" w:rsidR="006E74C8" w:rsidRPr="006E74C8" w:rsidRDefault="006E74C8" w:rsidP="006E74C8">
            <w:pPr>
              <w:rPr>
                <w:rFonts w:ascii="Calibri" w:hAnsi="Calibri" w:cs="Calibri"/>
                <w:color w:val="000000"/>
                <w:sz w:val="22"/>
                <w:szCs w:val="22"/>
                <w:lang w:val="en-IE" w:eastAsia="en-IE"/>
              </w:rPr>
            </w:pPr>
            <w:r w:rsidRPr="006E74C8">
              <w:rPr>
                <w:rFonts w:ascii="Calibri" w:hAnsi="Calibri" w:cs="Calibri"/>
                <w:color w:val="000000"/>
                <w:sz w:val="22"/>
                <w:szCs w:val="22"/>
                <w:lang w:val="en-IE" w:eastAsia="en-IE"/>
              </w:rPr>
              <w:t> </w:t>
            </w:r>
          </w:p>
        </w:tc>
        <w:tc>
          <w:tcPr>
            <w:tcW w:w="2812" w:type="dxa"/>
            <w:tcBorders>
              <w:top w:val="nil"/>
              <w:left w:val="nil"/>
              <w:bottom w:val="single" w:sz="4" w:space="0" w:color="auto"/>
              <w:right w:val="single" w:sz="4" w:space="0" w:color="auto"/>
            </w:tcBorders>
            <w:shd w:val="clear" w:color="000000" w:fill="FFE699"/>
            <w:vAlign w:val="center"/>
            <w:hideMark/>
          </w:tcPr>
          <w:p w14:paraId="7A153195" w14:textId="77777777" w:rsidR="006E74C8" w:rsidRPr="006E74C8" w:rsidRDefault="006E74C8" w:rsidP="006E74C8">
            <w:pPr>
              <w:jc w:val="cente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1,750,001+  </w:t>
            </w:r>
          </w:p>
        </w:tc>
        <w:tc>
          <w:tcPr>
            <w:tcW w:w="1320" w:type="dxa"/>
            <w:tcBorders>
              <w:top w:val="nil"/>
              <w:left w:val="nil"/>
              <w:bottom w:val="single" w:sz="4" w:space="0" w:color="auto"/>
              <w:right w:val="single" w:sz="4" w:space="0" w:color="auto"/>
            </w:tcBorders>
            <w:shd w:val="clear" w:color="000000" w:fill="FFE699"/>
            <w:vAlign w:val="center"/>
            <w:hideMark/>
          </w:tcPr>
          <w:p w14:paraId="1A1C1CF3" w14:textId="77777777" w:rsidR="006E74C8" w:rsidRPr="006E74C8" w:rsidRDefault="006E74C8" w:rsidP="006E74C8">
            <w:pPr>
              <w:rPr>
                <w:rFonts w:ascii="Lato" w:hAnsi="Lato" w:cs="Calibri"/>
                <w:color w:val="000000"/>
                <w:sz w:val="24"/>
                <w:szCs w:val="24"/>
                <w:lang w:val="en-IE" w:eastAsia="en-IE"/>
              </w:rPr>
            </w:pPr>
            <w:r w:rsidRPr="006E74C8">
              <w:rPr>
                <w:rFonts w:ascii="Lato" w:hAnsi="Lato" w:cs="Calibri"/>
                <w:color w:val="000000"/>
                <w:sz w:val="24"/>
                <w:szCs w:val="24"/>
                <w:lang w:val="en-IE" w:eastAsia="en-IE"/>
              </w:rPr>
              <w:t xml:space="preserve"> 2,830+ </w:t>
            </w:r>
          </w:p>
        </w:tc>
      </w:tr>
      <w:tr w:rsidR="006E74C8" w:rsidRPr="006E74C8" w14:paraId="5B751EA1" w14:textId="77777777" w:rsidTr="006E74C8">
        <w:trPr>
          <w:trHeight w:val="900"/>
        </w:trPr>
        <w:tc>
          <w:tcPr>
            <w:tcW w:w="3160" w:type="dxa"/>
            <w:tcBorders>
              <w:top w:val="nil"/>
              <w:left w:val="single" w:sz="4" w:space="0" w:color="auto"/>
              <w:bottom w:val="single" w:sz="4" w:space="0" w:color="auto"/>
              <w:right w:val="single" w:sz="4" w:space="0" w:color="auto"/>
            </w:tcBorders>
            <w:shd w:val="clear" w:color="000000" w:fill="ACB9CA"/>
            <w:vAlign w:val="center"/>
            <w:hideMark/>
          </w:tcPr>
          <w:p w14:paraId="6EDE96D0" w14:textId="77777777" w:rsidR="006E74C8" w:rsidRPr="006E74C8" w:rsidRDefault="006E74C8" w:rsidP="006E74C8">
            <w:pPr>
              <w:jc w:val="right"/>
              <w:rPr>
                <w:rFonts w:ascii="Lato" w:hAnsi="Lato" w:cs="Calibri"/>
                <w:color w:val="000000"/>
                <w:sz w:val="24"/>
                <w:szCs w:val="24"/>
                <w:lang w:val="en-IE" w:eastAsia="en-IE"/>
              </w:rPr>
            </w:pPr>
            <w:r w:rsidRPr="006E74C8">
              <w:rPr>
                <w:rFonts w:ascii="Lato" w:hAnsi="Lato" w:cs="Calibri"/>
                <w:color w:val="000000"/>
                <w:sz w:val="24"/>
                <w:szCs w:val="24"/>
                <w:lang w:val="en-IE" w:eastAsia="en-IE"/>
              </w:rPr>
              <w:t>Rate = 0.18 (fixed charge in first and second bands)</w:t>
            </w:r>
          </w:p>
        </w:tc>
        <w:tc>
          <w:tcPr>
            <w:tcW w:w="1088" w:type="dxa"/>
            <w:tcBorders>
              <w:top w:val="nil"/>
              <w:left w:val="nil"/>
              <w:bottom w:val="single" w:sz="4" w:space="0" w:color="auto"/>
              <w:right w:val="single" w:sz="4" w:space="0" w:color="auto"/>
            </w:tcBorders>
            <w:shd w:val="clear" w:color="000000" w:fill="ACB9CA"/>
            <w:vAlign w:val="center"/>
            <w:hideMark/>
          </w:tcPr>
          <w:p w14:paraId="6C4C953B" w14:textId="77777777" w:rsidR="006E74C8" w:rsidRPr="006E74C8" w:rsidRDefault="006E74C8" w:rsidP="006E74C8">
            <w:pPr>
              <w:rPr>
                <w:rFonts w:ascii="Calibri" w:hAnsi="Calibri" w:cs="Calibri"/>
                <w:color w:val="000000"/>
                <w:sz w:val="22"/>
                <w:szCs w:val="22"/>
                <w:lang w:val="en-IE" w:eastAsia="en-IE"/>
              </w:rPr>
            </w:pPr>
            <w:r w:rsidRPr="006E74C8">
              <w:rPr>
                <w:rFonts w:ascii="Calibri" w:hAnsi="Calibri" w:cs="Calibri"/>
                <w:color w:val="000000"/>
                <w:sz w:val="22"/>
                <w:szCs w:val="22"/>
                <w:lang w:val="en-IE" w:eastAsia="en-IE"/>
              </w:rPr>
              <w:t> </w:t>
            </w:r>
          </w:p>
        </w:tc>
        <w:tc>
          <w:tcPr>
            <w:tcW w:w="2812" w:type="dxa"/>
            <w:tcBorders>
              <w:top w:val="nil"/>
              <w:left w:val="nil"/>
              <w:bottom w:val="single" w:sz="4" w:space="0" w:color="auto"/>
              <w:right w:val="single" w:sz="4" w:space="0" w:color="auto"/>
            </w:tcBorders>
            <w:shd w:val="clear" w:color="000000" w:fill="FFE699"/>
            <w:vAlign w:val="center"/>
            <w:hideMark/>
          </w:tcPr>
          <w:p w14:paraId="5105F962" w14:textId="77777777" w:rsidR="006E74C8" w:rsidRPr="006E74C8" w:rsidRDefault="006E74C8" w:rsidP="006E74C8">
            <w:pPr>
              <w:jc w:val="right"/>
              <w:rPr>
                <w:rFonts w:ascii="Lato" w:hAnsi="Lato" w:cs="Calibri"/>
                <w:color w:val="000000"/>
                <w:sz w:val="24"/>
                <w:szCs w:val="24"/>
                <w:lang w:val="en-IE" w:eastAsia="en-IE"/>
              </w:rPr>
            </w:pPr>
            <w:r w:rsidRPr="006E74C8">
              <w:rPr>
                <w:rFonts w:ascii="Lato" w:hAnsi="Lato" w:cs="Calibri"/>
                <w:color w:val="000000"/>
                <w:sz w:val="24"/>
                <w:szCs w:val="24"/>
                <w:lang w:val="en-IE" w:eastAsia="en-IE"/>
              </w:rPr>
              <w:t>Rate = 0.1029 (fixed charge in first and second bands)</w:t>
            </w:r>
          </w:p>
        </w:tc>
        <w:tc>
          <w:tcPr>
            <w:tcW w:w="1320" w:type="dxa"/>
            <w:tcBorders>
              <w:top w:val="nil"/>
              <w:left w:val="nil"/>
              <w:bottom w:val="single" w:sz="4" w:space="0" w:color="auto"/>
              <w:right w:val="single" w:sz="4" w:space="0" w:color="auto"/>
            </w:tcBorders>
            <w:shd w:val="clear" w:color="000000" w:fill="FFE699"/>
            <w:vAlign w:val="center"/>
            <w:hideMark/>
          </w:tcPr>
          <w:p w14:paraId="6D3D15AA" w14:textId="77777777" w:rsidR="006E74C8" w:rsidRPr="006E74C8" w:rsidRDefault="006E74C8" w:rsidP="006E74C8">
            <w:pPr>
              <w:rPr>
                <w:rFonts w:ascii="Calibri" w:hAnsi="Calibri" w:cs="Calibri"/>
                <w:color w:val="000000"/>
                <w:sz w:val="22"/>
                <w:szCs w:val="22"/>
                <w:lang w:val="en-IE" w:eastAsia="en-IE"/>
              </w:rPr>
            </w:pPr>
            <w:r w:rsidRPr="006E74C8">
              <w:rPr>
                <w:rFonts w:ascii="Calibri" w:hAnsi="Calibri" w:cs="Calibri"/>
                <w:color w:val="000000"/>
                <w:sz w:val="22"/>
                <w:szCs w:val="22"/>
                <w:lang w:val="en-IE" w:eastAsia="en-IE"/>
              </w:rPr>
              <w:t> </w:t>
            </w:r>
          </w:p>
        </w:tc>
      </w:tr>
    </w:tbl>
    <w:p w14:paraId="73781284" w14:textId="77777777" w:rsidR="004D74BF" w:rsidRDefault="004D74BF" w:rsidP="00375793">
      <w:pPr>
        <w:pStyle w:val="NoSpacing"/>
        <w:spacing w:line="360" w:lineRule="auto"/>
        <w:jc w:val="both"/>
        <w:rPr>
          <w:rFonts w:ascii="Verdana" w:hAnsi="Verdana" w:cs="Open Sans"/>
          <w:sz w:val="20"/>
          <w:szCs w:val="20"/>
        </w:rPr>
      </w:pPr>
    </w:p>
    <w:p w14:paraId="3214A49B" w14:textId="2C84F288" w:rsidR="00375793" w:rsidRPr="00B94604" w:rsidRDefault="00375793" w:rsidP="00375793">
      <w:pPr>
        <w:pStyle w:val="NoSpacing"/>
        <w:spacing w:line="360" w:lineRule="auto"/>
        <w:jc w:val="both"/>
        <w:rPr>
          <w:rFonts w:ascii="Verdana" w:hAnsi="Verdana" w:cs="Open Sans"/>
          <w:sz w:val="20"/>
          <w:szCs w:val="20"/>
        </w:rPr>
      </w:pPr>
      <w:r>
        <w:rPr>
          <w:rFonts w:ascii="Verdana" w:hAnsi="Verdana" w:cs="Open Sans"/>
          <w:sz w:val="20"/>
          <w:szCs w:val="20"/>
        </w:rPr>
        <w:t xml:space="preserve">The charge </w:t>
      </w:r>
      <w:r w:rsidR="005E70A6">
        <w:rPr>
          <w:rFonts w:ascii="Verdana" w:hAnsi="Verdana" w:cs="Open Sans"/>
          <w:sz w:val="20"/>
          <w:szCs w:val="20"/>
        </w:rPr>
        <w:t>will continue to be</w:t>
      </w:r>
      <w:r w:rsidRPr="00B94604">
        <w:rPr>
          <w:rFonts w:ascii="Verdana" w:hAnsi="Verdana" w:cs="Open Sans"/>
          <w:sz w:val="20"/>
          <w:szCs w:val="20"/>
        </w:rPr>
        <w:t xml:space="preserve"> administered by the Revenue Commissioners</w:t>
      </w:r>
      <w:r>
        <w:rPr>
          <w:rFonts w:ascii="Verdana" w:hAnsi="Verdana" w:cs="Open Sans"/>
          <w:sz w:val="20"/>
          <w:szCs w:val="20"/>
        </w:rPr>
        <w:t xml:space="preserve"> and the</w:t>
      </w:r>
      <w:r w:rsidRPr="00B94604">
        <w:rPr>
          <w:rFonts w:ascii="Verdana" w:hAnsi="Verdana" w:cs="Open Sans"/>
          <w:sz w:val="20"/>
          <w:szCs w:val="20"/>
        </w:rPr>
        <w:t xml:space="preserve"> </w:t>
      </w:r>
      <w:r>
        <w:rPr>
          <w:rFonts w:ascii="Verdana" w:hAnsi="Verdana" w:cs="Open Sans"/>
          <w:sz w:val="20"/>
          <w:szCs w:val="20"/>
        </w:rPr>
        <w:t xml:space="preserve">proceeds are accounted for as exchequer funding in the national Budget.  </w:t>
      </w:r>
      <w:r w:rsidR="003362D7">
        <w:rPr>
          <w:rFonts w:ascii="Verdana" w:hAnsi="Verdana" w:cs="Open Sans"/>
          <w:sz w:val="20"/>
          <w:szCs w:val="20"/>
        </w:rPr>
        <w:t>An amount equivalent to</w:t>
      </w:r>
      <w:r>
        <w:rPr>
          <w:rFonts w:ascii="Verdana" w:hAnsi="Verdana" w:cs="Open Sans"/>
          <w:sz w:val="20"/>
          <w:szCs w:val="20"/>
        </w:rPr>
        <w:t xml:space="preserve"> annual LPT receipts are assigned </w:t>
      </w:r>
      <w:r w:rsidRPr="00B94604">
        <w:rPr>
          <w:rFonts w:ascii="Verdana" w:hAnsi="Verdana" w:cs="Open Sans"/>
          <w:sz w:val="20"/>
          <w:szCs w:val="20"/>
        </w:rPr>
        <w:t xml:space="preserve">to the Local Government </w:t>
      </w:r>
      <w:r w:rsidRPr="00B94604">
        <w:rPr>
          <w:rFonts w:ascii="Verdana" w:hAnsi="Verdana" w:cs="Open Sans"/>
          <w:sz w:val="20"/>
          <w:szCs w:val="20"/>
        </w:rPr>
        <w:lastRenderedPageBreak/>
        <w:t xml:space="preserve">Fund </w:t>
      </w:r>
      <w:r w:rsidR="003362D7">
        <w:rPr>
          <w:rFonts w:ascii="Verdana" w:hAnsi="Verdana" w:cs="Open Sans"/>
          <w:sz w:val="20"/>
          <w:szCs w:val="20"/>
        </w:rPr>
        <w:t xml:space="preserve">by the Minister for Finance </w:t>
      </w:r>
      <w:r>
        <w:rPr>
          <w:rFonts w:ascii="Verdana" w:hAnsi="Verdana" w:cs="Open Sans"/>
          <w:sz w:val="20"/>
          <w:szCs w:val="20"/>
        </w:rPr>
        <w:t xml:space="preserve">and distributed </w:t>
      </w:r>
      <w:r w:rsidRPr="00B94604">
        <w:rPr>
          <w:rFonts w:ascii="Verdana" w:hAnsi="Verdana" w:cs="Open Sans"/>
          <w:sz w:val="20"/>
          <w:szCs w:val="20"/>
        </w:rPr>
        <w:t xml:space="preserve">to local authorities by the </w:t>
      </w:r>
      <w:r>
        <w:rPr>
          <w:rFonts w:ascii="Verdana" w:hAnsi="Verdana" w:cs="Open Sans"/>
          <w:sz w:val="20"/>
          <w:szCs w:val="20"/>
        </w:rPr>
        <w:t xml:space="preserve">Minister for </w:t>
      </w:r>
      <w:r w:rsidR="00BA2043">
        <w:rPr>
          <w:rFonts w:ascii="Verdana" w:hAnsi="Verdana" w:cs="Open Sans"/>
          <w:sz w:val="20"/>
          <w:szCs w:val="20"/>
        </w:rPr>
        <w:t xml:space="preserve">Housing, </w:t>
      </w:r>
      <w:r w:rsidRPr="00B94604">
        <w:rPr>
          <w:rFonts w:ascii="Verdana" w:hAnsi="Verdana" w:cs="Open Sans"/>
          <w:sz w:val="20"/>
          <w:szCs w:val="20"/>
        </w:rPr>
        <w:t>Local Government</w:t>
      </w:r>
      <w:r w:rsidR="004D74BF">
        <w:rPr>
          <w:rFonts w:ascii="Verdana" w:hAnsi="Verdana" w:cs="Open Sans"/>
          <w:sz w:val="20"/>
          <w:szCs w:val="20"/>
        </w:rPr>
        <w:t xml:space="preserve"> and Heritage.</w:t>
      </w:r>
      <w:r w:rsidRPr="00B94604">
        <w:rPr>
          <w:rFonts w:ascii="Verdana" w:hAnsi="Verdana" w:cs="Open Sans"/>
          <w:sz w:val="20"/>
          <w:szCs w:val="20"/>
        </w:rPr>
        <w:t xml:space="preserve"> </w:t>
      </w:r>
      <w:r w:rsidR="008A5CAA">
        <w:rPr>
          <w:rFonts w:ascii="Verdana" w:hAnsi="Verdana" w:cs="Open Sans"/>
          <w:sz w:val="20"/>
          <w:szCs w:val="20"/>
        </w:rPr>
        <w:t xml:space="preserve"> A copy of the General Scheme of the Finance (Local Property Tax) (Amendment) </w:t>
      </w:r>
      <w:r w:rsidR="00387789">
        <w:rPr>
          <w:rFonts w:ascii="Verdana" w:hAnsi="Verdana" w:cs="Open Sans"/>
          <w:sz w:val="20"/>
          <w:szCs w:val="20"/>
        </w:rPr>
        <w:t>B</w:t>
      </w:r>
      <w:r w:rsidR="008A5CAA">
        <w:rPr>
          <w:rFonts w:ascii="Verdana" w:hAnsi="Verdana" w:cs="Open Sans"/>
          <w:sz w:val="20"/>
          <w:szCs w:val="20"/>
        </w:rPr>
        <w:t>ill 2021 is attached to this report for your information.</w:t>
      </w:r>
    </w:p>
    <w:p w14:paraId="5CFBA2C0" w14:textId="77777777" w:rsidR="00375793" w:rsidRDefault="00375793" w:rsidP="00375793">
      <w:pPr>
        <w:autoSpaceDE w:val="0"/>
        <w:autoSpaceDN w:val="0"/>
        <w:adjustRightInd w:val="0"/>
        <w:spacing w:line="360" w:lineRule="auto"/>
        <w:rPr>
          <w:b/>
          <w:lang w:val="en-IE" w:eastAsia="en-GB"/>
        </w:rPr>
      </w:pPr>
    </w:p>
    <w:p w14:paraId="3C9F94CA" w14:textId="18B9E4E0" w:rsidR="00375793" w:rsidRPr="00B94604" w:rsidRDefault="00B81362" w:rsidP="00375793">
      <w:pPr>
        <w:autoSpaceDE w:val="0"/>
        <w:autoSpaceDN w:val="0"/>
        <w:adjustRightInd w:val="0"/>
        <w:spacing w:line="360" w:lineRule="auto"/>
        <w:rPr>
          <w:b/>
          <w:lang w:val="en-IE" w:eastAsia="en-GB"/>
        </w:rPr>
      </w:pPr>
      <w:r>
        <w:rPr>
          <w:b/>
          <w:lang w:val="en-IE" w:eastAsia="en-GB"/>
        </w:rPr>
        <w:t xml:space="preserve">Role of </w:t>
      </w:r>
      <w:r w:rsidR="00387789">
        <w:rPr>
          <w:b/>
          <w:lang w:val="en-IE" w:eastAsia="en-GB"/>
        </w:rPr>
        <w:t>E</w:t>
      </w:r>
      <w:r>
        <w:rPr>
          <w:b/>
          <w:lang w:val="en-IE" w:eastAsia="en-GB"/>
        </w:rPr>
        <w:t xml:space="preserve">lected </w:t>
      </w:r>
      <w:r w:rsidR="00387789">
        <w:rPr>
          <w:b/>
          <w:lang w:val="en-IE" w:eastAsia="en-GB"/>
        </w:rPr>
        <w:t>M</w:t>
      </w:r>
      <w:r>
        <w:rPr>
          <w:b/>
          <w:lang w:val="en-IE" w:eastAsia="en-GB"/>
        </w:rPr>
        <w:t>embers in relation to setting of local adjustment factor</w:t>
      </w:r>
      <w:r w:rsidR="00375793" w:rsidRPr="00B94604">
        <w:rPr>
          <w:b/>
          <w:lang w:val="en-IE" w:eastAsia="en-GB"/>
        </w:rPr>
        <w:t>:</w:t>
      </w:r>
    </w:p>
    <w:p w14:paraId="511BD895" w14:textId="77777777" w:rsidR="00375793" w:rsidRPr="00B94604" w:rsidRDefault="00375793" w:rsidP="00AA57D7">
      <w:pPr>
        <w:spacing w:line="360" w:lineRule="auto"/>
        <w:jc w:val="both"/>
        <w:rPr>
          <w:rFonts w:cs="Open Sans"/>
        </w:rPr>
      </w:pPr>
      <w:r w:rsidRPr="00B94604">
        <w:rPr>
          <w:rFonts w:cs="Open Sans"/>
        </w:rPr>
        <w:t>Section 20 of the Finance (Local Property Tax) Act 2012</w:t>
      </w:r>
      <w:r w:rsidR="00376148">
        <w:rPr>
          <w:rFonts w:cs="Open Sans"/>
        </w:rPr>
        <w:t xml:space="preserve"> (</w:t>
      </w:r>
      <w:r w:rsidRPr="00905E24">
        <w:rPr>
          <w:rFonts w:cs="Open Sans"/>
          <w:i/>
        </w:rPr>
        <w:t>as amended by Section 5 of the Finance (Local Property Tax) (Amendment) Act 2013</w:t>
      </w:r>
      <w:r w:rsidR="00376148">
        <w:rPr>
          <w:rFonts w:cs="Open Sans"/>
        </w:rPr>
        <w:t>)</w:t>
      </w:r>
      <w:r w:rsidRPr="00B94604">
        <w:rPr>
          <w:rFonts w:cs="Open Sans"/>
        </w:rPr>
        <w:t xml:space="preserve"> </w:t>
      </w:r>
      <w:r w:rsidR="00905E24">
        <w:rPr>
          <w:rFonts w:cs="Open Sans"/>
        </w:rPr>
        <w:t xml:space="preserve">provides each </w:t>
      </w:r>
      <w:r w:rsidRPr="00B94604">
        <w:rPr>
          <w:rFonts w:cs="Open Sans"/>
        </w:rPr>
        <w:t xml:space="preserve">Local Authority </w:t>
      </w:r>
      <w:r w:rsidR="00905E24">
        <w:rPr>
          <w:rFonts w:cs="Open Sans"/>
        </w:rPr>
        <w:t>with the power</w:t>
      </w:r>
      <w:r w:rsidR="00710F3C">
        <w:rPr>
          <w:rFonts w:cs="Open Sans"/>
        </w:rPr>
        <w:t xml:space="preserve"> </w:t>
      </w:r>
      <w:r w:rsidRPr="00B94604">
        <w:rPr>
          <w:rFonts w:cs="Open Sans"/>
        </w:rPr>
        <w:t xml:space="preserve">to vary the basic rate of the Local Property Tax within its administrative area </w:t>
      </w:r>
      <w:r w:rsidR="00905E24">
        <w:rPr>
          <w:rFonts w:cs="Open Sans"/>
        </w:rPr>
        <w:t>(</w:t>
      </w:r>
      <w:r w:rsidR="00710F3C">
        <w:rPr>
          <w:rFonts w:cs="Open Sans"/>
        </w:rPr>
        <w:t>by</w:t>
      </w:r>
      <w:r w:rsidRPr="00B94604">
        <w:rPr>
          <w:rFonts w:cs="Open Sans"/>
        </w:rPr>
        <w:t xml:space="preserve"> a maximum of plus or minus 15% of the basic rate</w:t>
      </w:r>
      <w:r w:rsidR="00905E24">
        <w:rPr>
          <w:rFonts w:cs="Open Sans"/>
        </w:rPr>
        <w:t>)</w:t>
      </w:r>
      <w:r w:rsidRPr="00B94604">
        <w:rPr>
          <w:rFonts w:cs="Open Sans"/>
        </w:rPr>
        <w:t xml:space="preserve">. </w:t>
      </w:r>
      <w:r w:rsidR="00905E24" w:rsidRPr="00B94604">
        <w:rPr>
          <w:rFonts w:cs="Open Sans"/>
        </w:rPr>
        <w:t xml:space="preserve">Section 20 of the 2012 Act </w:t>
      </w:r>
      <w:r w:rsidR="00905E24">
        <w:rPr>
          <w:rFonts w:cs="Open Sans"/>
        </w:rPr>
        <w:t xml:space="preserve">was </w:t>
      </w:r>
      <w:r w:rsidR="00905E24" w:rsidRPr="00B94604">
        <w:rPr>
          <w:rFonts w:cs="Open Sans"/>
        </w:rPr>
        <w:t xml:space="preserve">commenced with effect from the 1st of July 2014 </w:t>
      </w:r>
      <w:r w:rsidR="00905E24">
        <w:rPr>
          <w:rFonts w:cs="Open Sans"/>
        </w:rPr>
        <w:t>by t</w:t>
      </w:r>
      <w:r w:rsidR="00905E24" w:rsidRPr="00B94604">
        <w:rPr>
          <w:rFonts w:cs="Open Sans"/>
        </w:rPr>
        <w:t>he Finance (Local Property Tax) Act 2012 (Specified Date) Order 2012</w:t>
      </w:r>
      <w:r w:rsidR="00905E24">
        <w:rPr>
          <w:rFonts w:cs="Open Sans"/>
        </w:rPr>
        <w:t>.</w:t>
      </w:r>
    </w:p>
    <w:p w14:paraId="5D20FC55" w14:textId="77777777" w:rsidR="006E74C8" w:rsidRDefault="006E74C8" w:rsidP="00375793">
      <w:pPr>
        <w:spacing w:line="360" w:lineRule="auto"/>
        <w:jc w:val="both"/>
      </w:pPr>
    </w:p>
    <w:p w14:paraId="147A72B0" w14:textId="77777777" w:rsidR="00D37740" w:rsidRDefault="00375793" w:rsidP="00D37740">
      <w:pPr>
        <w:pStyle w:val="NoSpacing"/>
        <w:spacing w:line="360" w:lineRule="auto"/>
        <w:jc w:val="both"/>
        <w:rPr>
          <w:rFonts w:ascii="Verdana" w:hAnsi="Verdana" w:cs="Open Sans"/>
          <w:sz w:val="20"/>
          <w:szCs w:val="20"/>
        </w:rPr>
      </w:pPr>
      <w:r w:rsidRPr="00D37740">
        <w:rPr>
          <w:sz w:val="24"/>
          <w:szCs w:val="24"/>
        </w:rPr>
        <w:t xml:space="preserve">The Local Property Tax (Local Adjustment Factor) Regulations 2014 </w:t>
      </w:r>
      <w:r w:rsidR="00D37740" w:rsidRPr="00D37740">
        <w:rPr>
          <w:sz w:val="24"/>
          <w:szCs w:val="24"/>
        </w:rPr>
        <w:t xml:space="preserve">as amended by the </w:t>
      </w:r>
      <w:r w:rsidR="00D37740" w:rsidRPr="00D37740">
        <w:rPr>
          <w:rFonts w:asciiTheme="minorHAnsi" w:hAnsiTheme="minorHAnsi" w:cstheme="minorHAnsi"/>
          <w:sz w:val="24"/>
          <w:szCs w:val="24"/>
        </w:rPr>
        <w:t xml:space="preserve">Local </w:t>
      </w:r>
      <w:r w:rsidR="00D37740">
        <w:rPr>
          <w:rFonts w:ascii="Verdana" w:hAnsi="Verdana" w:cs="Open Sans"/>
          <w:sz w:val="20"/>
          <w:szCs w:val="20"/>
        </w:rPr>
        <w:t>Property Tax (Local Adjustment Factor) (Amendment) Regulations 2021</w:t>
      </w:r>
    </w:p>
    <w:p w14:paraId="14F34D28" w14:textId="1FD23702" w:rsidR="00375793" w:rsidRDefault="00375793" w:rsidP="00375793">
      <w:pPr>
        <w:spacing w:line="360" w:lineRule="auto"/>
        <w:jc w:val="both"/>
      </w:pPr>
      <w:r w:rsidRPr="00D259F8">
        <w:t>require</w:t>
      </w:r>
      <w:r w:rsidR="00D37740">
        <w:t>s</w:t>
      </w:r>
      <w:r w:rsidRPr="00D259F8">
        <w:t xml:space="preserve"> that before</w:t>
      </w:r>
      <w:r>
        <w:t xml:space="preserve"> </w:t>
      </w:r>
      <w:r w:rsidRPr="00B94604">
        <w:t xml:space="preserve">determining </w:t>
      </w:r>
      <w:r w:rsidR="00730A4C" w:rsidRPr="00B94604">
        <w:t>whether</w:t>
      </w:r>
      <w:r w:rsidRPr="00B94604">
        <w:t xml:space="preserve"> to pass a resolution to vary the basic rate of local property tax, there are certain matters </w:t>
      </w:r>
      <w:r>
        <w:t xml:space="preserve">to which the </w:t>
      </w:r>
      <w:r w:rsidRPr="00B94604">
        <w:t>local authority must have regard</w:t>
      </w:r>
      <w:r>
        <w:t xml:space="preserve"> including:</w:t>
      </w:r>
    </w:p>
    <w:p w14:paraId="54E3B6EB" w14:textId="4A401EFC" w:rsidR="00375793" w:rsidRPr="00631112" w:rsidRDefault="00CA1B71" w:rsidP="00375793">
      <w:pPr>
        <w:numPr>
          <w:ilvl w:val="0"/>
          <w:numId w:val="3"/>
        </w:numPr>
        <w:spacing w:line="360" w:lineRule="auto"/>
        <w:jc w:val="both"/>
        <w:rPr>
          <w:b/>
        </w:rPr>
      </w:pPr>
      <w:r>
        <w:rPr>
          <w:b/>
        </w:rPr>
        <w:t>Estimation</w:t>
      </w:r>
      <w:r w:rsidR="00375793" w:rsidRPr="00631112">
        <w:rPr>
          <w:b/>
        </w:rPr>
        <w:t xml:space="preserve"> o</w:t>
      </w:r>
      <w:r>
        <w:rPr>
          <w:b/>
        </w:rPr>
        <w:t>f</w:t>
      </w:r>
      <w:r w:rsidR="00375793" w:rsidRPr="00631112">
        <w:rPr>
          <w:b/>
        </w:rPr>
        <w:t xml:space="preserve"> Income and Expenditure </w:t>
      </w:r>
    </w:p>
    <w:p w14:paraId="3EED48D6" w14:textId="03489469" w:rsidR="00375793" w:rsidRPr="00631112" w:rsidRDefault="00375793" w:rsidP="00375793">
      <w:pPr>
        <w:numPr>
          <w:ilvl w:val="0"/>
          <w:numId w:val="3"/>
        </w:numPr>
        <w:spacing w:line="360" w:lineRule="auto"/>
        <w:jc w:val="both"/>
        <w:rPr>
          <w:b/>
        </w:rPr>
      </w:pPr>
      <w:r w:rsidRPr="00631112">
        <w:rPr>
          <w:b/>
        </w:rPr>
        <w:t xml:space="preserve">Financial </w:t>
      </w:r>
      <w:r w:rsidR="00387789">
        <w:rPr>
          <w:b/>
        </w:rPr>
        <w:t>P</w:t>
      </w:r>
      <w:r w:rsidRPr="00631112">
        <w:rPr>
          <w:b/>
        </w:rPr>
        <w:t>osition</w:t>
      </w:r>
      <w:r>
        <w:rPr>
          <w:b/>
        </w:rPr>
        <w:t xml:space="preserve"> </w:t>
      </w:r>
      <w:r w:rsidR="00A703E7">
        <w:rPr>
          <w:b/>
        </w:rPr>
        <w:t xml:space="preserve">of the </w:t>
      </w:r>
      <w:r w:rsidR="00387789">
        <w:rPr>
          <w:b/>
        </w:rPr>
        <w:t>L</w:t>
      </w:r>
      <w:r w:rsidR="00A703E7">
        <w:rPr>
          <w:b/>
        </w:rPr>
        <w:t xml:space="preserve">ocal </w:t>
      </w:r>
      <w:r w:rsidR="00387789">
        <w:rPr>
          <w:b/>
        </w:rPr>
        <w:t>A</w:t>
      </w:r>
      <w:r w:rsidR="00A703E7">
        <w:rPr>
          <w:b/>
        </w:rPr>
        <w:t>uthority</w:t>
      </w:r>
    </w:p>
    <w:p w14:paraId="30101010" w14:textId="3FC6485F" w:rsidR="00375793" w:rsidRPr="00631112" w:rsidRDefault="00CA1B71" w:rsidP="00375793">
      <w:pPr>
        <w:numPr>
          <w:ilvl w:val="0"/>
          <w:numId w:val="3"/>
        </w:numPr>
        <w:spacing w:line="360" w:lineRule="auto"/>
        <w:jc w:val="both"/>
        <w:rPr>
          <w:b/>
        </w:rPr>
      </w:pPr>
      <w:r>
        <w:rPr>
          <w:b/>
        </w:rPr>
        <w:t xml:space="preserve">Estimation of </w:t>
      </w:r>
      <w:r w:rsidR="00A703E7">
        <w:rPr>
          <w:b/>
        </w:rPr>
        <w:t xml:space="preserve">Financial </w:t>
      </w:r>
      <w:r w:rsidR="00387789">
        <w:rPr>
          <w:b/>
        </w:rPr>
        <w:t>E</w:t>
      </w:r>
      <w:r w:rsidR="00375793" w:rsidRPr="00631112">
        <w:rPr>
          <w:b/>
        </w:rPr>
        <w:t>ffect</w:t>
      </w:r>
    </w:p>
    <w:p w14:paraId="1A411A39" w14:textId="77777777" w:rsidR="00387789" w:rsidRDefault="00375793" w:rsidP="00375793">
      <w:pPr>
        <w:numPr>
          <w:ilvl w:val="0"/>
          <w:numId w:val="3"/>
        </w:numPr>
        <w:spacing w:line="360" w:lineRule="auto"/>
        <w:jc w:val="both"/>
        <w:rPr>
          <w:b/>
        </w:rPr>
      </w:pPr>
      <w:r w:rsidRPr="00631112">
        <w:rPr>
          <w:b/>
        </w:rPr>
        <w:t xml:space="preserve">Outcome of </w:t>
      </w:r>
      <w:r w:rsidR="00387789">
        <w:rPr>
          <w:b/>
        </w:rPr>
        <w:t>P</w:t>
      </w:r>
      <w:r w:rsidRPr="00631112">
        <w:rPr>
          <w:b/>
        </w:rPr>
        <w:t xml:space="preserve">ublic </w:t>
      </w:r>
      <w:r w:rsidR="00387789">
        <w:rPr>
          <w:b/>
        </w:rPr>
        <w:t>C</w:t>
      </w:r>
      <w:r>
        <w:rPr>
          <w:b/>
        </w:rPr>
        <w:t xml:space="preserve">onsultation </w:t>
      </w:r>
      <w:r w:rsidR="00387789">
        <w:rPr>
          <w:b/>
        </w:rPr>
        <w:t>P</w:t>
      </w:r>
      <w:r>
        <w:rPr>
          <w:b/>
        </w:rPr>
        <w:t>rocess</w:t>
      </w:r>
    </w:p>
    <w:p w14:paraId="7344F2E0" w14:textId="10795867" w:rsidR="00375793" w:rsidRDefault="00375793" w:rsidP="00387789">
      <w:pPr>
        <w:spacing w:line="360" w:lineRule="auto"/>
        <w:ind w:left="720"/>
        <w:jc w:val="both"/>
        <w:rPr>
          <w:b/>
        </w:rPr>
      </w:pPr>
      <w:r>
        <w:rPr>
          <w:b/>
        </w:rPr>
        <w:t xml:space="preserve"> </w:t>
      </w:r>
    </w:p>
    <w:p w14:paraId="37267D00" w14:textId="77777777" w:rsidR="00375793" w:rsidRDefault="00375793" w:rsidP="00375793">
      <w:pPr>
        <w:spacing w:line="360" w:lineRule="auto"/>
        <w:jc w:val="both"/>
        <w:rPr>
          <w:b/>
        </w:rPr>
      </w:pPr>
      <w:r w:rsidRPr="00631112">
        <w:t xml:space="preserve">Reports </w:t>
      </w:r>
      <w:r>
        <w:t>have been prepared</w:t>
      </w:r>
      <w:r w:rsidRPr="00631112">
        <w:t xml:space="preserve"> </w:t>
      </w:r>
      <w:r>
        <w:t>for</w:t>
      </w:r>
      <w:r w:rsidRPr="00631112">
        <w:t xml:space="preserve"> </w:t>
      </w:r>
      <w:r>
        <w:t xml:space="preserve">each of </w:t>
      </w:r>
      <w:r w:rsidRPr="00631112">
        <w:t xml:space="preserve">these </w:t>
      </w:r>
      <w:r>
        <w:t>headings</w:t>
      </w:r>
      <w:r>
        <w:rPr>
          <w:b/>
        </w:rPr>
        <w:t>.</w:t>
      </w:r>
    </w:p>
    <w:p w14:paraId="5A964C21" w14:textId="77777777" w:rsidR="00D07E55" w:rsidRDefault="00D07E55" w:rsidP="00375793">
      <w:pPr>
        <w:spacing w:line="360" w:lineRule="auto"/>
        <w:jc w:val="both"/>
        <w:rPr>
          <w:b/>
        </w:rPr>
      </w:pPr>
    </w:p>
    <w:p w14:paraId="52F373BD" w14:textId="74FC9B3A" w:rsidR="00D07E55" w:rsidRPr="00A924E6" w:rsidRDefault="00D07E55" w:rsidP="00D07E55">
      <w:pPr>
        <w:spacing w:line="360" w:lineRule="auto"/>
        <w:jc w:val="both"/>
      </w:pPr>
      <w:r>
        <w:t>It is important to note that the Members</w:t>
      </w:r>
      <w:r w:rsidR="00432B54">
        <w:t>’</w:t>
      </w:r>
      <w:r>
        <w:t xml:space="preserve"> decision in this respect applies for a period of one year from the next local property tax liability date. The 15% reduction to the basic rate of LPT</w:t>
      </w:r>
      <w:r w:rsidR="00961A76">
        <w:t xml:space="preserve">, passed by the Members </w:t>
      </w:r>
      <w:r w:rsidR="00961A76" w:rsidRPr="00F65F4F">
        <w:t xml:space="preserve">on </w:t>
      </w:r>
      <w:r w:rsidR="00887851">
        <w:t>14</w:t>
      </w:r>
      <w:r w:rsidR="00B54576" w:rsidRPr="00965271">
        <w:t>th</w:t>
      </w:r>
      <w:r w:rsidR="00B54576" w:rsidRPr="00F65F4F">
        <w:t xml:space="preserve"> September 20</w:t>
      </w:r>
      <w:r w:rsidR="00887851">
        <w:t>20</w:t>
      </w:r>
      <w:r w:rsidRPr="00F65F4F">
        <w:t>, applied</w:t>
      </w:r>
      <w:r>
        <w:t xml:space="preserve"> </w:t>
      </w:r>
      <w:r w:rsidR="00B54576">
        <w:t>for the period 1st November 20</w:t>
      </w:r>
      <w:r w:rsidR="00887851">
        <w:t>20</w:t>
      </w:r>
      <w:r>
        <w:t xml:space="preserve"> (liability date) to 31st October</w:t>
      </w:r>
      <w:r w:rsidR="001B2C95">
        <w:t xml:space="preserve"> </w:t>
      </w:r>
      <w:r w:rsidR="00B54576">
        <w:t>20</w:t>
      </w:r>
      <w:r w:rsidR="00AA4767">
        <w:t>2</w:t>
      </w:r>
      <w:r w:rsidR="00887851">
        <w:t>1</w:t>
      </w:r>
      <w:r>
        <w:t>. The rate reverts to the basic r</w:t>
      </w:r>
      <w:r w:rsidR="004976FB">
        <w:t xml:space="preserve">ate at the 1st </w:t>
      </w:r>
      <w:r w:rsidR="00136315">
        <w:t>N</w:t>
      </w:r>
      <w:r w:rsidR="009D6835">
        <w:t>ovember 20</w:t>
      </w:r>
      <w:r w:rsidR="00AA4767">
        <w:t>2</w:t>
      </w:r>
      <w:r w:rsidR="00887851">
        <w:t>1</w:t>
      </w:r>
      <w:r>
        <w:t>, i.e. the pre</w:t>
      </w:r>
      <w:r w:rsidR="0085154C">
        <w:t>-</w:t>
      </w:r>
      <w:r>
        <w:t>adjusted rate, and the Elected Members must</w:t>
      </w:r>
      <w:r w:rsidR="00A924E6">
        <w:t xml:space="preserve"> now consider whether to reduce </w:t>
      </w:r>
      <w:r>
        <w:t>the basic rate, leave it un</w:t>
      </w:r>
      <w:r w:rsidR="0064224C">
        <w:t>altered or increase it</w:t>
      </w:r>
      <w:r w:rsidR="00B54576">
        <w:t xml:space="preserve"> for 20</w:t>
      </w:r>
      <w:r w:rsidR="00E74A5D">
        <w:t>2</w:t>
      </w:r>
      <w:r w:rsidR="00887851">
        <w:t>2</w:t>
      </w:r>
      <w:r>
        <w:t>.</w:t>
      </w:r>
    </w:p>
    <w:p w14:paraId="60AC0D1F" w14:textId="5EF81581" w:rsidR="00375793" w:rsidRPr="002722C2" w:rsidRDefault="00375793" w:rsidP="00051E10">
      <w:pPr>
        <w:spacing w:line="360" w:lineRule="auto"/>
        <w:jc w:val="center"/>
        <w:rPr>
          <w:b/>
          <w:sz w:val="24"/>
          <w:szCs w:val="24"/>
          <w:u w:val="single"/>
        </w:rPr>
      </w:pPr>
      <w:r>
        <w:br w:type="page"/>
      </w:r>
      <w:r w:rsidR="00A463B3" w:rsidRPr="00CA1B71">
        <w:rPr>
          <w:rFonts w:cs="Arial"/>
          <w:b/>
          <w:color w:val="FF0000"/>
          <w:u w:val="single"/>
        </w:rPr>
        <w:lastRenderedPageBreak/>
        <w:t xml:space="preserve">1. </w:t>
      </w:r>
      <w:r w:rsidR="00CA1B71" w:rsidRPr="00CA1B71">
        <w:rPr>
          <w:b/>
          <w:color w:val="FF0000"/>
          <w:u w:val="single"/>
        </w:rPr>
        <w:t>Estimation of Income and Expenditure</w:t>
      </w:r>
      <w:r w:rsidRPr="00CA1B71">
        <w:rPr>
          <w:rFonts w:cs="Arial"/>
          <w:b/>
          <w:color w:val="FF0000"/>
          <w:u w:val="single"/>
        </w:rPr>
        <w:t>:</w:t>
      </w:r>
    </w:p>
    <w:p w14:paraId="43805AF1" w14:textId="77777777" w:rsidR="00D07E55" w:rsidRDefault="00D07E55" w:rsidP="00D07E55">
      <w:pPr>
        <w:spacing w:line="360" w:lineRule="auto"/>
        <w:jc w:val="both"/>
      </w:pPr>
    </w:p>
    <w:p w14:paraId="2E2DB2FB" w14:textId="77777777" w:rsidR="00412CE2" w:rsidRDefault="00412CE2" w:rsidP="00D07E55">
      <w:pPr>
        <w:spacing w:line="360" w:lineRule="auto"/>
        <w:jc w:val="both"/>
      </w:pPr>
    </w:p>
    <w:p w14:paraId="2A382273" w14:textId="0E361922" w:rsidR="00D07E55" w:rsidRDefault="00D07E55" w:rsidP="00D07E55">
      <w:pPr>
        <w:pStyle w:val="ListParagraph"/>
        <w:numPr>
          <w:ilvl w:val="1"/>
          <w:numId w:val="5"/>
        </w:numPr>
        <w:spacing w:line="360" w:lineRule="auto"/>
        <w:jc w:val="both"/>
      </w:pPr>
      <w:r w:rsidRPr="00D07E55">
        <w:rPr>
          <w:b/>
        </w:rPr>
        <w:t>Local Property Tax Income Allocation 20</w:t>
      </w:r>
      <w:r w:rsidR="00735DBC">
        <w:rPr>
          <w:b/>
        </w:rPr>
        <w:t>2</w:t>
      </w:r>
      <w:r w:rsidR="009B00AA">
        <w:rPr>
          <w:b/>
        </w:rPr>
        <w:t>1</w:t>
      </w:r>
      <w:r w:rsidRPr="000F1FBF">
        <w:t>:</w:t>
      </w:r>
    </w:p>
    <w:p w14:paraId="468E5265" w14:textId="0DFD7E5D" w:rsidR="00D46F26" w:rsidRDefault="006278C9" w:rsidP="00AA57D7">
      <w:pPr>
        <w:spacing w:line="360" w:lineRule="auto"/>
        <w:jc w:val="both"/>
      </w:pPr>
      <w:r>
        <w:t xml:space="preserve">In </w:t>
      </w:r>
      <w:r w:rsidR="009B00AA">
        <w:t>2021</w:t>
      </w:r>
      <w:r w:rsidR="00D46F26" w:rsidRPr="00077334">
        <w:t xml:space="preserve"> 80% of LPT income </w:t>
      </w:r>
      <w:r w:rsidR="00D46F26">
        <w:t>collected</w:t>
      </w:r>
      <w:r w:rsidR="00D46F26" w:rsidRPr="00077334">
        <w:t xml:space="preserve"> was retained locally with the remaining 20% paid into an equalisation fund to ensure no local authority was worse off fro</w:t>
      </w:r>
      <w:r>
        <w:t xml:space="preserve">m local retention of LPT in </w:t>
      </w:r>
      <w:r w:rsidR="009B00AA">
        <w:t>2021</w:t>
      </w:r>
      <w:r w:rsidR="00D46F26" w:rsidRPr="00077334">
        <w:t xml:space="preserve"> compared to General Pur</w:t>
      </w:r>
      <w:r w:rsidR="00AA57D7">
        <w:t>pose Grant allocations in 2014.</w:t>
      </w:r>
    </w:p>
    <w:p w14:paraId="5CFBC482" w14:textId="77777777" w:rsidR="00412CE2" w:rsidRDefault="00412CE2" w:rsidP="00D46F26">
      <w:pPr>
        <w:spacing w:line="360" w:lineRule="auto"/>
        <w:jc w:val="both"/>
      </w:pPr>
    </w:p>
    <w:p w14:paraId="41AE8492" w14:textId="19C8B0F1" w:rsidR="009B09E3" w:rsidRDefault="00D46F26" w:rsidP="00D46F26">
      <w:pPr>
        <w:spacing w:line="360" w:lineRule="auto"/>
        <w:jc w:val="both"/>
      </w:pPr>
      <w:r>
        <w:t xml:space="preserve">Of the 80% retained locally </w:t>
      </w:r>
      <w:r w:rsidR="006278C9">
        <w:t>(€25.</w:t>
      </w:r>
      <w:r w:rsidR="009B00AA">
        <w:t>49</w:t>
      </w:r>
      <w:r w:rsidR="009B09E3">
        <w:t xml:space="preserve">m) </w:t>
      </w:r>
      <w:r w:rsidR="00DE62A3">
        <w:t>an amount of €6.3</w:t>
      </w:r>
      <w:r w:rsidR="009B00AA">
        <w:t>7</w:t>
      </w:r>
      <w:r>
        <w:t xml:space="preserve">m was allocated as additional discretionary funding with the proviso that the cost of any local variation of the basic rate of LPT must be funded from this element of the allocation. A decision was taken by the Council to reduce LPT by 15% at a meeting of the Council held on </w:t>
      </w:r>
      <w:r w:rsidR="009B00AA" w:rsidRPr="000E46C5">
        <w:t>14</w:t>
      </w:r>
      <w:r w:rsidR="00DE62A3" w:rsidRPr="000E46C5">
        <w:t xml:space="preserve">th September </w:t>
      </w:r>
      <w:r w:rsidR="009B00AA" w:rsidRPr="000E46C5">
        <w:t>2020</w:t>
      </w:r>
      <w:r w:rsidRPr="000E46C5">
        <w:t>.</w:t>
      </w:r>
      <w:r w:rsidRPr="00F65F4F">
        <w:t xml:space="preserve"> The cost</w:t>
      </w:r>
      <w:r>
        <w:t xml:space="preserve"> of funding this reduction amounted to €</w:t>
      </w:r>
      <w:r w:rsidR="00B563EF">
        <w:t>4</w:t>
      </w:r>
      <w:r w:rsidR="009B09E3">
        <w:t>.</w:t>
      </w:r>
      <w:r w:rsidR="00DE62A3">
        <w:t>7</w:t>
      </w:r>
      <w:r w:rsidR="009B00AA">
        <w:t>8</w:t>
      </w:r>
      <w:r>
        <w:t>m thereby reducing the discretionary</w:t>
      </w:r>
      <w:r w:rsidR="00B563EF">
        <w:t xml:space="preserve"> element of the allocation to €1</w:t>
      </w:r>
      <w:r w:rsidR="00DE62A3">
        <w:t>.</w:t>
      </w:r>
      <w:r w:rsidR="009B00AA">
        <w:t>59</w:t>
      </w:r>
      <w:r>
        <w:t>m.</w:t>
      </w:r>
      <w:r w:rsidR="00B563EF">
        <w:t xml:space="preserve"> </w:t>
      </w:r>
    </w:p>
    <w:p w14:paraId="5F20AA9B" w14:textId="77777777" w:rsidR="009B09E3" w:rsidRDefault="009B09E3" w:rsidP="00D46F26">
      <w:pPr>
        <w:spacing w:line="360" w:lineRule="auto"/>
        <w:jc w:val="both"/>
      </w:pPr>
    </w:p>
    <w:p w14:paraId="033DE6C9" w14:textId="3580D013" w:rsidR="00412CE2" w:rsidRDefault="00F753BB" w:rsidP="00D46F26">
      <w:pPr>
        <w:spacing w:line="360" w:lineRule="auto"/>
        <w:jc w:val="both"/>
      </w:pPr>
      <w:r>
        <w:t xml:space="preserve">The </w:t>
      </w:r>
      <w:r w:rsidR="00E25282">
        <w:t xml:space="preserve">LPT baseline allocation for </w:t>
      </w:r>
      <w:r w:rsidR="009B00AA">
        <w:t>2021</w:t>
      </w:r>
      <w:r w:rsidR="00E25282">
        <w:t xml:space="preserve"> remained</w:t>
      </w:r>
      <w:r>
        <w:t xml:space="preserve"> at €3,85</w:t>
      </w:r>
      <w:r w:rsidR="006278C9">
        <w:t>6,</w:t>
      </w:r>
      <w:r w:rsidR="00E25282">
        <w:t xml:space="preserve">262, which is the same as </w:t>
      </w:r>
      <w:r w:rsidR="009B00AA">
        <w:t>2020</w:t>
      </w:r>
      <w:r>
        <w:t>.</w:t>
      </w:r>
    </w:p>
    <w:p w14:paraId="78CB64C3" w14:textId="77777777" w:rsidR="00412CE2" w:rsidRDefault="00412CE2" w:rsidP="00D46F26">
      <w:pPr>
        <w:spacing w:line="360" w:lineRule="auto"/>
        <w:jc w:val="both"/>
      </w:pPr>
    </w:p>
    <w:p w14:paraId="2DE59271" w14:textId="0C88F6D6" w:rsidR="00D46F26" w:rsidRDefault="00D46F26" w:rsidP="00D46F26">
      <w:pPr>
        <w:spacing w:line="360" w:lineRule="auto"/>
        <w:jc w:val="both"/>
      </w:pPr>
      <w:r>
        <w:t>The remainder of th</w:t>
      </w:r>
      <w:r w:rsidR="00961A76">
        <w:t>e allocation am</w:t>
      </w:r>
      <w:r w:rsidR="00E25282">
        <w:t>ounting to €15.</w:t>
      </w:r>
      <w:r w:rsidR="009B00AA">
        <w:t>26</w:t>
      </w:r>
      <w:r w:rsidR="00961A76">
        <w:t>m</w:t>
      </w:r>
      <w:r>
        <w:t xml:space="preserve"> was </w:t>
      </w:r>
      <w:r w:rsidR="00D83D08">
        <w:t>assigned</w:t>
      </w:r>
      <w:r>
        <w:t xml:space="preserve"> by the Department of </w:t>
      </w:r>
      <w:r w:rsidR="00DE62A3">
        <w:t xml:space="preserve">Housing </w:t>
      </w:r>
      <w:r>
        <w:t xml:space="preserve">Local Government </w:t>
      </w:r>
      <w:r w:rsidR="00920E08">
        <w:t xml:space="preserve">and Heritage </w:t>
      </w:r>
      <w:r w:rsidR="00961A76">
        <w:t xml:space="preserve">to </w:t>
      </w:r>
      <w:r w:rsidR="00611AF5">
        <w:t>self-fund some services in housing and roads.</w:t>
      </w:r>
      <w:r w:rsidR="00821EF5">
        <w:t xml:space="preserve"> </w:t>
      </w:r>
    </w:p>
    <w:p w14:paraId="5B2FBE5C" w14:textId="77777777" w:rsidR="00611AF5" w:rsidRDefault="00611AF5" w:rsidP="00611AF5">
      <w:pPr>
        <w:spacing w:line="360" w:lineRule="auto"/>
        <w:ind w:left="720"/>
        <w:jc w:val="both"/>
      </w:pPr>
    </w:p>
    <w:tbl>
      <w:tblPr>
        <w:tblW w:w="9320" w:type="dxa"/>
        <w:tblLook w:val="04A0" w:firstRow="1" w:lastRow="0" w:firstColumn="1" w:lastColumn="0" w:noHBand="0" w:noVBand="1"/>
      </w:tblPr>
      <w:tblGrid>
        <w:gridCol w:w="7620"/>
        <w:gridCol w:w="1700"/>
      </w:tblGrid>
      <w:tr w:rsidR="009B00AA" w:rsidRPr="009B00AA" w14:paraId="1E80FE43" w14:textId="77777777" w:rsidTr="009B00AA">
        <w:trPr>
          <w:trHeight w:val="765"/>
        </w:trPr>
        <w:tc>
          <w:tcPr>
            <w:tcW w:w="7620" w:type="dxa"/>
            <w:tcBorders>
              <w:top w:val="single" w:sz="8" w:space="0" w:color="000080"/>
              <w:left w:val="single" w:sz="8" w:space="0" w:color="000080"/>
              <w:bottom w:val="single" w:sz="8" w:space="0" w:color="000080"/>
              <w:right w:val="nil"/>
            </w:tcBorders>
            <w:shd w:val="clear" w:color="000000" w:fill="000080"/>
            <w:vAlign w:val="center"/>
            <w:hideMark/>
          </w:tcPr>
          <w:p w14:paraId="7A0A9157" w14:textId="77777777" w:rsidR="009B00AA" w:rsidRPr="009B00AA" w:rsidRDefault="009B00AA" w:rsidP="009B00AA">
            <w:pPr>
              <w:jc w:val="center"/>
              <w:rPr>
                <w:rFonts w:cs="Calibri"/>
                <w:b/>
                <w:bCs/>
                <w:color w:val="FFFFFF"/>
                <w:lang w:val="en-IE" w:eastAsia="en-IE"/>
              </w:rPr>
            </w:pPr>
            <w:r w:rsidRPr="009B00AA">
              <w:rPr>
                <w:rFonts w:cs="Calibri"/>
                <w:b/>
                <w:bCs/>
                <w:color w:val="FFFFFF"/>
                <w:lang w:val="en-IE" w:eastAsia="en-IE"/>
              </w:rPr>
              <w:t>Analysis of Local Property Tax allocation 2021</w:t>
            </w:r>
          </w:p>
        </w:tc>
        <w:tc>
          <w:tcPr>
            <w:tcW w:w="1700" w:type="dxa"/>
            <w:tcBorders>
              <w:top w:val="single" w:sz="8" w:space="0" w:color="000080"/>
              <w:left w:val="single" w:sz="8" w:space="0" w:color="000080"/>
              <w:bottom w:val="single" w:sz="8" w:space="0" w:color="000080"/>
              <w:right w:val="nil"/>
            </w:tcBorders>
            <w:shd w:val="clear" w:color="000000" w:fill="000080"/>
            <w:vAlign w:val="center"/>
            <w:hideMark/>
          </w:tcPr>
          <w:p w14:paraId="0276B16B" w14:textId="77777777" w:rsidR="009B00AA" w:rsidRPr="009B00AA" w:rsidRDefault="009B00AA" w:rsidP="009B00AA">
            <w:pPr>
              <w:jc w:val="center"/>
              <w:rPr>
                <w:rFonts w:cs="Calibri"/>
                <w:b/>
                <w:bCs/>
                <w:color w:val="FFFFFF"/>
                <w:lang w:val="en-IE" w:eastAsia="en-IE"/>
              </w:rPr>
            </w:pPr>
            <w:r w:rsidRPr="009B00AA">
              <w:rPr>
                <w:rFonts w:cs="Calibri"/>
                <w:b/>
                <w:bCs/>
                <w:color w:val="FFFFFF"/>
                <w:lang w:val="en-IE" w:eastAsia="en-IE"/>
              </w:rPr>
              <w:t> </w:t>
            </w:r>
          </w:p>
        </w:tc>
      </w:tr>
      <w:tr w:rsidR="009B00AA" w:rsidRPr="009B00AA" w14:paraId="39AF0CA0"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55A70025"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 </w:t>
            </w:r>
          </w:p>
        </w:tc>
        <w:tc>
          <w:tcPr>
            <w:tcW w:w="1700" w:type="dxa"/>
            <w:tcBorders>
              <w:top w:val="nil"/>
              <w:left w:val="nil"/>
              <w:bottom w:val="nil"/>
              <w:right w:val="single" w:sz="8" w:space="0" w:color="000080"/>
            </w:tcBorders>
            <w:shd w:val="clear" w:color="auto" w:fill="auto"/>
            <w:vAlign w:val="center"/>
            <w:hideMark/>
          </w:tcPr>
          <w:p w14:paraId="02BD77F1"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 </w:t>
            </w:r>
          </w:p>
        </w:tc>
      </w:tr>
      <w:tr w:rsidR="009B00AA" w:rsidRPr="009B00AA" w14:paraId="1397E9A9"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0B843930"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Local Property Tax allocation 100%</w:t>
            </w:r>
          </w:p>
        </w:tc>
        <w:tc>
          <w:tcPr>
            <w:tcW w:w="1700" w:type="dxa"/>
            <w:tcBorders>
              <w:top w:val="nil"/>
              <w:left w:val="nil"/>
              <w:bottom w:val="nil"/>
              <w:right w:val="single" w:sz="8" w:space="0" w:color="000080"/>
            </w:tcBorders>
            <w:shd w:val="clear" w:color="auto" w:fill="auto"/>
            <w:vAlign w:val="center"/>
            <w:hideMark/>
          </w:tcPr>
          <w:p w14:paraId="6A928F7F" w14:textId="77777777" w:rsidR="009B00AA" w:rsidRPr="009B00AA" w:rsidRDefault="009B00AA" w:rsidP="009B00AA">
            <w:pPr>
              <w:jc w:val="right"/>
              <w:rPr>
                <w:rFonts w:cs="Calibri"/>
                <w:b/>
                <w:bCs/>
                <w:color w:val="000000"/>
                <w:lang w:val="en-IE" w:eastAsia="en-IE"/>
              </w:rPr>
            </w:pPr>
            <w:r w:rsidRPr="009B00AA">
              <w:rPr>
                <w:rFonts w:cs="Calibri"/>
                <w:b/>
                <w:bCs/>
                <w:color w:val="000000"/>
                <w:lang w:val="en-IE" w:eastAsia="en-IE"/>
              </w:rPr>
              <w:t>€31,868,167</w:t>
            </w:r>
          </w:p>
        </w:tc>
      </w:tr>
      <w:tr w:rsidR="009B00AA" w:rsidRPr="009B00AA" w14:paraId="26DC2C73"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45EBA8CC" w14:textId="5A1DF605" w:rsidR="009B00AA" w:rsidRPr="009B00AA" w:rsidRDefault="009B00AA" w:rsidP="009B00AA">
            <w:pPr>
              <w:jc w:val="both"/>
              <w:rPr>
                <w:rFonts w:cs="Calibri"/>
                <w:b/>
                <w:bCs/>
                <w:color w:val="FF0000"/>
                <w:lang w:val="en-IE" w:eastAsia="en-IE"/>
              </w:rPr>
            </w:pPr>
            <w:r w:rsidRPr="009B00AA">
              <w:rPr>
                <w:rFonts w:cs="Calibri"/>
                <w:b/>
                <w:bCs/>
                <w:color w:val="FF0000"/>
                <w:lang w:val="en-IE" w:eastAsia="en-IE"/>
              </w:rPr>
              <w:t>Less</w:t>
            </w:r>
            <w:r w:rsidRPr="009B00AA">
              <w:rPr>
                <w:rFonts w:cs="Calibri"/>
                <w:b/>
                <w:bCs/>
                <w:color w:val="000000"/>
                <w:lang w:val="en-IE" w:eastAsia="en-IE"/>
              </w:rPr>
              <w:t>: 20% Equalisation Fund</w:t>
            </w:r>
          </w:p>
        </w:tc>
        <w:tc>
          <w:tcPr>
            <w:tcW w:w="1700" w:type="dxa"/>
            <w:tcBorders>
              <w:top w:val="nil"/>
              <w:left w:val="nil"/>
              <w:bottom w:val="nil"/>
              <w:right w:val="single" w:sz="8" w:space="0" w:color="000080"/>
            </w:tcBorders>
            <w:shd w:val="clear" w:color="auto" w:fill="auto"/>
            <w:vAlign w:val="center"/>
            <w:hideMark/>
          </w:tcPr>
          <w:p w14:paraId="7CB780FC" w14:textId="77777777" w:rsidR="009B00AA" w:rsidRPr="009B00AA" w:rsidRDefault="009B00AA" w:rsidP="009B00AA">
            <w:pPr>
              <w:jc w:val="right"/>
              <w:rPr>
                <w:rFonts w:cs="Calibri"/>
                <w:b/>
                <w:bCs/>
                <w:color w:val="FF0000"/>
                <w:lang w:val="en-IE" w:eastAsia="en-IE"/>
              </w:rPr>
            </w:pPr>
            <w:r w:rsidRPr="009B00AA">
              <w:rPr>
                <w:rFonts w:cs="Calibri"/>
                <w:b/>
                <w:bCs/>
                <w:color w:val="FF0000"/>
                <w:lang w:val="en-IE" w:eastAsia="en-IE"/>
              </w:rPr>
              <w:t>€6,373,633</w:t>
            </w:r>
          </w:p>
        </w:tc>
      </w:tr>
      <w:tr w:rsidR="009B00AA" w:rsidRPr="009B00AA" w14:paraId="02F31F4B"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67A1F6A4"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LPT Retained Locally 80%</w:t>
            </w:r>
          </w:p>
        </w:tc>
        <w:tc>
          <w:tcPr>
            <w:tcW w:w="1700" w:type="dxa"/>
            <w:tcBorders>
              <w:top w:val="nil"/>
              <w:left w:val="nil"/>
              <w:bottom w:val="nil"/>
              <w:right w:val="single" w:sz="8" w:space="0" w:color="000080"/>
            </w:tcBorders>
            <w:shd w:val="clear" w:color="auto" w:fill="auto"/>
            <w:vAlign w:val="center"/>
            <w:hideMark/>
          </w:tcPr>
          <w:p w14:paraId="4B7FDAA1" w14:textId="77777777" w:rsidR="009B00AA" w:rsidRPr="009B00AA" w:rsidRDefault="009B00AA" w:rsidP="009B00AA">
            <w:pPr>
              <w:jc w:val="right"/>
              <w:rPr>
                <w:rFonts w:cs="Calibri"/>
                <w:b/>
                <w:bCs/>
                <w:color w:val="000000"/>
                <w:u w:val="single"/>
                <w:lang w:val="en-IE" w:eastAsia="en-IE"/>
              </w:rPr>
            </w:pPr>
            <w:r w:rsidRPr="009B00AA">
              <w:rPr>
                <w:rFonts w:cs="Calibri"/>
                <w:b/>
                <w:bCs/>
                <w:color w:val="000000"/>
                <w:u w:val="single"/>
                <w:lang w:val="en-IE" w:eastAsia="en-IE"/>
              </w:rPr>
              <w:t>€25,494,534</w:t>
            </w:r>
          </w:p>
        </w:tc>
      </w:tr>
      <w:tr w:rsidR="009B00AA" w:rsidRPr="009B00AA" w14:paraId="1AEC4CF7"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44043AB1" w14:textId="4A73F7A8" w:rsidR="009B00AA" w:rsidRPr="009B00AA" w:rsidRDefault="009B00AA" w:rsidP="009B00AA">
            <w:pPr>
              <w:jc w:val="both"/>
              <w:rPr>
                <w:rFonts w:cs="Calibri"/>
                <w:b/>
                <w:bCs/>
                <w:color w:val="FF0000"/>
                <w:lang w:val="en-IE" w:eastAsia="en-IE"/>
              </w:rPr>
            </w:pPr>
            <w:r w:rsidRPr="009B00AA">
              <w:rPr>
                <w:rFonts w:cs="Calibri"/>
                <w:b/>
                <w:bCs/>
                <w:color w:val="FF0000"/>
                <w:lang w:val="en-IE" w:eastAsia="en-IE"/>
              </w:rPr>
              <w:t>Less</w:t>
            </w:r>
            <w:r w:rsidRPr="009B00AA">
              <w:rPr>
                <w:rFonts w:cs="Calibri"/>
                <w:b/>
                <w:bCs/>
                <w:color w:val="000000"/>
                <w:lang w:val="en-IE" w:eastAsia="en-IE"/>
              </w:rPr>
              <w:t>: LPT surrendered via 15% variation</w:t>
            </w:r>
          </w:p>
        </w:tc>
        <w:tc>
          <w:tcPr>
            <w:tcW w:w="1700" w:type="dxa"/>
            <w:tcBorders>
              <w:top w:val="nil"/>
              <w:left w:val="nil"/>
              <w:bottom w:val="nil"/>
              <w:right w:val="single" w:sz="8" w:space="0" w:color="000080"/>
            </w:tcBorders>
            <w:shd w:val="clear" w:color="auto" w:fill="auto"/>
            <w:vAlign w:val="center"/>
            <w:hideMark/>
          </w:tcPr>
          <w:p w14:paraId="714C65DA" w14:textId="77777777" w:rsidR="009B00AA" w:rsidRPr="009B00AA" w:rsidRDefault="009B00AA" w:rsidP="009B00AA">
            <w:pPr>
              <w:jc w:val="right"/>
              <w:rPr>
                <w:rFonts w:cs="Calibri"/>
                <w:b/>
                <w:bCs/>
                <w:color w:val="FF0000"/>
                <w:lang w:val="en-IE" w:eastAsia="en-IE"/>
              </w:rPr>
            </w:pPr>
            <w:r w:rsidRPr="009B00AA">
              <w:rPr>
                <w:rFonts w:cs="Calibri"/>
                <w:b/>
                <w:bCs/>
                <w:color w:val="FF0000"/>
                <w:lang w:val="en-IE" w:eastAsia="en-IE"/>
              </w:rPr>
              <w:t>€4,780,234</w:t>
            </w:r>
          </w:p>
        </w:tc>
      </w:tr>
      <w:tr w:rsidR="009B00AA" w:rsidRPr="009B00AA" w14:paraId="3BEA99B7"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76516171" w14:textId="77777777" w:rsidR="009B00AA" w:rsidRPr="009B00AA" w:rsidRDefault="009B00AA" w:rsidP="009B00AA">
            <w:pPr>
              <w:jc w:val="both"/>
              <w:rPr>
                <w:rFonts w:cs="Calibri"/>
                <w:b/>
                <w:bCs/>
                <w:i/>
                <w:iCs/>
                <w:color w:val="000000"/>
                <w:lang w:val="en-IE" w:eastAsia="en-IE"/>
              </w:rPr>
            </w:pPr>
            <w:r w:rsidRPr="009B00AA">
              <w:rPr>
                <w:rFonts w:cs="Calibri"/>
                <w:b/>
                <w:bCs/>
                <w:i/>
                <w:iCs/>
                <w:color w:val="000000"/>
                <w:lang w:val="en-IE" w:eastAsia="en-IE"/>
              </w:rPr>
              <w:t>Post variation allocation 2021</w:t>
            </w:r>
          </w:p>
        </w:tc>
        <w:tc>
          <w:tcPr>
            <w:tcW w:w="1700" w:type="dxa"/>
            <w:tcBorders>
              <w:top w:val="nil"/>
              <w:left w:val="nil"/>
              <w:bottom w:val="nil"/>
              <w:right w:val="single" w:sz="8" w:space="0" w:color="000080"/>
            </w:tcBorders>
            <w:shd w:val="clear" w:color="auto" w:fill="auto"/>
            <w:vAlign w:val="center"/>
            <w:hideMark/>
          </w:tcPr>
          <w:p w14:paraId="2B14115B" w14:textId="77777777" w:rsidR="009B00AA" w:rsidRPr="009B00AA" w:rsidRDefault="009B00AA" w:rsidP="009B00AA">
            <w:pPr>
              <w:jc w:val="right"/>
              <w:rPr>
                <w:rFonts w:cs="Calibri"/>
                <w:b/>
                <w:bCs/>
                <w:color w:val="000000"/>
                <w:u w:val="double"/>
                <w:lang w:val="en-IE" w:eastAsia="en-IE"/>
              </w:rPr>
            </w:pPr>
            <w:r w:rsidRPr="009B00AA">
              <w:rPr>
                <w:rFonts w:cs="Calibri"/>
                <w:b/>
                <w:bCs/>
                <w:color w:val="000000"/>
                <w:u w:val="double"/>
                <w:lang w:val="en-IE" w:eastAsia="en-IE"/>
              </w:rPr>
              <w:t>€20,714,300</w:t>
            </w:r>
          </w:p>
        </w:tc>
      </w:tr>
      <w:tr w:rsidR="009B00AA" w:rsidRPr="009B00AA" w14:paraId="5EAC914B"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3217CA29" w14:textId="77777777" w:rsidR="009B00AA" w:rsidRPr="009B00AA" w:rsidRDefault="009B00AA" w:rsidP="009B00AA">
            <w:pPr>
              <w:jc w:val="both"/>
              <w:rPr>
                <w:rFonts w:cs="Calibri"/>
                <w:b/>
                <w:bCs/>
                <w:i/>
                <w:iCs/>
                <w:color w:val="000000"/>
                <w:lang w:val="en-IE" w:eastAsia="en-IE"/>
              </w:rPr>
            </w:pPr>
            <w:r w:rsidRPr="009B00AA">
              <w:rPr>
                <w:rFonts w:cs="Calibri"/>
                <w:b/>
                <w:bCs/>
                <w:i/>
                <w:iCs/>
                <w:color w:val="000000"/>
                <w:lang w:val="en-IE" w:eastAsia="en-IE"/>
              </w:rPr>
              <w:t> </w:t>
            </w:r>
          </w:p>
        </w:tc>
        <w:tc>
          <w:tcPr>
            <w:tcW w:w="1700" w:type="dxa"/>
            <w:tcBorders>
              <w:top w:val="nil"/>
              <w:left w:val="nil"/>
              <w:bottom w:val="nil"/>
              <w:right w:val="single" w:sz="8" w:space="0" w:color="000080"/>
            </w:tcBorders>
            <w:shd w:val="clear" w:color="auto" w:fill="auto"/>
            <w:vAlign w:val="center"/>
            <w:hideMark/>
          </w:tcPr>
          <w:p w14:paraId="55B36813" w14:textId="77777777" w:rsidR="009B00AA" w:rsidRPr="009B00AA" w:rsidRDefault="009B00AA" w:rsidP="009B00AA">
            <w:pPr>
              <w:rPr>
                <w:rFonts w:cs="Calibri"/>
                <w:b/>
                <w:bCs/>
                <w:color w:val="000000"/>
                <w:lang w:val="en-IE" w:eastAsia="en-IE"/>
              </w:rPr>
            </w:pPr>
            <w:r w:rsidRPr="009B00AA">
              <w:rPr>
                <w:rFonts w:cs="Calibri"/>
                <w:b/>
                <w:bCs/>
                <w:color w:val="000000"/>
                <w:lang w:val="en-IE" w:eastAsia="en-IE"/>
              </w:rPr>
              <w:t> </w:t>
            </w:r>
          </w:p>
        </w:tc>
      </w:tr>
      <w:tr w:rsidR="009B00AA" w:rsidRPr="009B00AA" w14:paraId="62C45E58"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1D4ED5C5" w14:textId="5DF0B9B4" w:rsidR="009B00AA" w:rsidRPr="009B00AA" w:rsidRDefault="009B00AA" w:rsidP="009B00AA">
            <w:pPr>
              <w:jc w:val="both"/>
              <w:rPr>
                <w:rFonts w:cs="Calibri"/>
                <w:b/>
                <w:bCs/>
                <w:i/>
                <w:iCs/>
                <w:color w:val="000000"/>
                <w:lang w:val="en-IE" w:eastAsia="en-IE"/>
              </w:rPr>
            </w:pPr>
            <w:r w:rsidRPr="009B00AA">
              <w:rPr>
                <w:rFonts w:cs="Calibri"/>
                <w:b/>
                <w:bCs/>
                <w:i/>
                <w:iCs/>
                <w:color w:val="000000"/>
                <w:lang w:val="en-IE" w:eastAsia="en-IE"/>
              </w:rPr>
              <w:t>Assigned to:</w:t>
            </w:r>
          </w:p>
        </w:tc>
        <w:tc>
          <w:tcPr>
            <w:tcW w:w="1700" w:type="dxa"/>
            <w:tcBorders>
              <w:top w:val="nil"/>
              <w:left w:val="nil"/>
              <w:bottom w:val="nil"/>
              <w:right w:val="single" w:sz="8" w:space="0" w:color="000080"/>
            </w:tcBorders>
            <w:shd w:val="clear" w:color="auto" w:fill="auto"/>
            <w:vAlign w:val="center"/>
            <w:hideMark/>
          </w:tcPr>
          <w:p w14:paraId="746BB324" w14:textId="77777777" w:rsidR="009B00AA" w:rsidRPr="009B00AA" w:rsidRDefault="009B00AA" w:rsidP="009B00AA">
            <w:pPr>
              <w:rPr>
                <w:rFonts w:cs="Calibri"/>
                <w:b/>
                <w:bCs/>
                <w:color w:val="000000"/>
                <w:lang w:val="en-IE" w:eastAsia="en-IE"/>
              </w:rPr>
            </w:pPr>
            <w:r w:rsidRPr="009B00AA">
              <w:rPr>
                <w:rFonts w:cs="Calibri"/>
                <w:b/>
                <w:bCs/>
                <w:color w:val="000000"/>
                <w:lang w:val="en-IE" w:eastAsia="en-IE"/>
              </w:rPr>
              <w:t> </w:t>
            </w:r>
          </w:p>
        </w:tc>
      </w:tr>
      <w:tr w:rsidR="009B00AA" w:rsidRPr="009B00AA" w14:paraId="60C7BD2E" w14:textId="77777777" w:rsidTr="009B00AA">
        <w:trPr>
          <w:trHeight w:val="510"/>
        </w:trPr>
        <w:tc>
          <w:tcPr>
            <w:tcW w:w="7620" w:type="dxa"/>
            <w:tcBorders>
              <w:top w:val="nil"/>
              <w:left w:val="single" w:sz="8" w:space="0" w:color="000080"/>
              <w:bottom w:val="nil"/>
              <w:right w:val="single" w:sz="8" w:space="0" w:color="000080"/>
            </w:tcBorders>
            <w:shd w:val="clear" w:color="auto" w:fill="auto"/>
            <w:vAlign w:val="center"/>
            <w:hideMark/>
          </w:tcPr>
          <w:p w14:paraId="22642FF6"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 xml:space="preserve">Discretionary 2021 expenditure (Revenue Budget)*    </w:t>
            </w:r>
          </w:p>
        </w:tc>
        <w:tc>
          <w:tcPr>
            <w:tcW w:w="1700" w:type="dxa"/>
            <w:tcBorders>
              <w:top w:val="nil"/>
              <w:left w:val="nil"/>
              <w:bottom w:val="nil"/>
              <w:right w:val="single" w:sz="8" w:space="0" w:color="000080"/>
            </w:tcBorders>
            <w:shd w:val="clear" w:color="auto" w:fill="auto"/>
            <w:vAlign w:val="center"/>
            <w:hideMark/>
          </w:tcPr>
          <w:p w14:paraId="7890A99C" w14:textId="77777777" w:rsidR="009B00AA" w:rsidRPr="009B00AA" w:rsidRDefault="009B00AA" w:rsidP="009B00AA">
            <w:pPr>
              <w:jc w:val="right"/>
              <w:rPr>
                <w:rFonts w:cs="Calibri"/>
                <w:b/>
                <w:bCs/>
                <w:color w:val="000000"/>
                <w:lang w:val="en-IE" w:eastAsia="en-IE"/>
              </w:rPr>
            </w:pPr>
            <w:r w:rsidRPr="009B00AA">
              <w:rPr>
                <w:rFonts w:cs="Calibri"/>
                <w:b/>
                <w:bCs/>
                <w:color w:val="000000"/>
                <w:lang w:val="en-IE" w:eastAsia="en-IE"/>
              </w:rPr>
              <w:t>€5,449,700</w:t>
            </w:r>
          </w:p>
        </w:tc>
      </w:tr>
      <w:tr w:rsidR="009B00AA" w:rsidRPr="009B00AA" w14:paraId="53FD2B58" w14:textId="77777777" w:rsidTr="009B00AA">
        <w:trPr>
          <w:trHeight w:val="495"/>
        </w:trPr>
        <w:tc>
          <w:tcPr>
            <w:tcW w:w="7620" w:type="dxa"/>
            <w:tcBorders>
              <w:top w:val="nil"/>
              <w:left w:val="single" w:sz="8" w:space="0" w:color="000080"/>
              <w:bottom w:val="nil"/>
              <w:right w:val="single" w:sz="8" w:space="0" w:color="000080"/>
            </w:tcBorders>
            <w:shd w:val="clear" w:color="auto" w:fill="auto"/>
            <w:vAlign w:val="center"/>
            <w:hideMark/>
          </w:tcPr>
          <w:p w14:paraId="69B1831F"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Local roads maintenance and improvement (Revenue Budget)</w:t>
            </w:r>
          </w:p>
        </w:tc>
        <w:tc>
          <w:tcPr>
            <w:tcW w:w="1700" w:type="dxa"/>
            <w:tcBorders>
              <w:top w:val="nil"/>
              <w:left w:val="nil"/>
              <w:bottom w:val="nil"/>
              <w:right w:val="single" w:sz="8" w:space="0" w:color="000080"/>
            </w:tcBorders>
            <w:shd w:val="clear" w:color="auto" w:fill="auto"/>
            <w:vAlign w:val="center"/>
            <w:hideMark/>
          </w:tcPr>
          <w:p w14:paraId="5A002E4D" w14:textId="77777777" w:rsidR="009B00AA" w:rsidRPr="009B00AA" w:rsidRDefault="009B00AA" w:rsidP="009B00AA">
            <w:pPr>
              <w:jc w:val="right"/>
              <w:rPr>
                <w:rFonts w:cs="Calibri"/>
                <w:b/>
                <w:bCs/>
                <w:color w:val="000000"/>
                <w:lang w:val="en-IE" w:eastAsia="en-IE"/>
              </w:rPr>
            </w:pPr>
            <w:r w:rsidRPr="009B00AA">
              <w:rPr>
                <w:rFonts w:cs="Calibri"/>
                <w:b/>
                <w:bCs/>
                <w:color w:val="000000"/>
                <w:lang w:val="en-IE" w:eastAsia="en-IE"/>
              </w:rPr>
              <w:t>€2,886,900</w:t>
            </w:r>
          </w:p>
        </w:tc>
      </w:tr>
      <w:tr w:rsidR="009B00AA" w:rsidRPr="009B00AA" w14:paraId="407A8C1C" w14:textId="77777777" w:rsidTr="009B00AA">
        <w:trPr>
          <w:trHeight w:val="540"/>
        </w:trPr>
        <w:tc>
          <w:tcPr>
            <w:tcW w:w="7620" w:type="dxa"/>
            <w:tcBorders>
              <w:top w:val="nil"/>
              <w:left w:val="single" w:sz="8" w:space="0" w:color="000080"/>
              <w:bottom w:val="nil"/>
              <w:right w:val="single" w:sz="8" w:space="0" w:color="000080"/>
            </w:tcBorders>
            <w:shd w:val="clear" w:color="auto" w:fill="auto"/>
            <w:vAlign w:val="center"/>
            <w:hideMark/>
          </w:tcPr>
          <w:p w14:paraId="3274B3F9"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Housing Assoc./Vol. Body loan repayments (Revenue Budget)</w:t>
            </w:r>
          </w:p>
        </w:tc>
        <w:tc>
          <w:tcPr>
            <w:tcW w:w="1700" w:type="dxa"/>
            <w:tcBorders>
              <w:top w:val="nil"/>
              <w:left w:val="nil"/>
              <w:bottom w:val="nil"/>
              <w:right w:val="single" w:sz="8" w:space="0" w:color="000080"/>
            </w:tcBorders>
            <w:shd w:val="clear" w:color="auto" w:fill="auto"/>
            <w:vAlign w:val="center"/>
            <w:hideMark/>
          </w:tcPr>
          <w:p w14:paraId="42292B9A" w14:textId="77777777" w:rsidR="009B00AA" w:rsidRPr="009B00AA" w:rsidRDefault="009B00AA" w:rsidP="009B00AA">
            <w:pPr>
              <w:jc w:val="right"/>
              <w:rPr>
                <w:rFonts w:cs="Calibri"/>
                <w:b/>
                <w:bCs/>
                <w:color w:val="000000"/>
                <w:u w:val="single"/>
                <w:lang w:val="en-IE" w:eastAsia="en-IE"/>
              </w:rPr>
            </w:pPr>
            <w:r w:rsidRPr="009B00AA">
              <w:rPr>
                <w:rFonts w:cs="Calibri"/>
                <w:b/>
                <w:bCs/>
                <w:color w:val="000000"/>
                <w:u w:val="single"/>
                <w:lang w:val="en-IE" w:eastAsia="en-IE"/>
              </w:rPr>
              <w:t>€2,255,900</w:t>
            </w:r>
          </w:p>
        </w:tc>
      </w:tr>
      <w:tr w:rsidR="009B00AA" w:rsidRPr="009B00AA" w14:paraId="2E8B31B4"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385DEDDB" w14:textId="77777777" w:rsidR="009B00AA" w:rsidRPr="009B00AA" w:rsidRDefault="009B00AA" w:rsidP="009B00AA">
            <w:pPr>
              <w:jc w:val="both"/>
              <w:rPr>
                <w:rFonts w:cs="Calibri"/>
                <w:b/>
                <w:bCs/>
                <w:i/>
                <w:iCs/>
                <w:color w:val="000000"/>
                <w:lang w:val="en-IE" w:eastAsia="en-IE"/>
              </w:rPr>
            </w:pPr>
            <w:r w:rsidRPr="009B00AA">
              <w:rPr>
                <w:rFonts w:cs="Calibri"/>
                <w:b/>
                <w:bCs/>
                <w:i/>
                <w:iCs/>
                <w:color w:val="000000"/>
                <w:lang w:val="en-IE" w:eastAsia="en-IE"/>
              </w:rPr>
              <w:t>(Total assigned to Revenue Budget)</w:t>
            </w:r>
          </w:p>
        </w:tc>
        <w:tc>
          <w:tcPr>
            <w:tcW w:w="1700" w:type="dxa"/>
            <w:tcBorders>
              <w:top w:val="nil"/>
              <w:left w:val="nil"/>
              <w:bottom w:val="nil"/>
              <w:right w:val="single" w:sz="8" w:space="0" w:color="000080"/>
            </w:tcBorders>
            <w:shd w:val="clear" w:color="auto" w:fill="auto"/>
            <w:vAlign w:val="center"/>
            <w:hideMark/>
          </w:tcPr>
          <w:p w14:paraId="067AC2AE" w14:textId="77777777" w:rsidR="009B00AA" w:rsidRPr="009B00AA" w:rsidRDefault="009B00AA" w:rsidP="009B00AA">
            <w:pPr>
              <w:jc w:val="right"/>
              <w:rPr>
                <w:rFonts w:cs="Calibri"/>
                <w:b/>
                <w:bCs/>
                <w:color w:val="000000"/>
                <w:lang w:val="en-IE" w:eastAsia="en-IE"/>
              </w:rPr>
            </w:pPr>
            <w:r w:rsidRPr="009B00AA">
              <w:rPr>
                <w:rFonts w:cs="Calibri"/>
                <w:b/>
                <w:bCs/>
                <w:color w:val="000000"/>
                <w:lang w:val="en-IE" w:eastAsia="en-IE"/>
              </w:rPr>
              <w:t>€10,592,500</w:t>
            </w:r>
          </w:p>
        </w:tc>
      </w:tr>
      <w:tr w:rsidR="009B00AA" w:rsidRPr="009B00AA" w14:paraId="06E0567D"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2CFE8B7A" w14:textId="77777777" w:rsidR="009B00AA" w:rsidRPr="009B00AA" w:rsidRDefault="009B00AA" w:rsidP="009B00AA">
            <w:pPr>
              <w:jc w:val="both"/>
              <w:rPr>
                <w:rFonts w:cs="Calibri"/>
                <w:b/>
                <w:bCs/>
                <w:color w:val="000000"/>
                <w:lang w:val="en-IE" w:eastAsia="en-IE"/>
              </w:rPr>
            </w:pPr>
            <w:r w:rsidRPr="009B00AA">
              <w:rPr>
                <w:rFonts w:cs="Calibri"/>
                <w:b/>
                <w:bCs/>
                <w:color w:val="000000"/>
                <w:lang w:val="en-IE" w:eastAsia="en-IE"/>
              </w:rPr>
              <w:t>Housing Capital Projects (Capital)</w:t>
            </w:r>
          </w:p>
        </w:tc>
        <w:tc>
          <w:tcPr>
            <w:tcW w:w="1700" w:type="dxa"/>
            <w:tcBorders>
              <w:top w:val="nil"/>
              <w:left w:val="nil"/>
              <w:bottom w:val="nil"/>
              <w:right w:val="single" w:sz="8" w:space="0" w:color="000080"/>
            </w:tcBorders>
            <w:shd w:val="clear" w:color="auto" w:fill="auto"/>
            <w:vAlign w:val="center"/>
            <w:hideMark/>
          </w:tcPr>
          <w:p w14:paraId="3C398CEE" w14:textId="77777777" w:rsidR="009B00AA" w:rsidRPr="009B00AA" w:rsidRDefault="009B00AA" w:rsidP="009B00AA">
            <w:pPr>
              <w:jc w:val="right"/>
              <w:rPr>
                <w:rFonts w:cs="Calibri"/>
                <w:b/>
                <w:bCs/>
                <w:color w:val="000000"/>
                <w:u w:val="single"/>
                <w:lang w:val="en-IE" w:eastAsia="en-IE"/>
              </w:rPr>
            </w:pPr>
            <w:r w:rsidRPr="009B00AA">
              <w:rPr>
                <w:rFonts w:cs="Calibri"/>
                <w:b/>
                <w:bCs/>
                <w:color w:val="000000"/>
                <w:u w:val="single"/>
                <w:lang w:val="en-IE" w:eastAsia="en-IE"/>
              </w:rPr>
              <w:t>€10,121,800</w:t>
            </w:r>
          </w:p>
        </w:tc>
      </w:tr>
      <w:tr w:rsidR="009B00AA" w:rsidRPr="009B00AA" w14:paraId="0F353A8C" w14:textId="77777777" w:rsidTr="009B00AA">
        <w:trPr>
          <w:trHeight w:val="288"/>
        </w:trPr>
        <w:tc>
          <w:tcPr>
            <w:tcW w:w="7620" w:type="dxa"/>
            <w:tcBorders>
              <w:top w:val="nil"/>
              <w:left w:val="single" w:sz="8" w:space="0" w:color="000080"/>
              <w:bottom w:val="nil"/>
              <w:right w:val="single" w:sz="8" w:space="0" w:color="000080"/>
            </w:tcBorders>
            <w:shd w:val="clear" w:color="auto" w:fill="auto"/>
            <w:vAlign w:val="center"/>
            <w:hideMark/>
          </w:tcPr>
          <w:p w14:paraId="6762AC96" w14:textId="77777777" w:rsidR="009B00AA" w:rsidRPr="009B00AA" w:rsidRDefault="009B00AA" w:rsidP="009B00AA">
            <w:pPr>
              <w:jc w:val="both"/>
              <w:rPr>
                <w:rFonts w:cs="Calibri"/>
                <w:b/>
                <w:bCs/>
                <w:i/>
                <w:iCs/>
                <w:color w:val="000000"/>
                <w:lang w:val="en-IE" w:eastAsia="en-IE"/>
              </w:rPr>
            </w:pPr>
            <w:r w:rsidRPr="009B00AA">
              <w:rPr>
                <w:rFonts w:cs="Calibri"/>
                <w:b/>
                <w:bCs/>
                <w:i/>
                <w:iCs/>
                <w:color w:val="000000"/>
                <w:lang w:val="en-IE" w:eastAsia="en-IE"/>
              </w:rPr>
              <w:t>Post variation allocation 2021</w:t>
            </w:r>
          </w:p>
        </w:tc>
        <w:tc>
          <w:tcPr>
            <w:tcW w:w="1700" w:type="dxa"/>
            <w:tcBorders>
              <w:top w:val="nil"/>
              <w:left w:val="nil"/>
              <w:bottom w:val="nil"/>
              <w:right w:val="single" w:sz="8" w:space="0" w:color="000080"/>
            </w:tcBorders>
            <w:shd w:val="clear" w:color="auto" w:fill="auto"/>
            <w:vAlign w:val="center"/>
            <w:hideMark/>
          </w:tcPr>
          <w:p w14:paraId="4F83D2A7" w14:textId="77777777" w:rsidR="009B00AA" w:rsidRPr="009B00AA" w:rsidRDefault="009B00AA" w:rsidP="009B00AA">
            <w:pPr>
              <w:jc w:val="right"/>
              <w:rPr>
                <w:rFonts w:cs="Calibri"/>
                <w:b/>
                <w:bCs/>
                <w:color w:val="000000"/>
                <w:u w:val="double"/>
                <w:lang w:val="en-IE" w:eastAsia="en-IE"/>
              </w:rPr>
            </w:pPr>
            <w:r w:rsidRPr="009B00AA">
              <w:rPr>
                <w:rFonts w:cs="Calibri"/>
                <w:b/>
                <w:bCs/>
                <w:color w:val="000000"/>
                <w:u w:val="double"/>
                <w:lang w:val="en-IE" w:eastAsia="en-IE"/>
              </w:rPr>
              <w:t>€20,714,300</w:t>
            </w:r>
          </w:p>
        </w:tc>
      </w:tr>
      <w:tr w:rsidR="009B00AA" w:rsidRPr="009B00AA" w14:paraId="0E5DAB89" w14:textId="77777777" w:rsidTr="009B00AA">
        <w:trPr>
          <w:trHeight w:val="468"/>
        </w:trPr>
        <w:tc>
          <w:tcPr>
            <w:tcW w:w="7620" w:type="dxa"/>
            <w:tcBorders>
              <w:top w:val="nil"/>
              <w:left w:val="single" w:sz="8" w:space="0" w:color="000080"/>
              <w:bottom w:val="single" w:sz="8" w:space="0" w:color="000080"/>
              <w:right w:val="single" w:sz="8" w:space="0" w:color="000080"/>
            </w:tcBorders>
            <w:shd w:val="clear" w:color="auto" w:fill="auto"/>
            <w:vAlign w:val="center"/>
            <w:hideMark/>
          </w:tcPr>
          <w:p w14:paraId="0813B33A" w14:textId="47FD43C7" w:rsidR="009B00AA" w:rsidRPr="009B00AA" w:rsidRDefault="009B00AA" w:rsidP="009B00AA">
            <w:pPr>
              <w:jc w:val="both"/>
              <w:rPr>
                <w:rFonts w:cs="Calibri"/>
                <w:b/>
                <w:bCs/>
                <w:color w:val="000000"/>
                <w:sz w:val="18"/>
                <w:szCs w:val="18"/>
                <w:lang w:val="en-IE" w:eastAsia="en-IE"/>
              </w:rPr>
            </w:pPr>
            <w:r w:rsidRPr="009B00AA">
              <w:rPr>
                <w:rFonts w:cs="Calibri"/>
                <w:b/>
                <w:bCs/>
                <w:color w:val="000000"/>
                <w:sz w:val="18"/>
                <w:szCs w:val="18"/>
                <w:lang w:val="en-IE" w:eastAsia="en-IE"/>
              </w:rPr>
              <w:t>*€3,856,262 (Baseline) + €1,593,438 (Post variation discretionary Income)</w:t>
            </w:r>
          </w:p>
        </w:tc>
        <w:tc>
          <w:tcPr>
            <w:tcW w:w="1700" w:type="dxa"/>
            <w:tcBorders>
              <w:top w:val="nil"/>
              <w:left w:val="nil"/>
              <w:bottom w:val="single" w:sz="8" w:space="0" w:color="000080"/>
              <w:right w:val="single" w:sz="8" w:space="0" w:color="000080"/>
            </w:tcBorders>
            <w:shd w:val="clear" w:color="auto" w:fill="auto"/>
            <w:hideMark/>
          </w:tcPr>
          <w:p w14:paraId="76CF6B8B" w14:textId="77777777" w:rsidR="009B00AA" w:rsidRPr="009B00AA" w:rsidRDefault="009B00AA" w:rsidP="009B00AA">
            <w:pPr>
              <w:rPr>
                <w:rFonts w:ascii="Calibri" w:hAnsi="Calibri" w:cs="Calibri"/>
                <w:color w:val="000000"/>
                <w:sz w:val="22"/>
                <w:szCs w:val="22"/>
                <w:lang w:val="en-IE" w:eastAsia="en-IE"/>
              </w:rPr>
            </w:pPr>
            <w:r w:rsidRPr="009B00AA">
              <w:rPr>
                <w:rFonts w:ascii="Calibri" w:hAnsi="Calibri" w:cs="Calibri"/>
                <w:color w:val="000000"/>
                <w:sz w:val="22"/>
                <w:szCs w:val="22"/>
                <w:lang w:val="en-IE" w:eastAsia="en-IE"/>
              </w:rPr>
              <w:t> </w:t>
            </w:r>
          </w:p>
        </w:tc>
      </w:tr>
    </w:tbl>
    <w:p w14:paraId="23EB93A5" w14:textId="77777777" w:rsidR="00412CE2" w:rsidRDefault="00412CE2" w:rsidP="00735DBC">
      <w:pPr>
        <w:spacing w:line="360" w:lineRule="auto"/>
        <w:jc w:val="both"/>
      </w:pPr>
    </w:p>
    <w:p w14:paraId="1F8BECB3" w14:textId="77777777" w:rsidR="0005113E" w:rsidRDefault="0005113E" w:rsidP="00611AF5">
      <w:pPr>
        <w:spacing w:line="360" w:lineRule="auto"/>
        <w:ind w:left="720"/>
        <w:jc w:val="both"/>
      </w:pPr>
    </w:p>
    <w:p w14:paraId="56044BA5" w14:textId="77777777" w:rsidR="00E158B8" w:rsidRDefault="00E158B8" w:rsidP="00D07E55">
      <w:pPr>
        <w:spacing w:line="360" w:lineRule="auto"/>
        <w:jc w:val="both"/>
        <w:rPr>
          <w:b/>
        </w:rPr>
      </w:pPr>
    </w:p>
    <w:p w14:paraId="7DD6D0C1" w14:textId="4074406F" w:rsidR="00D07E55" w:rsidRPr="000F1FBF" w:rsidRDefault="00D07E55" w:rsidP="00D07E55">
      <w:pPr>
        <w:spacing w:line="360" w:lineRule="auto"/>
        <w:jc w:val="both"/>
      </w:pPr>
      <w:r w:rsidRPr="000F1FBF">
        <w:rPr>
          <w:b/>
        </w:rPr>
        <w:t>1.</w:t>
      </w:r>
      <w:r>
        <w:rPr>
          <w:b/>
        </w:rPr>
        <w:t>2</w:t>
      </w:r>
      <w:r w:rsidRPr="000F1FBF">
        <w:rPr>
          <w:b/>
        </w:rPr>
        <w:t xml:space="preserve"> Local Pro</w:t>
      </w:r>
      <w:r w:rsidR="00647F2F">
        <w:rPr>
          <w:b/>
        </w:rPr>
        <w:t>perty Tax Income Allocation 20</w:t>
      </w:r>
      <w:r w:rsidR="008E6BA5">
        <w:rPr>
          <w:b/>
        </w:rPr>
        <w:t>2</w:t>
      </w:r>
      <w:r w:rsidR="00AB1363">
        <w:rPr>
          <w:b/>
        </w:rPr>
        <w:t>2</w:t>
      </w:r>
      <w:r w:rsidRPr="000F1FBF">
        <w:t>:</w:t>
      </w:r>
    </w:p>
    <w:p w14:paraId="61DA03E7" w14:textId="447DB41D" w:rsidR="00375793" w:rsidRPr="00154592" w:rsidRDefault="00375793" w:rsidP="00375793">
      <w:pPr>
        <w:spacing w:line="360" w:lineRule="auto"/>
        <w:jc w:val="both"/>
      </w:pPr>
      <w:r w:rsidRPr="00154592">
        <w:t xml:space="preserve">Department of </w:t>
      </w:r>
      <w:r w:rsidR="005D0B8D">
        <w:t xml:space="preserve">Housing, </w:t>
      </w:r>
      <w:r>
        <w:t>Local Government</w:t>
      </w:r>
      <w:r w:rsidR="009B00AA">
        <w:t xml:space="preserve"> and Heritage</w:t>
      </w:r>
      <w:r>
        <w:t xml:space="preserve"> </w:t>
      </w:r>
      <w:r w:rsidR="00EE7627">
        <w:t>(</w:t>
      </w:r>
      <w:r w:rsidR="002B6506">
        <w:t>DHLGH</w:t>
      </w:r>
      <w:r w:rsidR="00EE7627">
        <w:t xml:space="preserve">) </w:t>
      </w:r>
      <w:r w:rsidR="00C1305E">
        <w:t>circular Fin</w:t>
      </w:r>
      <w:r w:rsidR="00F41F9F">
        <w:t xml:space="preserve"> </w:t>
      </w:r>
      <w:r w:rsidR="00E1028C">
        <w:t>1</w:t>
      </w:r>
      <w:r w:rsidR="009B00AA">
        <w:t>5</w:t>
      </w:r>
      <w:r w:rsidR="00E1028C">
        <w:t>/202</w:t>
      </w:r>
      <w:r w:rsidR="009B00AA">
        <w:t>1</w:t>
      </w:r>
      <w:r w:rsidR="00C1305E">
        <w:t xml:space="preserve"> </w:t>
      </w:r>
      <w:r w:rsidR="00F41F9F">
        <w:t xml:space="preserve">dated </w:t>
      </w:r>
      <w:r w:rsidR="009B00AA">
        <w:t>17</w:t>
      </w:r>
      <w:r w:rsidR="00407A8C">
        <w:t>th</w:t>
      </w:r>
      <w:r w:rsidR="005D0B8D">
        <w:t xml:space="preserve"> Ju</w:t>
      </w:r>
      <w:r w:rsidR="009B00AA">
        <w:t>ne</w:t>
      </w:r>
      <w:r>
        <w:t xml:space="preserve"> 20</w:t>
      </w:r>
      <w:r w:rsidR="00407A8C">
        <w:t>2</w:t>
      </w:r>
      <w:r w:rsidR="009B00AA">
        <w:t>1</w:t>
      </w:r>
      <w:r>
        <w:t xml:space="preserve"> </w:t>
      </w:r>
      <w:r w:rsidR="007B06F8">
        <w:t>re-affirms the Government’s intention t</w:t>
      </w:r>
      <w:r w:rsidRPr="00154592">
        <w:t xml:space="preserve">hat 80% of LPT </w:t>
      </w:r>
      <w:r>
        <w:t xml:space="preserve">income collected </w:t>
      </w:r>
      <w:r w:rsidRPr="00154592">
        <w:t xml:space="preserve">will be retained locally </w:t>
      </w:r>
      <w:r w:rsidR="00C1305E">
        <w:t>and</w:t>
      </w:r>
      <w:r w:rsidRPr="00154592">
        <w:t xml:space="preserve"> the 20% </w:t>
      </w:r>
      <w:r w:rsidR="00C1305E">
        <w:t xml:space="preserve">balance will </w:t>
      </w:r>
      <w:r>
        <w:t xml:space="preserve">to be </w:t>
      </w:r>
      <w:r w:rsidR="00716978">
        <w:t>paid into an equalisation fund</w:t>
      </w:r>
      <w:r w:rsidRPr="00154592">
        <w:t xml:space="preserve">.  </w:t>
      </w:r>
    </w:p>
    <w:p w14:paraId="03D48EE9" w14:textId="77777777" w:rsidR="00375793" w:rsidRPr="00154592" w:rsidRDefault="00375793" w:rsidP="00375793">
      <w:pPr>
        <w:spacing w:line="360" w:lineRule="auto"/>
        <w:jc w:val="both"/>
      </w:pPr>
    </w:p>
    <w:p w14:paraId="0C7B39E5" w14:textId="5EA76F2F" w:rsidR="00375793" w:rsidRDefault="0011482E" w:rsidP="00375793">
      <w:pPr>
        <w:spacing w:line="360" w:lineRule="auto"/>
        <w:jc w:val="both"/>
      </w:pPr>
      <w:r>
        <w:t>Notwithstanding th</w:t>
      </w:r>
      <w:r w:rsidR="00697F33">
        <w:t>at</w:t>
      </w:r>
      <w:r>
        <w:t xml:space="preserve"> the </w:t>
      </w:r>
      <w:r w:rsidR="00697F33">
        <w:t>Finance (Local Property Tax)(Amendment) Bill 2021 proposes to specify the 1</w:t>
      </w:r>
      <w:r w:rsidR="00697F33" w:rsidRPr="00697F33">
        <w:rPr>
          <w:vertAlign w:val="superscript"/>
        </w:rPr>
        <w:t>st</w:t>
      </w:r>
      <w:r w:rsidR="00697F33">
        <w:t xml:space="preserve"> November 2021 as the next valuation date for the years 2022 – 2025, t</w:t>
      </w:r>
      <w:r w:rsidR="00375793" w:rsidRPr="00154592">
        <w:t>he</w:t>
      </w:r>
      <w:r w:rsidR="00697F33">
        <w:t xml:space="preserve"> </w:t>
      </w:r>
      <w:r w:rsidR="00697F33" w:rsidRPr="00154592">
        <w:t xml:space="preserve">Department of </w:t>
      </w:r>
      <w:r w:rsidR="00697F33">
        <w:t>Housing, Local Government and Heritage (</w:t>
      </w:r>
      <w:r w:rsidR="002B6506">
        <w:t>DHLGH</w:t>
      </w:r>
      <w:r w:rsidR="00697F33">
        <w:t>) has advised that this</w:t>
      </w:r>
      <w:r w:rsidR="00375793" w:rsidRPr="00154592">
        <w:t xml:space="preserve"> Council’s </w:t>
      </w:r>
      <w:r w:rsidR="009B00AA">
        <w:t xml:space="preserve">provisional </w:t>
      </w:r>
      <w:r w:rsidR="00375793" w:rsidRPr="00154592">
        <w:t xml:space="preserve">LPT allocation for </w:t>
      </w:r>
      <w:r w:rsidR="00375793" w:rsidRPr="008732AD">
        <w:t>20</w:t>
      </w:r>
      <w:r w:rsidR="008E6BA5">
        <w:t>2</w:t>
      </w:r>
      <w:r w:rsidR="009B00AA">
        <w:t>2</w:t>
      </w:r>
      <w:r w:rsidR="00375793" w:rsidRPr="008732AD">
        <w:t xml:space="preserve"> is €</w:t>
      </w:r>
      <w:r w:rsidR="00F41F9F">
        <w:t>25,</w:t>
      </w:r>
      <w:r w:rsidR="00AB1363">
        <w:t>573,647</w:t>
      </w:r>
      <w:r w:rsidR="00697F33">
        <w:t>. This</w:t>
      </w:r>
      <w:r w:rsidR="00375793">
        <w:t xml:space="preserve"> represent</w:t>
      </w:r>
      <w:r w:rsidR="00697F33">
        <w:t>s</w:t>
      </w:r>
      <w:r w:rsidR="00375793">
        <w:t xml:space="preserve"> 80% of the LPT </w:t>
      </w:r>
      <w:r w:rsidR="00375793" w:rsidRPr="008732AD">
        <w:t>income of €</w:t>
      </w:r>
      <w:r w:rsidR="00F41F9F">
        <w:t>31,</w:t>
      </w:r>
      <w:r w:rsidR="00AB1363">
        <w:t>967,059</w:t>
      </w:r>
      <w:r w:rsidR="00375793">
        <w:t xml:space="preserve"> that it is anticipated will be collected in the South Dublin County administrative area in 20</w:t>
      </w:r>
      <w:r w:rsidR="008E6BA5">
        <w:t>2</w:t>
      </w:r>
      <w:r w:rsidR="00AB1363">
        <w:t>2</w:t>
      </w:r>
      <w:r w:rsidR="00375793" w:rsidRPr="00154592">
        <w:t>.</w:t>
      </w:r>
      <w:r w:rsidR="00697F33">
        <w:t xml:space="preserve"> When detailed information on the 2022</w:t>
      </w:r>
      <w:r w:rsidR="00F26889">
        <w:t xml:space="preserve"> LPT </w:t>
      </w:r>
      <w:r w:rsidR="00697F33">
        <w:t>yield is available, the allocation will be reviewed.</w:t>
      </w:r>
      <w:r w:rsidR="00375793" w:rsidRPr="00154592">
        <w:t xml:space="preserve"> </w:t>
      </w:r>
      <w:r w:rsidR="00375793">
        <w:t>T</w:t>
      </w:r>
      <w:r w:rsidR="00375793" w:rsidRPr="00924FE5">
        <w:t>he</w:t>
      </w:r>
      <w:r w:rsidR="00375793">
        <w:t xml:space="preserve"> D</w:t>
      </w:r>
      <w:r w:rsidR="005D0B8D">
        <w:t>epartment</w:t>
      </w:r>
      <w:r w:rsidR="00375793">
        <w:t xml:space="preserve"> has advised that </w:t>
      </w:r>
      <w:r w:rsidR="00F26889">
        <w:t>present</w:t>
      </w:r>
      <w:r w:rsidR="00375793">
        <w:t xml:space="preserve"> income will be</w:t>
      </w:r>
      <w:r w:rsidR="00375793" w:rsidRPr="00154592">
        <w:t xml:space="preserve"> allocated as follows:</w:t>
      </w:r>
    </w:p>
    <w:p w14:paraId="6E68B0F9" w14:textId="77777777" w:rsidR="00375793" w:rsidRDefault="00375793" w:rsidP="00375793">
      <w:pPr>
        <w:spacing w:line="360" w:lineRule="auto"/>
        <w:jc w:val="both"/>
        <w:rPr>
          <w:sz w:val="22"/>
          <w:szCs w:val="22"/>
        </w:rPr>
      </w:pPr>
    </w:p>
    <w:p w14:paraId="415A35CC" w14:textId="4197E198" w:rsidR="00375793" w:rsidRDefault="00375793" w:rsidP="002150C0">
      <w:pPr>
        <w:numPr>
          <w:ilvl w:val="0"/>
          <w:numId w:val="1"/>
        </w:numPr>
        <w:spacing w:line="360" w:lineRule="auto"/>
        <w:jc w:val="both"/>
      </w:pPr>
      <w:r>
        <w:rPr>
          <w:lang w:eastAsia="en-GB"/>
        </w:rPr>
        <w:t xml:space="preserve">An amount </w:t>
      </w:r>
      <w:r w:rsidR="00F41F9F">
        <w:rPr>
          <w:lang w:eastAsia="en-GB"/>
        </w:rPr>
        <w:t>of €3,856,262 is allocated as the 20</w:t>
      </w:r>
      <w:r w:rsidR="008E6BA5">
        <w:rPr>
          <w:lang w:eastAsia="en-GB"/>
        </w:rPr>
        <w:t>2</w:t>
      </w:r>
      <w:r w:rsidR="00AB1363">
        <w:rPr>
          <w:lang w:eastAsia="en-GB"/>
        </w:rPr>
        <w:t>2</w:t>
      </w:r>
      <w:r w:rsidR="00F41F9F">
        <w:rPr>
          <w:lang w:eastAsia="en-GB"/>
        </w:rPr>
        <w:t xml:space="preserve"> Baseline LPT figure and is the same amount as was allocated as the 20</w:t>
      </w:r>
      <w:r w:rsidR="00407A8C">
        <w:rPr>
          <w:lang w:eastAsia="en-GB"/>
        </w:rPr>
        <w:t>2</w:t>
      </w:r>
      <w:r w:rsidR="00AB1363">
        <w:rPr>
          <w:lang w:eastAsia="en-GB"/>
        </w:rPr>
        <w:t>1</w:t>
      </w:r>
      <w:r w:rsidR="00F41F9F">
        <w:rPr>
          <w:lang w:eastAsia="en-GB"/>
        </w:rPr>
        <w:t xml:space="preserve"> Baseline figure.</w:t>
      </w:r>
      <w:r>
        <w:br/>
      </w:r>
    </w:p>
    <w:p w14:paraId="3CCE97F8" w14:textId="5B5FF83B" w:rsidR="00375793" w:rsidRPr="00154592" w:rsidRDefault="00375793" w:rsidP="00DE69D1">
      <w:pPr>
        <w:numPr>
          <w:ilvl w:val="0"/>
          <w:numId w:val="1"/>
        </w:numPr>
        <w:spacing w:line="360" w:lineRule="auto"/>
        <w:jc w:val="both"/>
      </w:pPr>
      <w:r>
        <w:t>20</w:t>
      </w:r>
      <w:r w:rsidRPr="00154592">
        <w:t xml:space="preserve">% of the </w:t>
      </w:r>
      <w:r>
        <w:t>20</w:t>
      </w:r>
      <w:r w:rsidR="00AB1363">
        <w:t>22</w:t>
      </w:r>
      <w:r>
        <w:t xml:space="preserve"> LPT income collection</w:t>
      </w:r>
      <w:r w:rsidRPr="00154592">
        <w:t xml:space="preserve"> amounting to </w:t>
      </w:r>
      <w:r w:rsidRPr="008732AD">
        <w:t>€</w:t>
      </w:r>
      <w:r w:rsidR="00F41F9F">
        <w:t>6,</w:t>
      </w:r>
      <w:r w:rsidR="008E6BA5">
        <w:t>3</w:t>
      </w:r>
      <w:r w:rsidR="00AB1363">
        <w:t>9</w:t>
      </w:r>
      <w:r w:rsidR="00407A8C">
        <w:t>3</w:t>
      </w:r>
      <w:r w:rsidR="008E6BA5">
        <w:t>,</w:t>
      </w:r>
      <w:r w:rsidR="00AB1363">
        <w:t>412</w:t>
      </w:r>
      <w:r>
        <w:t xml:space="preserve"> </w:t>
      </w:r>
      <w:r w:rsidR="000D51B7">
        <w:t>is provided for</w:t>
      </w:r>
      <w:r w:rsidRPr="00154592">
        <w:t xml:space="preserve"> </w:t>
      </w:r>
      <w:r w:rsidR="000D51B7">
        <w:t>allocation at the discretion of the Council</w:t>
      </w:r>
      <w:r w:rsidRPr="00154592">
        <w:t xml:space="preserve">. </w:t>
      </w:r>
      <w:r w:rsidR="000D51B7">
        <w:t xml:space="preserve">The net proceeds from this allocation is available as discretionary income to fund enhanced or additional services, develop community facilities or to reduce commercial rates. </w:t>
      </w:r>
      <w:r w:rsidR="00DE69D1">
        <w:t xml:space="preserve"> </w:t>
      </w:r>
      <w:r w:rsidR="000D51B7">
        <w:t xml:space="preserve">This </w:t>
      </w:r>
      <w:r w:rsidR="00DE69D1">
        <w:t xml:space="preserve">is the </w:t>
      </w:r>
      <w:r w:rsidR="000D51B7">
        <w:t xml:space="preserve">element of LPT income </w:t>
      </w:r>
      <w:r w:rsidR="00DE69D1">
        <w:t xml:space="preserve">which </w:t>
      </w:r>
      <w:r w:rsidR="000D51B7">
        <w:t xml:space="preserve">will reduce or increase if </w:t>
      </w:r>
      <w:r>
        <w:t>the Council decide to vary the basic rate of the LPT</w:t>
      </w:r>
      <w:r w:rsidR="00E158B8">
        <w:t xml:space="preserve"> for 20</w:t>
      </w:r>
      <w:r w:rsidR="008E6BA5">
        <w:t>2</w:t>
      </w:r>
      <w:r w:rsidR="00AB1363">
        <w:t>2</w:t>
      </w:r>
      <w:r>
        <w:t xml:space="preserve">.  </w:t>
      </w:r>
    </w:p>
    <w:p w14:paraId="5CA8DC29" w14:textId="77777777" w:rsidR="00375793" w:rsidRPr="00154592" w:rsidRDefault="00375793" w:rsidP="00DE69D1">
      <w:pPr>
        <w:spacing w:line="360" w:lineRule="auto"/>
        <w:ind w:left="360"/>
        <w:jc w:val="both"/>
      </w:pPr>
    </w:p>
    <w:p w14:paraId="5512ED48" w14:textId="25CA50C0" w:rsidR="00375793" w:rsidRDefault="00375793" w:rsidP="00375793">
      <w:pPr>
        <w:numPr>
          <w:ilvl w:val="0"/>
          <w:numId w:val="1"/>
        </w:numPr>
        <w:spacing w:line="360" w:lineRule="auto"/>
        <w:jc w:val="both"/>
        <w:rPr>
          <w:lang w:eastAsia="en-GB"/>
        </w:rPr>
      </w:pPr>
      <w:r w:rsidRPr="00154592">
        <w:rPr>
          <w:lang w:eastAsia="en-GB"/>
        </w:rPr>
        <w:t xml:space="preserve">The </w:t>
      </w:r>
      <w:r w:rsidRPr="008732AD">
        <w:rPr>
          <w:lang w:eastAsia="en-GB"/>
        </w:rPr>
        <w:t xml:space="preserve">balance of </w:t>
      </w:r>
      <w:r w:rsidR="002150C0">
        <w:rPr>
          <w:lang w:eastAsia="en-GB"/>
        </w:rPr>
        <w:t>€</w:t>
      </w:r>
      <w:r w:rsidR="00E158B8">
        <w:rPr>
          <w:lang w:eastAsia="en-GB"/>
        </w:rPr>
        <w:t>15,</w:t>
      </w:r>
      <w:r w:rsidR="00AB1363">
        <w:rPr>
          <w:lang w:eastAsia="en-GB"/>
        </w:rPr>
        <w:t>323,973</w:t>
      </w:r>
      <w:r w:rsidR="002150C0">
        <w:rPr>
          <w:lang w:eastAsia="en-GB"/>
        </w:rPr>
        <w:t xml:space="preserve"> </w:t>
      </w:r>
      <w:r w:rsidRPr="00154592">
        <w:rPr>
          <w:lang w:eastAsia="en-GB"/>
        </w:rPr>
        <w:t xml:space="preserve">will be </w:t>
      </w:r>
      <w:r>
        <w:rPr>
          <w:lang w:eastAsia="en-GB"/>
        </w:rPr>
        <w:t xml:space="preserve">allocated by the </w:t>
      </w:r>
      <w:r w:rsidR="002B6506">
        <w:rPr>
          <w:lang w:eastAsia="en-GB"/>
        </w:rPr>
        <w:t>DHLGH</w:t>
      </w:r>
      <w:r w:rsidRPr="00154592">
        <w:rPr>
          <w:lang w:eastAsia="en-GB"/>
        </w:rPr>
        <w:t xml:space="preserve"> to fund social housing and roads services.</w:t>
      </w:r>
    </w:p>
    <w:p w14:paraId="5225BB92" w14:textId="77777777" w:rsidR="00375793" w:rsidRDefault="00375793" w:rsidP="00375793">
      <w:pPr>
        <w:spacing w:line="360" w:lineRule="auto"/>
        <w:ind w:left="360"/>
        <w:jc w:val="both"/>
        <w:rPr>
          <w:lang w:eastAsia="en-GB"/>
        </w:rPr>
      </w:pPr>
      <w:r w:rsidRPr="00154592">
        <w:rPr>
          <w:lang w:eastAsia="en-GB"/>
        </w:rPr>
        <w:t xml:space="preserve"> </w:t>
      </w:r>
    </w:p>
    <w:tbl>
      <w:tblPr>
        <w:tblW w:w="7800" w:type="dxa"/>
        <w:tblLook w:val="04A0" w:firstRow="1" w:lastRow="0" w:firstColumn="1" w:lastColumn="0" w:noHBand="0" w:noVBand="1"/>
      </w:tblPr>
      <w:tblGrid>
        <w:gridCol w:w="5920"/>
        <w:gridCol w:w="1880"/>
      </w:tblGrid>
      <w:tr w:rsidR="00AB1363" w:rsidRPr="00AB1363" w14:paraId="6ED4F2E1" w14:textId="77777777" w:rsidTr="00AB1363">
        <w:trPr>
          <w:trHeight w:val="288"/>
        </w:trPr>
        <w:tc>
          <w:tcPr>
            <w:tcW w:w="7800" w:type="dxa"/>
            <w:gridSpan w:val="2"/>
            <w:tcBorders>
              <w:top w:val="single" w:sz="8" w:space="0" w:color="000080"/>
              <w:left w:val="single" w:sz="8" w:space="0" w:color="000080"/>
              <w:bottom w:val="nil"/>
              <w:right w:val="single" w:sz="8" w:space="0" w:color="000080"/>
            </w:tcBorders>
            <w:shd w:val="clear" w:color="000000" w:fill="000080"/>
            <w:vAlign w:val="center"/>
            <w:hideMark/>
          </w:tcPr>
          <w:p w14:paraId="66C00036" w14:textId="77777777" w:rsidR="00AB1363" w:rsidRPr="00AB1363" w:rsidRDefault="00AB1363" w:rsidP="00AB1363">
            <w:pPr>
              <w:jc w:val="center"/>
              <w:rPr>
                <w:rFonts w:cs="Calibri"/>
                <w:b/>
                <w:bCs/>
                <w:color w:val="FFFFFF"/>
                <w:lang w:val="en-IE" w:eastAsia="en-IE"/>
              </w:rPr>
            </w:pPr>
            <w:r w:rsidRPr="00AB1363">
              <w:rPr>
                <w:rFonts w:cs="Calibri"/>
                <w:b/>
                <w:bCs/>
                <w:color w:val="FFFFFF"/>
                <w:lang w:val="en-IE" w:eastAsia="en-IE"/>
              </w:rPr>
              <w:t>Analysis of Local Property Tax allocation 2022</w:t>
            </w:r>
          </w:p>
        </w:tc>
      </w:tr>
      <w:tr w:rsidR="00AB1363" w:rsidRPr="00AB1363" w14:paraId="1B152EB0" w14:textId="77777777" w:rsidTr="00AB1363">
        <w:trPr>
          <w:trHeight w:val="288"/>
        </w:trPr>
        <w:tc>
          <w:tcPr>
            <w:tcW w:w="5920" w:type="dxa"/>
            <w:tcBorders>
              <w:top w:val="nil"/>
              <w:left w:val="single" w:sz="8" w:space="0" w:color="000080"/>
              <w:bottom w:val="nil"/>
              <w:right w:val="single" w:sz="8" w:space="0" w:color="000080"/>
            </w:tcBorders>
            <w:shd w:val="clear" w:color="auto" w:fill="auto"/>
            <w:vAlign w:val="center"/>
            <w:hideMark/>
          </w:tcPr>
          <w:p w14:paraId="7A7684B7" w14:textId="77777777" w:rsidR="00AB1363" w:rsidRPr="00AB1363" w:rsidRDefault="00AB1363" w:rsidP="00AB1363">
            <w:pPr>
              <w:jc w:val="both"/>
              <w:rPr>
                <w:rFonts w:cs="Calibri"/>
                <w:b/>
                <w:bCs/>
                <w:color w:val="000000"/>
                <w:lang w:val="en-IE" w:eastAsia="en-IE"/>
              </w:rPr>
            </w:pPr>
            <w:r w:rsidRPr="00AB1363">
              <w:rPr>
                <w:rFonts w:cs="Calibri"/>
                <w:b/>
                <w:bCs/>
                <w:color w:val="000000"/>
                <w:lang w:val="en-IE" w:eastAsia="en-IE"/>
              </w:rPr>
              <w:t xml:space="preserve">2022 LPT Baseline Allocation </w:t>
            </w:r>
          </w:p>
        </w:tc>
        <w:tc>
          <w:tcPr>
            <w:tcW w:w="1880" w:type="dxa"/>
            <w:tcBorders>
              <w:top w:val="nil"/>
              <w:left w:val="nil"/>
              <w:bottom w:val="nil"/>
              <w:right w:val="single" w:sz="8" w:space="0" w:color="000080"/>
            </w:tcBorders>
            <w:shd w:val="clear" w:color="auto" w:fill="auto"/>
            <w:vAlign w:val="center"/>
            <w:hideMark/>
          </w:tcPr>
          <w:p w14:paraId="2FCE5EBC" w14:textId="77777777" w:rsidR="00AB1363" w:rsidRPr="00AB1363" w:rsidRDefault="00AB1363" w:rsidP="00AB1363">
            <w:pPr>
              <w:jc w:val="right"/>
              <w:rPr>
                <w:rFonts w:cs="Calibri"/>
                <w:b/>
                <w:bCs/>
                <w:color w:val="000000"/>
                <w:lang w:val="en-IE" w:eastAsia="en-IE"/>
              </w:rPr>
            </w:pPr>
            <w:r w:rsidRPr="00AB1363">
              <w:rPr>
                <w:rFonts w:cs="Calibri"/>
                <w:b/>
                <w:bCs/>
                <w:color w:val="000000"/>
                <w:lang w:val="en-IE" w:eastAsia="en-IE"/>
              </w:rPr>
              <w:t>€3,856,262</w:t>
            </w:r>
          </w:p>
        </w:tc>
      </w:tr>
      <w:tr w:rsidR="00AB1363" w:rsidRPr="00AB1363" w14:paraId="5D0E172D" w14:textId="77777777" w:rsidTr="00AB1363">
        <w:trPr>
          <w:trHeight w:val="504"/>
        </w:trPr>
        <w:tc>
          <w:tcPr>
            <w:tcW w:w="5920" w:type="dxa"/>
            <w:tcBorders>
              <w:top w:val="nil"/>
              <w:left w:val="single" w:sz="8" w:space="0" w:color="000080"/>
              <w:bottom w:val="nil"/>
              <w:right w:val="single" w:sz="8" w:space="0" w:color="000080"/>
            </w:tcBorders>
            <w:shd w:val="clear" w:color="auto" w:fill="auto"/>
            <w:vAlign w:val="center"/>
            <w:hideMark/>
          </w:tcPr>
          <w:p w14:paraId="16ACC7FE" w14:textId="77777777" w:rsidR="00AB1363" w:rsidRPr="00AB1363" w:rsidRDefault="00AB1363" w:rsidP="00AB1363">
            <w:pPr>
              <w:jc w:val="both"/>
              <w:rPr>
                <w:rFonts w:cs="Calibri"/>
                <w:b/>
                <w:bCs/>
                <w:color w:val="000000"/>
                <w:lang w:val="en-IE" w:eastAsia="en-IE"/>
              </w:rPr>
            </w:pPr>
            <w:r w:rsidRPr="00AB1363">
              <w:rPr>
                <w:rFonts w:cs="Calibri"/>
                <w:b/>
                <w:bCs/>
                <w:color w:val="000000"/>
                <w:lang w:val="en-IE" w:eastAsia="en-IE"/>
              </w:rPr>
              <w:t>Discretionary LPT income (20% of anticipated LPT income) 2022</w:t>
            </w:r>
          </w:p>
        </w:tc>
        <w:tc>
          <w:tcPr>
            <w:tcW w:w="1880" w:type="dxa"/>
            <w:tcBorders>
              <w:top w:val="nil"/>
              <w:left w:val="nil"/>
              <w:bottom w:val="nil"/>
              <w:right w:val="single" w:sz="8" w:space="0" w:color="000080"/>
            </w:tcBorders>
            <w:shd w:val="clear" w:color="auto" w:fill="auto"/>
            <w:vAlign w:val="center"/>
            <w:hideMark/>
          </w:tcPr>
          <w:p w14:paraId="7D811BA2" w14:textId="77777777" w:rsidR="00AB1363" w:rsidRPr="00AB1363" w:rsidRDefault="00AB1363" w:rsidP="00AB1363">
            <w:pPr>
              <w:jc w:val="right"/>
              <w:rPr>
                <w:rFonts w:cs="Calibri"/>
                <w:b/>
                <w:bCs/>
                <w:color w:val="000000"/>
                <w:lang w:val="en-IE" w:eastAsia="en-IE"/>
              </w:rPr>
            </w:pPr>
            <w:r w:rsidRPr="00AB1363">
              <w:rPr>
                <w:rFonts w:cs="Calibri"/>
                <w:b/>
                <w:bCs/>
                <w:color w:val="000000"/>
                <w:lang w:val="en-IE" w:eastAsia="en-IE"/>
              </w:rPr>
              <w:t>€6,393,412</w:t>
            </w:r>
          </w:p>
        </w:tc>
      </w:tr>
      <w:tr w:rsidR="00AB1363" w:rsidRPr="00AB1363" w14:paraId="0C3E20B3" w14:textId="77777777" w:rsidTr="00AB1363">
        <w:trPr>
          <w:trHeight w:val="516"/>
        </w:trPr>
        <w:tc>
          <w:tcPr>
            <w:tcW w:w="5920" w:type="dxa"/>
            <w:tcBorders>
              <w:top w:val="nil"/>
              <w:left w:val="single" w:sz="8" w:space="0" w:color="000080"/>
              <w:bottom w:val="nil"/>
              <w:right w:val="single" w:sz="8" w:space="0" w:color="000080"/>
            </w:tcBorders>
            <w:shd w:val="clear" w:color="auto" w:fill="auto"/>
            <w:vAlign w:val="center"/>
            <w:hideMark/>
          </w:tcPr>
          <w:p w14:paraId="009C06F9" w14:textId="77777777" w:rsidR="00AB1363" w:rsidRPr="00AB1363" w:rsidRDefault="00AB1363" w:rsidP="00AB1363">
            <w:pPr>
              <w:jc w:val="both"/>
              <w:rPr>
                <w:rFonts w:cs="Calibri"/>
                <w:b/>
                <w:bCs/>
                <w:color w:val="000000"/>
                <w:lang w:val="en-IE" w:eastAsia="en-IE"/>
              </w:rPr>
            </w:pPr>
            <w:r w:rsidRPr="00AB1363">
              <w:rPr>
                <w:rFonts w:cs="Calibri"/>
                <w:b/>
                <w:bCs/>
                <w:color w:val="000000"/>
                <w:lang w:val="en-IE" w:eastAsia="en-IE"/>
              </w:rPr>
              <w:t>To self-fund Housing and Roads transportation services</w:t>
            </w:r>
          </w:p>
        </w:tc>
        <w:tc>
          <w:tcPr>
            <w:tcW w:w="1880" w:type="dxa"/>
            <w:tcBorders>
              <w:top w:val="nil"/>
              <w:left w:val="nil"/>
              <w:bottom w:val="nil"/>
              <w:right w:val="single" w:sz="8" w:space="0" w:color="000080"/>
            </w:tcBorders>
            <w:shd w:val="clear" w:color="auto" w:fill="auto"/>
            <w:vAlign w:val="center"/>
            <w:hideMark/>
          </w:tcPr>
          <w:p w14:paraId="7CC427F7" w14:textId="77777777" w:rsidR="00AB1363" w:rsidRPr="00AB1363" w:rsidRDefault="00AB1363" w:rsidP="00AB1363">
            <w:pPr>
              <w:jc w:val="right"/>
              <w:rPr>
                <w:rFonts w:cs="Calibri"/>
                <w:b/>
                <w:bCs/>
                <w:color w:val="000000"/>
                <w:lang w:val="en-IE" w:eastAsia="en-IE"/>
              </w:rPr>
            </w:pPr>
            <w:r w:rsidRPr="00AB1363">
              <w:rPr>
                <w:rFonts w:cs="Calibri"/>
                <w:b/>
                <w:bCs/>
                <w:color w:val="000000"/>
                <w:lang w:val="en-IE" w:eastAsia="en-IE"/>
              </w:rPr>
              <w:t>€15,323,973</w:t>
            </w:r>
          </w:p>
        </w:tc>
      </w:tr>
      <w:tr w:rsidR="00AB1363" w:rsidRPr="00AB1363" w14:paraId="5D0A74CB" w14:textId="77777777" w:rsidTr="00AB1363">
        <w:trPr>
          <w:trHeight w:val="300"/>
        </w:trPr>
        <w:tc>
          <w:tcPr>
            <w:tcW w:w="592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46793CAF" w14:textId="77777777" w:rsidR="00AB1363" w:rsidRPr="00AB1363" w:rsidRDefault="00AB1363" w:rsidP="00AB1363">
            <w:pPr>
              <w:jc w:val="both"/>
              <w:rPr>
                <w:rFonts w:cs="Calibri"/>
                <w:b/>
                <w:bCs/>
                <w:color w:val="000000"/>
                <w:lang w:val="en-IE" w:eastAsia="en-IE"/>
              </w:rPr>
            </w:pPr>
            <w:r w:rsidRPr="00AB1363">
              <w:rPr>
                <w:rFonts w:cs="Calibri"/>
                <w:b/>
                <w:bCs/>
                <w:color w:val="000000"/>
                <w:lang w:val="en-IE" w:eastAsia="en-IE"/>
              </w:rPr>
              <w:t>Total LPT allocation 2022</w:t>
            </w:r>
          </w:p>
        </w:tc>
        <w:tc>
          <w:tcPr>
            <w:tcW w:w="1880" w:type="dxa"/>
            <w:tcBorders>
              <w:top w:val="single" w:sz="8" w:space="0" w:color="000080"/>
              <w:left w:val="nil"/>
              <w:bottom w:val="single" w:sz="8" w:space="0" w:color="000080"/>
              <w:right w:val="single" w:sz="8" w:space="0" w:color="000080"/>
            </w:tcBorders>
            <w:shd w:val="clear" w:color="auto" w:fill="auto"/>
            <w:vAlign w:val="center"/>
            <w:hideMark/>
          </w:tcPr>
          <w:p w14:paraId="3419CE41" w14:textId="77777777" w:rsidR="00AB1363" w:rsidRPr="00AB1363" w:rsidRDefault="00AB1363" w:rsidP="00AB1363">
            <w:pPr>
              <w:jc w:val="right"/>
              <w:rPr>
                <w:rFonts w:cs="Calibri"/>
                <w:b/>
                <w:bCs/>
                <w:color w:val="000000"/>
                <w:lang w:val="en-IE" w:eastAsia="en-IE"/>
              </w:rPr>
            </w:pPr>
            <w:r w:rsidRPr="00AB1363">
              <w:rPr>
                <w:rFonts w:cs="Calibri"/>
                <w:b/>
                <w:bCs/>
                <w:color w:val="000000"/>
                <w:lang w:val="en-IE" w:eastAsia="en-IE"/>
              </w:rPr>
              <w:t>€25,573,647</w:t>
            </w:r>
          </w:p>
        </w:tc>
      </w:tr>
    </w:tbl>
    <w:p w14:paraId="0C99B6C5" w14:textId="77777777" w:rsidR="00F41F9F" w:rsidRDefault="00F41F9F" w:rsidP="00375793">
      <w:pPr>
        <w:spacing w:line="360" w:lineRule="auto"/>
        <w:ind w:left="360"/>
        <w:jc w:val="both"/>
        <w:rPr>
          <w:lang w:eastAsia="en-GB"/>
        </w:rPr>
      </w:pPr>
    </w:p>
    <w:p w14:paraId="75D247B7" w14:textId="77777777" w:rsidR="00F41F9F" w:rsidRDefault="00F41F9F" w:rsidP="00375793">
      <w:pPr>
        <w:spacing w:line="360" w:lineRule="auto"/>
        <w:jc w:val="both"/>
      </w:pPr>
    </w:p>
    <w:p w14:paraId="1F16324A" w14:textId="17E40994" w:rsidR="00375793" w:rsidRDefault="00375793" w:rsidP="00375793">
      <w:pPr>
        <w:spacing w:line="360" w:lineRule="auto"/>
        <w:jc w:val="both"/>
      </w:pPr>
      <w:r w:rsidRPr="000B1FF1">
        <w:lastRenderedPageBreak/>
        <w:t>The following table sets out details of the Council’s LPT allocation 20</w:t>
      </w:r>
      <w:r w:rsidR="00A04B65">
        <w:t>2</w:t>
      </w:r>
      <w:r w:rsidR="00AB1363">
        <w:t>2</w:t>
      </w:r>
      <w:r w:rsidR="00DA518F">
        <w:t xml:space="preserve"> compared with that for 20</w:t>
      </w:r>
      <w:r w:rsidR="00443C71">
        <w:t>2</w:t>
      </w:r>
      <w:r w:rsidR="00AB1363">
        <w:t>1</w:t>
      </w:r>
      <w:r w:rsidR="00DA518F">
        <w:t xml:space="preserve"> befor</w:t>
      </w:r>
      <w:r w:rsidR="003F75A7">
        <w:t>e any decision is taken on the l</w:t>
      </w:r>
      <w:r w:rsidR="00DA518F">
        <w:t xml:space="preserve">ocal </w:t>
      </w:r>
      <w:r w:rsidR="003F75A7">
        <w:t>a</w:t>
      </w:r>
      <w:r w:rsidR="00FA1C13">
        <w:t>djustment</w:t>
      </w:r>
      <w:r w:rsidR="00DA518F">
        <w:t xml:space="preserve"> factor. </w:t>
      </w:r>
    </w:p>
    <w:p w14:paraId="7B9722CB" w14:textId="77777777" w:rsidR="001C5CE1" w:rsidRDefault="001C5CE1" w:rsidP="00375793">
      <w:pPr>
        <w:spacing w:line="360" w:lineRule="auto"/>
        <w:jc w:val="both"/>
      </w:pPr>
    </w:p>
    <w:tbl>
      <w:tblPr>
        <w:tblW w:w="8980" w:type="dxa"/>
        <w:tblLook w:val="04A0" w:firstRow="1" w:lastRow="0" w:firstColumn="1" w:lastColumn="0" w:noHBand="0" w:noVBand="1"/>
      </w:tblPr>
      <w:tblGrid>
        <w:gridCol w:w="5476"/>
        <w:gridCol w:w="1641"/>
        <w:gridCol w:w="1641"/>
        <w:gridCol w:w="222"/>
      </w:tblGrid>
      <w:tr w:rsidR="001C5CE1" w:rsidRPr="001C5CE1" w14:paraId="6B57C2F6" w14:textId="77777777" w:rsidTr="001C5CE1">
        <w:trPr>
          <w:gridAfter w:val="1"/>
          <w:wAfter w:w="36" w:type="dxa"/>
          <w:trHeight w:val="510"/>
        </w:trPr>
        <w:tc>
          <w:tcPr>
            <w:tcW w:w="8944" w:type="dxa"/>
            <w:gridSpan w:val="3"/>
            <w:vMerge w:val="restart"/>
            <w:tcBorders>
              <w:top w:val="nil"/>
              <w:left w:val="single" w:sz="4" w:space="0" w:color="auto"/>
              <w:bottom w:val="nil"/>
              <w:right w:val="nil"/>
            </w:tcBorders>
            <w:shd w:val="clear" w:color="000000" w:fill="000080"/>
            <w:vAlign w:val="center"/>
            <w:hideMark/>
          </w:tcPr>
          <w:p w14:paraId="6417424F" w14:textId="77777777" w:rsidR="001C5CE1" w:rsidRPr="001C5CE1" w:rsidRDefault="001C5CE1" w:rsidP="001C5CE1">
            <w:pPr>
              <w:jc w:val="center"/>
              <w:rPr>
                <w:rFonts w:cs="Calibri"/>
                <w:b/>
                <w:bCs/>
                <w:color w:val="FFFFFF"/>
                <w:sz w:val="22"/>
                <w:szCs w:val="22"/>
                <w:lang w:val="en-IE" w:eastAsia="en-IE"/>
              </w:rPr>
            </w:pPr>
            <w:r w:rsidRPr="001C5CE1">
              <w:rPr>
                <w:rFonts w:cs="Calibri"/>
                <w:b/>
                <w:bCs/>
                <w:color w:val="FFFFFF"/>
                <w:sz w:val="22"/>
                <w:szCs w:val="22"/>
                <w:lang w:val="en-IE" w:eastAsia="en-IE"/>
              </w:rPr>
              <w:t>South Dublin County Council                                                                                      Provisional LPT Allocation</w:t>
            </w:r>
          </w:p>
        </w:tc>
      </w:tr>
      <w:tr w:rsidR="001C5CE1" w:rsidRPr="001C5CE1" w14:paraId="270B8266" w14:textId="77777777" w:rsidTr="001C5CE1">
        <w:trPr>
          <w:trHeight w:val="510"/>
        </w:trPr>
        <w:tc>
          <w:tcPr>
            <w:tcW w:w="8944" w:type="dxa"/>
            <w:gridSpan w:val="3"/>
            <w:vMerge/>
            <w:tcBorders>
              <w:top w:val="nil"/>
              <w:left w:val="single" w:sz="4" w:space="0" w:color="auto"/>
              <w:bottom w:val="nil"/>
              <w:right w:val="nil"/>
            </w:tcBorders>
            <w:vAlign w:val="center"/>
            <w:hideMark/>
          </w:tcPr>
          <w:p w14:paraId="20DF57A6" w14:textId="77777777" w:rsidR="001C5CE1" w:rsidRPr="001C5CE1" w:rsidRDefault="001C5CE1" w:rsidP="001C5CE1">
            <w:pPr>
              <w:rPr>
                <w:rFonts w:cs="Calibri"/>
                <w:b/>
                <w:bCs/>
                <w:color w:val="FFFFFF"/>
                <w:sz w:val="22"/>
                <w:szCs w:val="22"/>
                <w:lang w:val="en-IE" w:eastAsia="en-IE"/>
              </w:rPr>
            </w:pPr>
          </w:p>
        </w:tc>
        <w:tc>
          <w:tcPr>
            <w:tcW w:w="36" w:type="dxa"/>
            <w:tcBorders>
              <w:top w:val="nil"/>
              <w:left w:val="nil"/>
              <w:bottom w:val="nil"/>
              <w:right w:val="nil"/>
            </w:tcBorders>
            <w:shd w:val="clear" w:color="auto" w:fill="auto"/>
            <w:noWrap/>
            <w:vAlign w:val="bottom"/>
            <w:hideMark/>
          </w:tcPr>
          <w:p w14:paraId="33322D95" w14:textId="77777777" w:rsidR="001C5CE1" w:rsidRPr="001C5CE1" w:rsidRDefault="001C5CE1" w:rsidP="001C5CE1">
            <w:pPr>
              <w:jc w:val="center"/>
              <w:rPr>
                <w:rFonts w:cs="Calibri"/>
                <w:b/>
                <w:bCs/>
                <w:color w:val="FFFFFF"/>
                <w:sz w:val="22"/>
                <w:szCs w:val="22"/>
                <w:lang w:val="en-IE" w:eastAsia="en-IE"/>
              </w:rPr>
            </w:pPr>
          </w:p>
        </w:tc>
      </w:tr>
      <w:tr w:rsidR="001C5CE1" w:rsidRPr="001C5CE1" w14:paraId="6E58174E"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7F9651A7"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 </w:t>
            </w:r>
          </w:p>
        </w:tc>
        <w:tc>
          <w:tcPr>
            <w:tcW w:w="1579" w:type="dxa"/>
            <w:tcBorders>
              <w:top w:val="single" w:sz="4" w:space="0" w:color="auto"/>
              <w:left w:val="single" w:sz="4" w:space="0" w:color="auto"/>
              <w:bottom w:val="nil"/>
              <w:right w:val="nil"/>
            </w:tcBorders>
            <w:shd w:val="clear" w:color="auto" w:fill="auto"/>
            <w:vAlign w:val="center"/>
            <w:hideMark/>
          </w:tcPr>
          <w:p w14:paraId="44C76243" w14:textId="77777777" w:rsidR="001C5CE1" w:rsidRPr="001C5CE1" w:rsidRDefault="001C5CE1" w:rsidP="001C5CE1">
            <w:pPr>
              <w:jc w:val="center"/>
              <w:rPr>
                <w:rFonts w:cs="Calibri"/>
                <w:color w:val="000000"/>
                <w:lang w:val="en-IE" w:eastAsia="en-IE"/>
              </w:rPr>
            </w:pPr>
            <w:r w:rsidRPr="001C5CE1">
              <w:rPr>
                <w:rFonts w:cs="Calibri"/>
                <w:color w:val="000000"/>
                <w:lang w:val="en-IE" w:eastAsia="en-IE"/>
              </w:rPr>
              <w:t>2022</w:t>
            </w:r>
          </w:p>
        </w:tc>
        <w:tc>
          <w:tcPr>
            <w:tcW w:w="1579" w:type="dxa"/>
            <w:tcBorders>
              <w:top w:val="single" w:sz="4" w:space="0" w:color="auto"/>
              <w:left w:val="single" w:sz="4" w:space="0" w:color="auto"/>
              <w:bottom w:val="nil"/>
              <w:right w:val="single" w:sz="4" w:space="0" w:color="auto"/>
            </w:tcBorders>
            <w:shd w:val="clear" w:color="000000" w:fill="D9D9D9"/>
            <w:vAlign w:val="center"/>
            <w:hideMark/>
          </w:tcPr>
          <w:p w14:paraId="30118214" w14:textId="77777777" w:rsidR="001C5CE1" w:rsidRPr="001C5CE1" w:rsidRDefault="001C5CE1" w:rsidP="001C5CE1">
            <w:pPr>
              <w:jc w:val="center"/>
              <w:rPr>
                <w:rFonts w:cs="Calibri"/>
                <w:color w:val="0000FF"/>
                <w:lang w:val="en-IE" w:eastAsia="en-IE"/>
              </w:rPr>
            </w:pPr>
            <w:r w:rsidRPr="001C5CE1">
              <w:rPr>
                <w:rFonts w:cs="Calibri"/>
                <w:color w:val="0000FF"/>
                <w:lang w:val="en-IE" w:eastAsia="en-IE"/>
              </w:rPr>
              <w:t>2021</w:t>
            </w:r>
          </w:p>
        </w:tc>
        <w:tc>
          <w:tcPr>
            <w:tcW w:w="36" w:type="dxa"/>
            <w:vAlign w:val="center"/>
            <w:hideMark/>
          </w:tcPr>
          <w:p w14:paraId="2AB7F5A9" w14:textId="77777777" w:rsidR="001C5CE1" w:rsidRPr="001C5CE1" w:rsidRDefault="001C5CE1" w:rsidP="001C5CE1">
            <w:pPr>
              <w:rPr>
                <w:rFonts w:ascii="Times New Roman" w:hAnsi="Times New Roman" w:cs="Times New Roman"/>
                <w:lang w:val="en-IE" w:eastAsia="en-IE"/>
              </w:rPr>
            </w:pPr>
          </w:p>
        </w:tc>
      </w:tr>
      <w:tr w:rsidR="001C5CE1" w:rsidRPr="001C5CE1" w14:paraId="658498EC"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4482ED0B"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Projected Gross LPT Income for County</w:t>
            </w:r>
          </w:p>
        </w:tc>
        <w:tc>
          <w:tcPr>
            <w:tcW w:w="1579" w:type="dxa"/>
            <w:tcBorders>
              <w:top w:val="nil"/>
              <w:left w:val="single" w:sz="4" w:space="0" w:color="auto"/>
              <w:bottom w:val="nil"/>
              <w:right w:val="nil"/>
            </w:tcBorders>
            <w:shd w:val="clear" w:color="auto" w:fill="auto"/>
            <w:vAlign w:val="center"/>
            <w:hideMark/>
          </w:tcPr>
          <w:p w14:paraId="6DCC9370"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€31,967,059</w:t>
            </w:r>
          </w:p>
        </w:tc>
        <w:tc>
          <w:tcPr>
            <w:tcW w:w="1579" w:type="dxa"/>
            <w:tcBorders>
              <w:top w:val="nil"/>
              <w:left w:val="single" w:sz="4" w:space="0" w:color="auto"/>
              <w:bottom w:val="nil"/>
              <w:right w:val="single" w:sz="4" w:space="0" w:color="auto"/>
            </w:tcBorders>
            <w:shd w:val="clear" w:color="000000" w:fill="D9D9D9"/>
            <w:vAlign w:val="center"/>
            <w:hideMark/>
          </w:tcPr>
          <w:p w14:paraId="5C4124B9"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€31,868,167</w:t>
            </w:r>
          </w:p>
        </w:tc>
        <w:tc>
          <w:tcPr>
            <w:tcW w:w="36" w:type="dxa"/>
            <w:vAlign w:val="center"/>
            <w:hideMark/>
          </w:tcPr>
          <w:p w14:paraId="4A2AC2EB" w14:textId="77777777" w:rsidR="001C5CE1" w:rsidRPr="001C5CE1" w:rsidRDefault="001C5CE1" w:rsidP="001C5CE1">
            <w:pPr>
              <w:rPr>
                <w:rFonts w:ascii="Times New Roman" w:hAnsi="Times New Roman" w:cs="Times New Roman"/>
                <w:lang w:val="en-IE" w:eastAsia="en-IE"/>
              </w:rPr>
            </w:pPr>
          </w:p>
        </w:tc>
      </w:tr>
      <w:tr w:rsidR="001C5CE1" w:rsidRPr="001C5CE1" w14:paraId="451A5206"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2AEB70A0"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Less amount allocated to Equalisation Fund – 20%</w:t>
            </w:r>
          </w:p>
        </w:tc>
        <w:tc>
          <w:tcPr>
            <w:tcW w:w="1579" w:type="dxa"/>
            <w:tcBorders>
              <w:top w:val="nil"/>
              <w:left w:val="single" w:sz="4" w:space="0" w:color="auto"/>
              <w:bottom w:val="single" w:sz="4" w:space="0" w:color="auto"/>
              <w:right w:val="nil"/>
            </w:tcBorders>
            <w:shd w:val="clear" w:color="auto" w:fill="auto"/>
            <w:vAlign w:val="center"/>
            <w:hideMark/>
          </w:tcPr>
          <w:p w14:paraId="254C6A44"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€6,393,412</w:t>
            </w:r>
          </w:p>
        </w:tc>
        <w:tc>
          <w:tcPr>
            <w:tcW w:w="1579" w:type="dxa"/>
            <w:tcBorders>
              <w:top w:val="nil"/>
              <w:left w:val="single" w:sz="4" w:space="0" w:color="auto"/>
              <w:bottom w:val="single" w:sz="4" w:space="0" w:color="auto"/>
              <w:right w:val="single" w:sz="4" w:space="0" w:color="auto"/>
            </w:tcBorders>
            <w:shd w:val="clear" w:color="000000" w:fill="D9D9D9"/>
            <w:vAlign w:val="center"/>
            <w:hideMark/>
          </w:tcPr>
          <w:p w14:paraId="7F9578C2"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€6,373,633</w:t>
            </w:r>
          </w:p>
        </w:tc>
        <w:tc>
          <w:tcPr>
            <w:tcW w:w="36" w:type="dxa"/>
            <w:vAlign w:val="center"/>
            <w:hideMark/>
          </w:tcPr>
          <w:p w14:paraId="2446A450" w14:textId="77777777" w:rsidR="001C5CE1" w:rsidRPr="001C5CE1" w:rsidRDefault="001C5CE1" w:rsidP="001C5CE1">
            <w:pPr>
              <w:rPr>
                <w:rFonts w:ascii="Times New Roman" w:hAnsi="Times New Roman" w:cs="Times New Roman"/>
                <w:lang w:val="en-IE" w:eastAsia="en-IE"/>
              </w:rPr>
            </w:pPr>
          </w:p>
        </w:tc>
      </w:tr>
      <w:tr w:rsidR="001C5CE1" w:rsidRPr="001C5CE1" w14:paraId="28B5CC00" w14:textId="77777777" w:rsidTr="001C5CE1">
        <w:trPr>
          <w:trHeight w:val="510"/>
        </w:trPr>
        <w:tc>
          <w:tcPr>
            <w:tcW w:w="5786"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1DC99C87" w14:textId="77777777" w:rsidR="001C5CE1" w:rsidRPr="001C5CE1" w:rsidRDefault="001C5CE1" w:rsidP="001C5CE1">
            <w:pPr>
              <w:rPr>
                <w:rFonts w:cs="Calibri"/>
                <w:b/>
                <w:bCs/>
                <w:color w:val="000000"/>
                <w:lang w:val="en-IE" w:eastAsia="en-IE"/>
              </w:rPr>
            </w:pPr>
            <w:r w:rsidRPr="001C5CE1">
              <w:rPr>
                <w:rFonts w:cs="Calibri"/>
                <w:b/>
                <w:bCs/>
                <w:color w:val="000000"/>
                <w:lang w:val="en-IE" w:eastAsia="en-IE"/>
              </w:rPr>
              <w:t>LPT retained locally – 80%</w:t>
            </w:r>
          </w:p>
        </w:tc>
        <w:tc>
          <w:tcPr>
            <w:tcW w:w="1579" w:type="dxa"/>
            <w:tcBorders>
              <w:top w:val="nil"/>
              <w:left w:val="nil"/>
              <w:bottom w:val="double" w:sz="6" w:space="0" w:color="auto"/>
              <w:right w:val="nil"/>
            </w:tcBorders>
            <w:shd w:val="clear" w:color="auto" w:fill="auto"/>
            <w:vAlign w:val="center"/>
            <w:hideMark/>
          </w:tcPr>
          <w:p w14:paraId="5A86B38B" w14:textId="77777777" w:rsidR="001C5CE1" w:rsidRPr="001C5CE1" w:rsidRDefault="001C5CE1" w:rsidP="001C5CE1">
            <w:pPr>
              <w:jc w:val="right"/>
              <w:rPr>
                <w:rFonts w:cs="Calibri"/>
                <w:b/>
                <w:bCs/>
                <w:color w:val="000000"/>
                <w:lang w:val="en-IE" w:eastAsia="en-IE"/>
              </w:rPr>
            </w:pPr>
            <w:r w:rsidRPr="001C5CE1">
              <w:rPr>
                <w:rFonts w:cs="Calibri"/>
                <w:b/>
                <w:bCs/>
                <w:color w:val="000000"/>
                <w:lang w:val="en-IE" w:eastAsia="en-IE"/>
              </w:rPr>
              <w:t>€25,573,647</w:t>
            </w:r>
          </w:p>
        </w:tc>
        <w:tc>
          <w:tcPr>
            <w:tcW w:w="1579" w:type="dxa"/>
            <w:tcBorders>
              <w:top w:val="nil"/>
              <w:left w:val="single" w:sz="4" w:space="0" w:color="auto"/>
              <w:bottom w:val="double" w:sz="6" w:space="0" w:color="auto"/>
              <w:right w:val="single" w:sz="4" w:space="0" w:color="auto"/>
            </w:tcBorders>
            <w:shd w:val="clear" w:color="000000" w:fill="D9D9D9"/>
            <w:vAlign w:val="center"/>
            <w:hideMark/>
          </w:tcPr>
          <w:p w14:paraId="7CA2C6CA" w14:textId="77777777" w:rsidR="001C5CE1" w:rsidRPr="001C5CE1" w:rsidRDefault="001C5CE1" w:rsidP="001C5CE1">
            <w:pPr>
              <w:jc w:val="right"/>
              <w:rPr>
                <w:rFonts w:cs="Calibri"/>
                <w:b/>
                <w:bCs/>
                <w:color w:val="0000FF"/>
                <w:lang w:val="en-IE" w:eastAsia="en-IE"/>
              </w:rPr>
            </w:pPr>
            <w:r w:rsidRPr="001C5CE1">
              <w:rPr>
                <w:rFonts w:cs="Calibri"/>
                <w:b/>
                <w:bCs/>
                <w:color w:val="0000FF"/>
                <w:lang w:val="en-IE" w:eastAsia="en-IE"/>
              </w:rPr>
              <w:t>€25,494,534</w:t>
            </w:r>
          </w:p>
        </w:tc>
        <w:tc>
          <w:tcPr>
            <w:tcW w:w="36" w:type="dxa"/>
            <w:vAlign w:val="center"/>
            <w:hideMark/>
          </w:tcPr>
          <w:p w14:paraId="0BB137C9" w14:textId="77777777" w:rsidR="001C5CE1" w:rsidRPr="001C5CE1" w:rsidRDefault="001C5CE1" w:rsidP="001C5CE1">
            <w:pPr>
              <w:rPr>
                <w:rFonts w:ascii="Times New Roman" w:hAnsi="Times New Roman" w:cs="Times New Roman"/>
                <w:lang w:val="en-IE" w:eastAsia="en-IE"/>
              </w:rPr>
            </w:pPr>
          </w:p>
        </w:tc>
      </w:tr>
      <w:tr w:rsidR="001C5CE1" w:rsidRPr="001C5CE1" w14:paraId="53E93D73" w14:textId="77777777" w:rsidTr="001C5CE1">
        <w:trPr>
          <w:trHeight w:val="90"/>
        </w:trPr>
        <w:tc>
          <w:tcPr>
            <w:tcW w:w="5786" w:type="dxa"/>
            <w:tcBorders>
              <w:top w:val="nil"/>
              <w:left w:val="single" w:sz="4" w:space="0" w:color="auto"/>
              <w:bottom w:val="nil"/>
              <w:right w:val="nil"/>
            </w:tcBorders>
            <w:shd w:val="clear" w:color="auto" w:fill="auto"/>
            <w:vAlign w:val="bottom"/>
            <w:hideMark/>
          </w:tcPr>
          <w:p w14:paraId="615FD565" w14:textId="77777777" w:rsidR="001C5CE1" w:rsidRPr="001C5CE1" w:rsidRDefault="001C5CE1" w:rsidP="001C5CE1">
            <w:pPr>
              <w:rPr>
                <w:rFonts w:cs="Calibri"/>
                <w:color w:val="000000"/>
                <w:lang w:val="en-IE" w:eastAsia="en-IE"/>
              </w:rPr>
            </w:pPr>
            <w:r w:rsidRPr="001C5CE1">
              <w:rPr>
                <w:rFonts w:cs="Calibri"/>
                <w:color w:val="000000"/>
                <w:lang w:val="en-IE" w:eastAsia="en-IE"/>
              </w:rPr>
              <w:t> </w:t>
            </w:r>
          </w:p>
        </w:tc>
        <w:tc>
          <w:tcPr>
            <w:tcW w:w="1579" w:type="dxa"/>
            <w:tcBorders>
              <w:top w:val="nil"/>
              <w:left w:val="single" w:sz="4" w:space="0" w:color="auto"/>
              <w:bottom w:val="nil"/>
              <w:right w:val="nil"/>
            </w:tcBorders>
            <w:shd w:val="clear" w:color="auto" w:fill="auto"/>
            <w:vAlign w:val="bottom"/>
            <w:hideMark/>
          </w:tcPr>
          <w:p w14:paraId="348A62C7"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 </w:t>
            </w:r>
          </w:p>
        </w:tc>
        <w:tc>
          <w:tcPr>
            <w:tcW w:w="1579" w:type="dxa"/>
            <w:tcBorders>
              <w:top w:val="nil"/>
              <w:left w:val="single" w:sz="4" w:space="0" w:color="auto"/>
              <w:bottom w:val="nil"/>
              <w:right w:val="single" w:sz="4" w:space="0" w:color="auto"/>
            </w:tcBorders>
            <w:shd w:val="clear" w:color="000000" w:fill="D9D9D9"/>
            <w:vAlign w:val="bottom"/>
            <w:hideMark/>
          </w:tcPr>
          <w:p w14:paraId="3BFC3307" w14:textId="77777777" w:rsidR="001C5CE1" w:rsidRPr="001C5CE1" w:rsidRDefault="001C5CE1" w:rsidP="001C5CE1">
            <w:pPr>
              <w:jc w:val="right"/>
              <w:rPr>
                <w:rFonts w:cs="Calibri"/>
                <w:color w:val="0000FF"/>
                <w:lang w:val="en-IE" w:eastAsia="en-IE"/>
              </w:rPr>
            </w:pPr>
            <w:r w:rsidRPr="001C5CE1">
              <w:rPr>
                <w:rFonts w:cs="Calibri"/>
                <w:color w:val="0000FF"/>
                <w:lang w:val="en-IE" w:eastAsia="en-IE"/>
              </w:rPr>
              <w:t> </w:t>
            </w:r>
          </w:p>
        </w:tc>
        <w:tc>
          <w:tcPr>
            <w:tcW w:w="36" w:type="dxa"/>
            <w:vAlign w:val="center"/>
            <w:hideMark/>
          </w:tcPr>
          <w:p w14:paraId="553E5900" w14:textId="77777777" w:rsidR="001C5CE1" w:rsidRPr="001C5CE1" w:rsidRDefault="001C5CE1" w:rsidP="001C5CE1">
            <w:pPr>
              <w:rPr>
                <w:rFonts w:ascii="Times New Roman" w:hAnsi="Times New Roman" w:cs="Times New Roman"/>
                <w:lang w:val="en-IE" w:eastAsia="en-IE"/>
              </w:rPr>
            </w:pPr>
          </w:p>
        </w:tc>
      </w:tr>
      <w:tr w:rsidR="001C5CE1" w:rsidRPr="001C5CE1" w14:paraId="5DA92CCD" w14:textId="77777777" w:rsidTr="001C5CE1">
        <w:trPr>
          <w:trHeight w:val="510"/>
        </w:trPr>
        <w:tc>
          <w:tcPr>
            <w:tcW w:w="5786" w:type="dxa"/>
            <w:tcBorders>
              <w:top w:val="nil"/>
              <w:left w:val="single" w:sz="4" w:space="0" w:color="auto"/>
              <w:bottom w:val="nil"/>
              <w:right w:val="nil"/>
            </w:tcBorders>
            <w:shd w:val="clear" w:color="auto" w:fill="auto"/>
            <w:vAlign w:val="bottom"/>
            <w:hideMark/>
          </w:tcPr>
          <w:p w14:paraId="35E7468F" w14:textId="77777777" w:rsidR="001C5CE1" w:rsidRPr="001C5CE1" w:rsidRDefault="001C5CE1" w:rsidP="001C5CE1">
            <w:pPr>
              <w:jc w:val="both"/>
              <w:rPr>
                <w:rFonts w:cs="Calibri"/>
                <w:color w:val="008000"/>
                <w:lang w:val="en-IE" w:eastAsia="en-IE"/>
              </w:rPr>
            </w:pPr>
            <w:r w:rsidRPr="001C5CE1">
              <w:rPr>
                <w:rFonts w:cs="Calibri"/>
                <w:color w:val="008000"/>
                <w:lang w:val="en-IE" w:eastAsia="en-IE"/>
              </w:rPr>
              <w:t>Allocated as follows:</w:t>
            </w:r>
          </w:p>
        </w:tc>
        <w:tc>
          <w:tcPr>
            <w:tcW w:w="1579" w:type="dxa"/>
            <w:tcBorders>
              <w:top w:val="nil"/>
              <w:left w:val="single" w:sz="4" w:space="0" w:color="auto"/>
              <w:bottom w:val="nil"/>
              <w:right w:val="nil"/>
            </w:tcBorders>
            <w:shd w:val="clear" w:color="auto" w:fill="auto"/>
            <w:vAlign w:val="bottom"/>
            <w:hideMark/>
          </w:tcPr>
          <w:p w14:paraId="048AB75E"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 </w:t>
            </w:r>
          </w:p>
        </w:tc>
        <w:tc>
          <w:tcPr>
            <w:tcW w:w="1579" w:type="dxa"/>
            <w:tcBorders>
              <w:top w:val="nil"/>
              <w:left w:val="single" w:sz="4" w:space="0" w:color="auto"/>
              <w:bottom w:val="nil"/>
              <w:right w:val="single" w:sz="4" w:space="0" w:color="auto"/>
            </w:tcBorders>
            <w:shd w:val="clear" w:color="000000" w:fill="D9D9D9"/>
            <w:vAlign w:val="bottom"/>
            <w:hideMark/>
          </w:tcPr>
          <w:p w14:paraId="58A93556" w14:textId="77777777" w:rsidR="001C5CE1" w:rsidRPr="001C5CE1" w:rsidRDefault="001C5CE1" w:rsidP="001C5CE1">
            <w:pPr>
              <w:jc w:val="right"/>
              <w:rPr>
                <w:rFonts w:cs="Calibri"/>
                <w:color w:val="0000FF"/>
                <w:lang w:val="en-IE" w:eastAsia="en-IE"/>
              </w:rPr>
            </w:pPr>
            <w:r w:rsidRPr="001C5CE1">
              <w:rPr>
                <w:rFonts w:cs="Calibri"/>
                <w:color w:val="0000FF"/>
                <w:lang w:val="en-IE" w:eastAsia="en-IE"/>
              </w:rPr>
              <w:t> </w:t>
            </w:r>
          </w:p>
        </w:tc>
        <w:tc>
          <w:tcPr>
            <w:tcW w:w="36" w:type="dxa"/>
            <w:vAlign w:val="center"/>
            <w:hideMark/>
          </w:tcPr>
          <w:p w14:paraId="6E701A2D" w14:textId="77777777" w:rsidR="001C5CE1" w:rsidRPr="001C5CE1" w:rsidRDefault="001C5CE1" w:rsidP="001C5CE1">
            <w:pPr>
              <w:rPr>
                <w:rFonts w:ascii="Times New Roman" w:hAnsi="Times New Roman" w:cs="Times New Roman"/>
                <w:lang w:val="en-IE" w:eastAsia="en-IE"/>
              </w:rPr>
            </w:pPr>
          </w:p>
        </w:tc>
      </w:tr>
      <w:tr w:rsidR="001C5CE1" w:rsidRPr="001C5CE1" w14:paraId="02233997"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3E28A970"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Assigned for discretionary purposes - including variation of basic rate</w:t>
            </w:r>
          </w:p>
        </w:tc>
        <w:tc>
          <w:tcPr>
            <w:tcW w:w="1579" w:type="dxa"/>
            <w:tcBorders>
              <w:top w:val="nil"/>
              <w:left w:val="single" w:sz="4" w:space="0" w:color="auto"/>
              <w:bottom w:val="nil"/>
              <w:right w:val="nil"/>
            </w:tcBorders>
            <w:shd w:val="clear" w:color="auto" w:fill="auto"/>
            <w:vAlign w:val="center"/>
            <w:hideMark/>
          </w:tcPr>
          <w:p w14:paraId="38F8F5EB"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€6,393,412</w:t>
            </w:r>
          </w:p>
        </w:tc>
        <w:tc>
          <w:tcPr>
            <w:tcW w:w="1579" w:type="dxa"/>
            <w:tcBorders>
              <w:top w:val="nil"/>
              <w:left w:val="single" w:sz="4" w:space="0" w:color="auto"/>
              <w:bottom w:val="nil"/>
              <w:right w:val="single" w:sz="4" w:space="0" w:color="auto"/>
            </w:tcBorders>
            <w:shd w:val="clear" w:color="000000" w:fill="D9D9D9"/>
            <w:vAlign w:val="center"/>
            <w:hideMark/>
          </w:tcPr>
          <w:p w14:paraId="41FF161B"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€6,373,633</w:t>
            </w:r>
          </w:p>
        </w:tc>
        <w:tc>
          <w:tcPr>
            <w:tcW w:w="36" w:type="dxa"/>
            <w:vAlign w:val="center"/>
            <w:hideMark/>
          </w:tcPr>
          <w:p w14:paraId="71FFEC90" w14:textId="77777777" w:rsidR="001C5CE1" w:rsidRPr="001C5CE1" w:rsidRDefault="001C5CE1" w:rsidP="001C5CE1">
            <w:pPr>
              <w:rPr>
                <w:rFonts w:ascii="Times New Roman" w:hAnsi="Times New Roman" w:cs="Times New Roman"/>
                <w:lang w:val="en-IE" w:eastAsia="en-IE"/>
              </w:rPr>
            </w:pPr>
          </w:p>
        </w:tc>
      </w:tr>
      <w:tr w:rsidR="001C5CE1" w:rsidRPr="001C5CE1" w14:paraId="3FC20962"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1C651147"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Baseline Allocation</w:t>
            </w:r>
          </w:p>
        </w:tc>
        <w:tc>
          <w:tcPr>
            <w:tcW w:w="1579" w:type="dxa"/>
            <w:tcBorders>
              <w:top w:val="nil"/>
              <w:left w:val="single" w:sz="4" w:space="0" w:color="auto"/>
              <w:bottom w:val="nil"/>
              <w:right w:val="nil"/>
            </w:tcBorders>
            <w:shd w:val="clear" w:color="auto" w:fill="auto"/>
            <w:vAlign w:val="center"/>
            <w:hideMark/>
          </w:tcPr>
          <w:p w14:paraId="6C5485D8"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€3,856,262</w:t>
            </w:r>
          </w:p>
        </w:tc>
        <w:tc>
          <w:tcPr>
            <w:tcW w:w="1579" w:type="dxa"/>
            <w:tcBorders>
              <w:top w:val="nil"/>
              <w:left w:val="single" w:sz="4" w:space="0" w:color="auto"/>
              <w:bottom w:val="nil"/>
              <w:right w:val="single" w:sz="4" w:space="0" w:color="auto"/>
            </w:tcBorders>
            <w:shd w:val="clear" w:color="000000" w:fill="D9D9D9"/>
            <w:vAlign w:val="center"/>
            <w:hideMark/>
          </w:tcPr>
          <w:p w14:paraId="019F9108"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€3,856,262</w:t>
            </w:r>
          </w:p>
        </w:tc>
        <w:tc>
          <w:tcPr>
            <w:tcW w:w="36" w:type="dxa"/>
            <w:vAlign w:val="center"/>
            <w:hideMark/>
          </w:tcPr>
          <w:p w14:paraId="618B8033" w14:textId="77777777" w:rsidR="001C5CE1" w:rsidRPr="001C5CE1" w:rsidRDefault="001C5CE1" w:rsidP="001C5CE1">
            <w:pPr>
              <w:rPr>
                <w:rFonts w:ascii="Times New Roman" w:hAnsi="Times New Roman" w:cs="Times New Roman"/>
                <w:lang w:val="en-IE" w:eastAsia="en-IE"/>
              </w:rPr>
            </w:pPr>
          </w:p>
        </w:tc>
      </w:tr>
      <w:tr w:rsidR="001C5CE1" w:rsidRPr="001C5CE1" w14:paraId="257E9CBC"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11EEC647"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Balance to self-fund Housing and Roads Services</w:t>
            </w:r>
          </w:p>
        </w:tc>
        <w:tc>
          <w:tcPr>
            <w:tcW w:w="1579" w:type="dxa"/>
            <w:tcBorders>
              <w:top w:val="nil"/>
              <w:left w:val="single" w:sz="4" w:space="0" w:color="auto"/>
              <w:bottom w:val="nil"/>
              <w:right w:val="nil"/>
            </w:tcBorders>
            <w:shd w:val="clear" w:color="auto" w:fill="auto"/>
            <w:vAlign w:val="center"/>
            <w:hideMark/>
          </w:tcPr>
          <w:p w14:paraId="103944D3"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€15,323,973</w:t>
            </w:r>
          </w:p>
        </w:tc>
        <w:tc>
          <w:tcPr>
            <w:tcW w:w="1579" w:type="dxa"/>
            <w:tcBorders>
              <w:top w:val="nil"/>
              <w:left w:val="single" w:sz="4" w:space="0" w:color="auto"/>
              <w:bottom w:val="nil"/>
              <w:right w:val="single" w:sz="4" w:space="0" w:color="auto"/>
            </w:tcBorders>
            <w:shd w:val="clear" w:color="000000" w:fill="D9D9D9"/>
            <w:vAlign w:val="center"/>
            <w:hideMark/>
          </w:tcPr>
          <w:p w14:paraId="0011FA85"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€15,264,639</w:t>
            </w:r>
          </w:p>
        </w:tc>
        <w:tc>
          <w:tcPr>
            <w:tcW w:w="36" w:type="dxa"/>
            <w:vAlign w:val="center"/>
            <w:hideMark/>
          </w:tcPr>
          <w:p w14:paraId="4CC465B5" w14:textId="77777777" w:rsidR="001C5CE1" w:rsidRPr="001C5CE1" w:rsidRDefault="001C5CE1" w:rsidP="001C5CE1">
            <w:pPr>
              <w:rPr>
                <w:rFonts w:ascii="Times New Roman" w:hAnsi="Times New Roman" w:cs="Times New Roman"/>
                <w:lang w:val="en-IE" w:eastAsia="en-IE"/>
              </w:rPr>
            </w:pPr>
          </w:p>
        </w:tc>
      </w:tr>
      <w:tr w:rsidR="001C5CE1" w:rsidRPr="001C5CE1" w14:paraId="08AA4731" w14:textId="77777777" w:rsidTr="001C5CE1">
        <w:trPr>
          <w:trHeight w:val="510"/>
        </w:trPr>
        <w:tc>
          <w:tcPr>
            <w:tcW w:w="5786"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054FA075" w14:textId="77777777" w:rsidR="001C5CE1" w:rsidRPr="001C5CE1" w:rsidRDefault="001C5CE1" w:rsidP="001C5CE1">
            <w:pPr>
              <w:jc w:val="both"/>
              <w:rPr>
                <w:rFonts w:cs="Calibri"/>
                <w:b/>
                <w:bCs/>
                <w:color w:val="000000"/>
                <w:lang w:val="en-IE" w:eastAsia="en-IE"/>
              </w:rPr>
            </w:pPr>
            <w:r w:rsidRPr="001C5CE1">
              <w:rPr>
                <w:rFonts w:cs="Calibri"/>
                <w:b/>
                <w:bCs/>
                <w:color w:val="000000"/>
                <w:lang w:val="en-IE" w:eastAsia="en-IE"/>
              </w:rPr>
              <w:t xml:space="preserve">LPT allocation </w:t>
            </w:r>
          </w:p>
        </w:tc>
        <w:tc>
          <w:tcPr>
            <w:tcW w:w="1579" w:type="dxa"/>
            <w:tcBorders>
              <w:top w:val="single" w:sz="4" w:space="0" w:color="auto"/>
              <w:left w:val="nil"/>
              <w:bottom w:val="double" w:sz="6" w:space="0" w:color="auto"/>
              <w:right w:val="nil"/>
            </w:tcBorders>
            <w:shd w:val="clear" w:color="auto" w:fill="auto"/>
            <w:vAlign w:val="center"/>
            <w:hideMark/>
          </w:tcPr>
          <w:p w14:paraId="5ACB58E8" w14:textId="77777777" w:rsidR="001C5CE1" w:rsidRPr="001C5CE1" w:rsidRDefault="001C5CE1" w:rsidP="001C5CE1">
            <w:pPr>
              <w:jc w:val="right"/>
              <w:rPr>
                <w:rFonts w:cs="Calibri"/>
                <w:b/>
                <w:bCs/>
                <w:lang w:val="en-IE" w:eastAsia="en-IE"/>
              </w:rPr>
            </w:pPr>
            <w:r w:rsidRPr="001C5CE1">
              <w:rPr>
                <w:rFonts w:cs="Calibri"/>
                <w:b/>
                <w:bCs/>
                <w:lang w:val="en-IE" w:eastAsia="en-IE"/>
              </w:rPr>
              <w:t>€25,573,647</w:t>
            </w:r>
          </w:p>
        </w:tc>
        <w:tc>
          <w:tcPr>
            <w:tcW w:w="1579"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461EA328" w14:textId="77777777" w:rsidR="001C5CE1" w:rsidRPr="001C5CE1" w:rsidRDefault="001C5CE1" w:rsidP="001C5CE1">
            <w:pPr>
              <w:jc w:val="right"/>
              <w:rPr>
                <w:rFonts w:cs="Calibri"/>
                <w:b/>
                <w:bCs/>
                <w:color w:val="0000FF"/>
                <w:lang w:val="en-IE" w:eastAsia="en-IE"/>
              </w:rPr>
            </w:pPr>
            <w:r w:rsidRPr="001C5CE1">
              <w:rPr>
                <w:rFonts w:cs="Calibri"/>
                <w:b/>
                <w:bCs/>
                <w:color w:val="0000FF"/>
                <w:lang w:val="en-IE" w:eastAsia="en-IE"/>
              </w:rPr>
              <w:t>€25,494,534</w:t>
            </w:r>
          </w:p>
        </w:tc>
        <w:tc>
          <w:tcPr>
            <w:tcW w:w="36" w:type="dxa"/>
            <w:vAlign w:val="center"/>
            <w:hideMark/>
          </w:tcPr>
          <w:p w14:paraId="20661E6F" w14:textId="77777777" w:rsidR="001C5CE1" w:rsidRPr="001C5CE1" w:rsidRDefault="001C5CE1" w:rsidP="001C5CE1">
            <w:pPr>
              <w:rPr>
                <w:rFonts w:ascii="Times New Roman" w:hAnsi="Times New Roman" w:cs="Times New Roman"/>
                <w:lang w:val="en-IE" w:eastAsia="en-IE"/>
              </w:rPr>
            </w:pPr>
          </w:p>
        </w:tc>
      </w:tr>
      <w:tr w:rsidR="001C5CE1" w:rsidRPr="001C5CE1" w14:paraId="15ED9792" w14:textId="77777777" w:rsidTr="001C5CE1">
        <w:trPr>
          <w:trHeight w:val="90"/>
        </w:trPr>
        <w:tc>
          <w:tcPr>
            <w:tcW w:w="5786" w:type="dxa"/>
            <w:tcBorders>
              <w:top w:val="nil"/>
              <w:left w:val="single" w:sz="4" w:space="0" w:color="auto"/>
              <w:bottom w:val="nil"/>
              <w:right w:val="nil"/>
            </w:tcBorders>
            <w:shd w:val="clear" w:color="auto" w:fill="auto"/>
            <w:vAlign w:val="center"/>
            <w:hideMark/>
          </w:tcPr>
          <w:p w14:paraId="0779E57E" w14:textId="77777777" w:rsidR="001C5CE1" w:rsidRPr="001C5CE1" w:rsidRDefault="001C5CE1" w:rsidP="001C5CE1">
            <w:pPr>
              <w:jc w:val="both"/>
              <w:rPr>
                <w:rFonts w:cs="Calibri"/>
                <w:color w:val="000000"/>
                <w:lang w:val="en-IE" w:eastAsia="en-IE"/>
              </w:rPr>
            </w:pPr>
            <w:r w:rsidRPr="001C5CE1">
              <w:rPr>
                <w:rFonts w:cs="Calibri"/>
                <w:color w:val="000000"/>
                <w:lang w:val="en-IE" w:eastAsia="en-IE"/>
              </w:rPr>
              <w:t> </w:t>
            </w:r>
          </w:p>
        </w:tc>
        <w:tc>
          <w:tcPr>
            <w:tcW w:w="1579" w:type="dxa"/>
            <w:tcBorders>
              <w:top w:val="nil"/>
              <w:left w:val="single" w:sz="4" w:space="0" w:color="auto"/>
              <w:bottom w:val="nil"/>
              <w:right w:val="nil"/>
            </w:tcBorders>
            <w:shd w:val="clear" w:color="auto" w:fill="auto"/>
            <w:vAlign w:val="center"/>
            <w:hideMark/>
          </w:tcPr>
          <w:p w14:paraId="6A65B936"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 </w:t>
            </w:r>
          </w:p>
        </w:tc>
        <w:tc>
          <w:tcPr>
            <w:tcW w:w="1579" w:type="dxa"/>
            <w:tcBorders>
              <w:top w:val="nil"/>
              <w:left w:val="single" w:sz="4" w:space="0" w:color="auto"/>
              <w:bottom w:val="nil"/>
              <w:right w:val="single" w:sz="4" w:space="0" w:color="auto"/>
            </w:tcBorders>
            <w:shd w:val="clear" w:color="000000" w:fill="D9D9D9"/>
            <w:vAlign w:val="center"/>
            <w:hideMark/>
          </w:tcPr>
          <w:p w14:paraId="5B7F2D6C" w14:textId="77777777" w:rsidR="001C5CE1" w:rsidRPr="001C5CE1" w:rsidRDefault="001C5CE1" w:rsidP="001C5CE1">
            <w:pPr>
              <w:jc w:val="right"/>
              <w:rPr>
                <w:rFonts w:cs="Calibri"/>
                <w:color w:val="0000FF"/>
                <w:lang w:val="en-IE" w:eastAsia="en-IE"/>
              </w:rPr>
            </w:pPr>
            <w:r w:rsidRPr="001C5CE1">
              <w:rPr>
                <w:rFonts w:cs="Calibri"/>
                <w:color w:val="0000FF"/>
                <w:lang w:val="en-IE" w:eastAsia="en-IE"/>
              </w:rPr>
              <w:t> </w:t>
            </w:r>
          </w:p>
        </w:tc>
        <w:tc>
          <w:tcPr>
            <w:tcW w:w="36" w:type="dxa"/>
            <w:vAlign w:val="center"/>
            <w:hideMark/>
          </w:tcPr>
          <w:p w14:paraId="38FE7C26" w14:textId="77777777" w:rsidR="001C5CE1" w:rsidRPr="001C5CE1" w:rsidRDefault="001C5CE1" w:rsidP="001C5CE1">
            <w:pPr>
              <w:rPr>
                <w:rFonts w:ascii="Times New Roman" w:hAnsi="Times New Roman" w:cs="Times New Roman"/>
                <w:lang w:val="en-IE" w:eastAsia="en-IE"/>
              </w:rPr>
            </w:pPr>
          </w:p>
        </w:tc>
      </w:tr>
      <w:tr w:rsidR="001C5CE1" w:rsidRPr="001C5CE1" w14:paraId="546E41DA" w14:textId="77777777" w:rsidTr="001C5CE1">
        <w:trPr>
          <w:trHeight w:val="510"/>
        </w:trPr>
        <w:tc>
          <w:tcPr>
            <w:tcW w:w="5786" w:type="dxa"/>
            <w:tcBorders>
              <w:top w:val="nil"/>
              <w:left w:val="single" w:sz="4" w:space="0" w:color="auto"/>
              <w:bottom w:val="nil"/>
              <w:right w:val="nil"/>
            </w:tcBorders>
            <w:shd w:val="clear" w:color="auto" w:fill="auto"/>
            <w:vAlign w:val="center"/>
            <w:hideMark/>
          </w:tcPr>
          <w:p w14:paraId="56DC86BE" w14:textId="77777777" w:rsidR="001C5CE1" w:rsidRPr="001C5CE1" w:rsidRDefault="001C5CE1" w:rsidP="001C5CE1">
            <w:pPr>
              <w:rPr>
                <w:rFonts w:cs="Calibri"/>
                <w:color w:val="000000"/>
                <w:lang w:val="en-IE" w:eastAsia="en-IE"/>
              </w:rPr>
            </w:pPr>
            <w:r w:rsidRPr="001C5CE1">
              <w:rPr>
                <w:rFonts w:cs="Calibri"/>
                <w:color w:val="000000"/>
                <w:lang w:val="en-IE" w:eastAsia="en-IE"/>
              </w:rPr>
              <w:t xml:space="preserve">Cost of Variation if 15% reduction is applied </w:t>
            </w:r>
          </w:p>
        </w:tc>
        <w:tc>
          <w:tcPr>
            <w:tcW w:w="1579" w:type="dxa"/>
            <w:tcBorders>
              <w:top w:val="nil"/>
              <w:left w:val="single" w:sz="4" w:space="0" w:color="auto"/>
              <w:bottom w:val="nil"/>
              <w:right w:val="nil"/>
            </w:tcBorders>
            <w:shd w:val="clear" w:color="auto" w:fill="auto"/>
            <w:vAlign w:val="center"/>
            <w:hideMark/>
          </w:tcPr>
          <w:p w14:paraId="652A0488"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€4,795,059</w:t>
            </w:r>
          </w:p>
        </w:tc>
        <w:tc>
          <w:tcPr>
            <w:tcW w:w="1579" w:type="dxa"/>
            <w:tcBorders>
              <w:top w:val="nil"/>
              <w:left w:val="single" w:sz="4" w:space="0" w:color="auto"/>
              <w:bottom w:val="nil"/>
              <w:right w:val="single" w:sz="4" w:space="0" w:color="auto"/>
            </w:tcBorders>
            <w:shd w:val="clear" w:color="000000" w:fill="D9D9D9"/>
            <w:vAlign w:val="center"/>
            <w:hideMark/>
          </w:tcPr>
          <w:p w14:paraId="17FCC99F" w14:textId="77777777" w:rsidR="001C5CE1" w:rsidRPr="001C5CE1" w:rsidRDefault="001C5CE1" w:rsidP="001C5CE1">
            <w:pPr>
              <w:jc w:val="right"/>
              <w:rPr>
                <w:rFonts w:cs="Calibri"/>
                <w:color w:val="0000FF"/>
                <w:lang w:val="en-IE" w:eastAsia="en-IE"/>
              </w:rPr>
            </w:pPr>
            <w:r w:rsidRPr="001C5CE1">
              <w:rPr>
                <w:rFonts w:cs="Calibri"/>
                <w:color w:val="0000FF"/>
                <w:lang w:val="en-IE" w:eastAsia="en-IE"/>
              </w:rPr>
              <w:t>€4,780,225</w:t>
            </w:r>
          </w:p>
        </w:tc>
        <w:tc>
          <w:tcPr>
            <w:tcW w:w="36" w:type="dxa"/>
            <w:vAlign w:val="center"/>
            <w:hideMark/>
          </w:tcPr>
          <w:p w14:paraId="57CFA809" w14:textId="77777777" w:rsidR="001C5CE1" w:rsidRPr="001C5CE1" w:rsidRDefault="001C5CE1" w:rsidP="001C5CE1">
            <w:pPr>
              <w:rPr>
                <w:rFonts w:ascii="Times New Roman" w:hAnsi="Times New Roman" w:cs="Times New Roman"/>
                <w:lang w:val="en-IE" w:eastAsia="en-IE"/>
              </w:rPr>
            </w:pPr>
          </w:p>
        </w:tc>
      </w:tr>
      <w:tr w:rsidR="001C5CE1" w:rsidRPr="001C5CE1" w14:paraId="37D28340" w14:textId="77777777" w:rsidTr="001C5CE1">
        <w:trPr>
          <w:trHeight w:val="510"/>
        </w:trPr>
        <w:tc>
          <w:tcPr>
            <w:tcW w:w="5786" w:type="dxa"/>
            <w:tcBorders>
              <w:top w:val="nil"/>
              <w:left w:val="single" w:sz="4" w:space="0" w:color="auto"/>
              <w:bottom w:val="single" w:sz="4" w:space="0" w:color="auto"/>
              <w:right w:val="nil"/>
            </w:tcBorders>
            <w:shd w:val="clear" w:color="auto" w:fill="auto"/>
            <w:vAlign w:val="center"/>
            <w:hideMark/>
          </w:tcPr>
          <w:p w14:paraId="24E12735" w14:textId="77777777" w:rsidR="001C5CE1" w:rsidRPr="001C5CE1" w:rsidRDefault="001C5CE1" w:rsidP="001C5CE1">
            <w:pPr>
              <w:rPr>
                <w:rFonts w:cs="Calibri"/>
                <w:color w:val="000000"/>
                <w:lang w:val="en-IE" w:eastAsia="en-IE"/>
              </w:rPr>
            </w:pPr>
            <w:r w:rsidRPr="001C5CE1">
              <w:rPr>
                <w:rFonts w:cs="Calibri"/>
                <w:color w:val="000000"/>
                <w:lang w:val="en-IE" w:eastAsia="en-IE"/>
              </w:rPr>
              <w:t>Discretionary alloc. if 15% reduction is applied</w:t>
            </w:r>
          </w:p>
        </w:tc>
        <w:tc>
          <w:tcPr>
            <w:tcW w:w="1579" w:type="dxa"/>
            <w:tcBorders>
              <w:top w:val="nil"/>
              <w:left w:val="single" w:sz="4" w:space="0" w:color="auto"/>
              <w:bottom w:val="single" w:sz="4" w:space="0" w:color="auto"/>
              <w:right w:val="nil"/>
            </w:tcBorders>
            <w:shd w:val="clear" w:color="auto" w:fill="auto"/>
            <w:vAlign w:val="center"/>
            <w:hideMark/>
          </w:tcPr>
          <w:p w14:paraId="6CA9DC04" w14:textId="77777777" w:rsidR="001C5CE1" w:rsidRPr="001C5CE1" w:rsidRDefault="001C5CE1" w:rsidP="001C5CE1">
            <w:pPr>
              <w:jc w:val="right"/>
              <w:rPr>
                <w:rFonts w:cs="Calibri"/>
                <w:color w:val="000000"/>
                <w:lang w:val="en-IE" w:eastAsia="en-IE"/>
              </w:rPr>
            </w:pPr>
            <w:r w:rsidRPr="001C5CE1">
              <w:rPr>
                <w:rFonts w:cs="Calibri"/>
                <w:color w:val="000000"/>
                <w:lang w:val="en-IE" w:eastAsia="en-IE"/>
              </w:rPr>
              <w:t>€1,598,353</w:t>
            </w:r>
          </w:p>
        </w:tc>
        <w:tc>
          <w:tcPr>
            <w:tcW w:w="1579" w:type="dxa"/>
            <w:tcBorders>
              <w:top w:val="nil"/>
              <w:left w:val="single" w:sz="4" w:space="0" w:color="auto"/>
              <w:bottom w:val="single" w:sz="4" w:space="0" w:color="auto"/>
              <w:right w:val="single" w:sz="4" w:space="0" w:color="auto"/>
            </w:tcBorders>
            <w:shd w:val="clear" w:color="000000" w:fill="D9D9D9"/>
            <w:vAlign w:val="center"/>
            <w:hideMark/>
          </w:tcPr>
          <w:p w14:paraId="4B6A7565" w14:textId="77777777" w:rsidR="001C5CE1" w:rsidRPr="001C5CE1" w:rsidRDefault="001C5CE1" w:rsidP="001C5CE1">
            <w:pPr>
              <w:jc w:val="right"/>
              <w:rPr>
                <w:rFonts w:cs="Calibri"/>
                <w:color w:val="0000FF"/>
                <w:lang w:val="en-IE" w:eastAsia="en-IE"/>
              </w:rPr>
            </w:pPr>
            <w:r w:rsidRPr="001C5CE1">
              <w:rPr>
                <w:rFonts w:cs="Calibri"/>
                <w:color w:val="0000FF"/>
                <w:lang w:val="en-IE" w:eastAsia="en-IE"/>
              </w:rPr>
              <w:t>€1,593,408</w:t>
            </w:r>
          </w:p>
        </w:tc>
        <w:tc>
          <w:tcPr>
            <w:tcW w:w="36" w:type="dxa"/>
            <w:vAlign w:val="center"/>
            <w:hideMark/>
          </w:tcPr>
          <w:p w14:paraId="4E268BEB" w14:textId="77777777" w:rsidR="001C5CE1" w:rsidRPr="001C5CE1" w:rsidRDefault="001C5CE1" w:rsidP="001C5CE1">
            <w:pPr>
              <w:rPr>
                <w:rFonts w:ascii="Times New Roman" w:hAnsi="Times New Roman" w:cs="Times New Roman"/>
                <w:lang w:val="en-IE" w:eastAsia="en-IE"/>
              </w:rPr>
            </w:pPr>
          </w:p>
        </w:tc>
      </w:tr>
    </w:tbl>
    <w:p w14:paraId="18289006" w14:textId="77777777" w:rsidR="00443C71" w:rsidRDefault="00443C71" w:rsidP="00375793">
      <w:pPr>
        <w:spacing w:line="360" w:lineRule="auto"/>
        <w:jc w:val="both"/>
        <w:rPr>
          <w:b/>
        </w:rPr>
      </w:pPr>
    </w:p>
    <w:p w14:paraId="6729E54F" w14:textId="77777777" w:rsidR="00375793" w:rsidRDefault="00D07E55" w:rsidP="00375793">
      <w:pPr>
        <w:spacing w:line="360" w:lineRule="auto"/>
        <w:jc w:val="both"/>
      </w:pPr>
      <w:r>
        <w:rPr>
          <w:b/>
        </w:rPr>
        <w:t>1.3</w:t>
      </w:r>
      <w:r w:rsidR="00375793" w:rsidRPr="000F1FBF">
        <w:rPr>
          <w:b/>
        </w:rPr>
        <w:t xml:space="preserve"> Cost</w:t>
      </w:r>
      <w:r w:rsidR="00025F1D">
        <w:rPr>
          <w:b/>
        </w:rPr>
        <w:t>/Gain from</w:t>
      </w:r>
      <w:r w:rsidR="00375793" w:rsidRPr="000F1FBF">
        <w:rPr>
          <w:b/>
        </w:rPr>
        <w:t xml:space="preserve"> varying the basic rate of the LPT</w:t>
      </w:r>
      <w:r w:rsidR="00375793" w:rsidRPr="000F1FBF">
        <w:t xml:space="preserve">: </w:t>
      </w:r>
    </w:p>
    <w:p w14:paraId="4D4EEB34" w14:textId="3B726C10" w:rsidR="00375793" w:rsidRPr="00154592" w:rsidRDefault="00375793" w:rsidP="0089359E">
      <w:pPr>
        <w:spacing w:line="360" w:lineRule="auto"/>
        <w:jc w:val="both"/>
      </w:pPr>
      <w:r w:rsidRPr="00154592">
        <w:t xml:space="preserve">The estimated LPT collection in </w:t>
      </w:r>
      <w:r>
        <w:t>the South Dublin County administrative area</w:t>
      </w:r>
      <w:r w:rsidRPr="00154592">
        <w:t xml:space="preserve"> in 20</w:t>
      </w:r>
      <w:r w:rsidR="00A04B65">
        <w:t>2</w:t>
      </w:r>
      <w:r w:rsidR="001C5CE1">
        <w:t>2</w:t>
      </w:r>
      <w:r w:rsidRPr="00154592">
        <w:t xml:space="preserve"> is €</w:t>
      </w:r>
      <w:r w:rsidR="00FF188E">
        <w:t>31,</w:t>
      </w:r>
      <w:r w:rsidR="001C5CE1">
        <w:t>967,059</w:t>
      </w:r>
      <w:r w:rsidRPr="00154592">
        <w:t xml:space="preserve"> and the cost of funding </w:t>
      </w:r>
      <w:r w:rsidR="00025F1D">
        <w:t xml:space="preserve">or gain from </w:t>
      </w:r>
      <w:r w:rsidR="00025F1D" w:rsidRPr="00154592">
        <w:t>each 1% reduction</w:t>
      </w:r>
      <w:r w:rsidR="00025F1D">
        <w:t>/increase</w:t>
      </w:r>
      <w:r w:rsidR="00025F1D" w:rsidRPr="00154592">
        <w:t xml:space="preserve"> </w:t>
      </w:r>
      <w:r w:rsidR="00025F1D">
        <w:t>to</w:t>
      </w:r>
      <w:r>
        <w:t xml:space="preserve"> the basic rate </w:t>
      </w:r>
      <w:r w:rsidRPr="00154592">
        <w:t>amounts to €</w:t>
      </w:r>
      <w:r w:rsidR="0094243F">
        <w:t>31</w:t>
      </w:r>
      <w:r w:rsidR="001C5CE1">
        <w:t>9</w:t>
      </w:r>
      <w:r w:rsidR="0094243F">
        <w:t>,</w:t>
      </w:r>
      <w:r w:rsidR="001E6C9C">
        <w:t>6</w:t>
      </w:r>
      <w:r w:rsidR="001C5CE1">
        <w:t>7</w:t>
      </w:r>
      <w:r w:rsidR="00F26889">
        <w:t>1</w:t>
      </w:r>
      <w:r w:rsidR="00025F1D">
        <w:t>.  This will</w:t>
      </w:r>
      <w:r w:rsidR="00826A86">
        <w:t xml:space="preserve"> result</w:t>
      </w:r>
      <w:r w:rsidRPr="00154592">
        <w:t xml:space="preserve"> in a total funding requirement </w:t>
      </w:r>
      <w:r w:rsidRPr="00965271">
        <w:t>of €4,</w:t>
      </w:r>
      <w:r w:rsidR="001C5CE1">
        <w:t>795,059</w:t>
      </w:r>
      <w:r w:rsidRPr="00154592">
        <w:t xml:space="preserve"> if a decision is taken to apply the maximum reduction of 15%. </w:t>
      </w:r>
    </w:p>
    <w:tbl>
      <w:tblPr>
        <w:tblW w:w="8212" w:type="dxa"/>
        <w:tblLook w:val="04A0" w:firstRow="1" w:lastRow="0" w:firstColumn="1" w:lastColumn="0" w:noHBand="0" w:noVBand="1"/>
      </w:tblPr>
      <w:tblGrid>
        <w:gridCol w:w="2400"/>
        <w:gridCol w:w="1843"/>
        <w:gridCol w:w="2268"/>
        <w:gridCol w:w="1701"/>
      </w:tblGrid>
      <w:tr w:rsidR="001C5CE1" w:rsidRPr="001C5CE1" w14:paraId="61EF2F2E" w14:textId="77777777" w:rsidTr="001C5CE1">
        <w:trPr>
          <w:trHeight w:val="300"/>
        </w:trPr>
        <w:tc>
          <w:tcPr>
            <w:tcW w:w="6511" w:type="dxa"/>
            <w:gridSpan w:val="3"/>
            <w:tcBorders>
              <w:top w:val="single" w:sz="8" w:space="0" w:color="000000"/>
              <w:left w:val="single" w:sz="8" w:space="0" w:color="000000"/>
              <w:bottom w:val="single" w:sz="8" w:space="0" w:color="000000"/>
              <w:right w:val="single" w:sz="8" w:space="0" w:color="000000"/>
            </w:tcBorders>
            <w:shd w:val="clear" w:color="000000" w:fill="000099"/>
            <w:noWrap/>
            <w:vAlign w:val="center"/>
            <w:hideMark/>
          </w:tcPr>
          <w:p w14:paraId="4FBD922F" w14:textId="77777777" w:rsidR="001C5CE1" w:rsidRPr="001C5CE1" w:rsidRDefault="001C5CE1" w:rsidP="001C5CE1">
            <w:pPr>
              <w:jc w:val="center"/>
              <w:rPr>
                <w:rFonts w:cs="Calibri"/>
                <w:b/>
                <w:bCs/>
                <w:color w:val="FFFFFF"/>
                <w:lang w:val="en-IE" w:eastAsia="en-IE"/>
              </w:rPr>
            </w:pPr>
            <w:r w:rsidRPr="001C5CE1">
              <w:rPr>
                <w:rFonts w:cs="Calibri"/>
                <w:b/>
                <w:bCs/>
                <w:color w:val="FFFFFF"/>
                <w:lang w:val="en-IE" w:eastAsia="en-IE"/>
              </w:rPr>
              <w:t>Projected South Dublin Co. Co. LPT Income</w:t>
            </w:r>
          </w:p>
        </w:tc>
        <w:tc>
          <w:tcPr>
            <w:tcW w:w="1701" w:type="dxa"/>
            <w:tcBorders>
              <w:top w:val="single" w:sz="8" w:space="0" w:color="000000"/>
              <w:left w:val="nil"/>
              <w:bottom w:val="single" w:sz="8" w:space="0" w:color="000000"/>
              <w:right w:val="single" w:sz="8" w:space="0" w:color="000000"/>
            </w:tcBorders>
            <w:shd w:val="clear" w:color="000000" w:fill="000099"/>
            <w:noWrap/>
            <w:vAlign w:val="center"/>
            <w:hideMark/>
          </w:tcPr>
          <w:p w14:paraId="369DE1E0" w14:textId="77777777" w:rsidR="001C5CE1" w:rsidRPr="001C5CE1" w:rsidRDefault="001C5CE1" w:rsidP="001C5CE1">
            <w:pPr>
              <w:jc w:val="center"/>
              <w:rPr>
                <w:rFonts w:ascii="Calibri" w:hAnsi="Calibri" w:cs="Calibri"/>
                <w:b/>
                <w:bCs/>
                <w:color w:val="FFFFFF"/>
                <w:sz w:val="22"/>
                <w:szCs w:val="22"/>
                <w:lang w:val="en-IE" w:eastAsia="en-IE"/>
              </w:rPr>
            </w:pPr>
            <w:r w:rsidRPr="001C5CE1">
              <w:rPr>
                <w:rFonts w:ascii="Calibri" w:hAnsi="Calibri" w:cs="Calibri"/>
                <w:b/>
                <w:bCs/>
                <w:color w:val="FFFFFF"/>
                <w:sz w:val="22"/>
                <w:szCs w:val="22"/>
                <w:lang w:val="en-IE" w:eastAsia="en-IE"/>
              </w:rPr>
              <w:t>2022</w:t>
            </w:r>
          </w:p>
        </w:tc>
      </w:tr>
      <w:tr w:rsidR="001C5CE1" w:rsidRPr="001C5CE1" w14:paraId="6EE932E3" w14:textId="77777777" w:rsidTr="001C5CE1">
        <w:trPr>
          <w:trHeight w:val="300"/>
        </w:trPr>
        <w:tc>
          <w:tcPr>
            <w:tcW w:w="8212" w:type="dxa"/>
            <w:gridSpan w:val="4"/>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FF1EBA0" w14:textId="77777777" w:rsidR="001C5CE1" w:rsidRPr="001C5CE1" w:rsidRDefault="001C5CE1" w:rsidP="001C5CE1">
            <w:pPr>
              <w:jc w:val="center"/>
              <w:rPr>
                <w:rFonts w:ascii="Calibri" w:hAnsi="Calibri" w:cs="Calibri"/>
                <w:b/>
                <w:bCs/>
                <w:i/>
                <w:iCs/>
                <w:color w:val="000000"/>
                <w:sz w:val="22"/>
                <w:szCs w:val="22"/>
                <w:lang w:val="en-IE" w:eastAsia="en-IE"/>
              </w:rPr>
            </w:pPr>
            <w:r w:rsidRPr="001C5CE1">
              <w:rPr>
                <w:rFonts w:ascii="Calibri" w:hAnsi="Calibri" w:cs="Calibri"/>
                <w:b/>
                <w:bCs/>
                <w:i/>
                <w:iCs/>
                <w:color w:val="000000"/>
                <w:sz w:val="22"/>
                <w:szCs w:val="22"/>
                <w:lang w:val="en-IE" w:eastAsia="en-IE"/>
              </w:rPr>
              <w:t>Cost or Gain from:</w:t>
            </w:r>
          </w:p>
        </w:tc>
      </w:tr>
      <w:tr w:rsidR="001C5CE1" w:rsidRPr="001C5CE1" w14:paraId="65E7D3CB" w14:textId="77777777" w:rsidTr="001C5CE1">
        <w:trPr>
          <w:trHeight w:val="465"/>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03521F89"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 Variation</w:t>
            </w:r>
          </w:p>
        </w:tc>
        <w:tc>
          <w:tcPr>
            <w:tcW w:w="1843" w:type="dxa"/>
            <w:tcBorders>
              <w:top w:val="nil"/>
              <w:left w:val="nil"/>
              <w:bottom w:val="single" w:sz="8" w:space="0" w:color="000000"/>
              <w:right w:val="single" w:sz="8" w:space="0" w:color="000000"/>
            </w:tcBorders>
            <w:shd w:val="clear" w:color="auto" w:fill="auto"/>
            <w:vAlign w:val="center"/>
            <w:hideMark/>
          </w:tcPr>
          <w:p w14:paraId="009081FF"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€319,671</w:t>
            </w:r>
          </w:p>
        </w:tc>
        <w:tc>
          <w:tcPr>
            <w:tcW w:w="2268" w:type="dxa"/>
            <w:tcBorders>
              <w:top w:val="nil"/>
              <w:left w:val="nil"/>
              <w:bottom w:val="single" w:sz="8" w:space="0" w:color="000000"/>
              <w:right w:val="single" w:sz="8" w:space="0" w:color="000000"/>
            </w:tcBorders>
            <w:shd w:val="clear" w:color="auto" w:fill="auto"/>
            <w:vAlign w:val="center"/>
            <w:hideMark/>
          </w:tcPr>
          <w:p w14:paraId="42D7C218"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9%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6A3DF4DE"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€2,877,035</w:t>
            </w:r>
          </w:p>
        </w:tc>
      </w:tr>
      <w:tr w:rsidR="001C5CE1" w:rsidRPr="001C5CE1" w14:paraId="29FB399D"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09B50936"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2% Variation</w:t>
            </w:r>
          </w:p>
        </w:tc>
        <w:tc>
          <w:tcPr>
            <w:tcW w:w="1843" w:type="dxa"/>
            <w:tcBorders>
              <w:top w:val="nil"/>
              <w:left w:val="nil"/>
              <w:bottom w:val="single" w:sz="8" w:space="0" w:color="000000"/>
              <w:right w:val="single" w:sz="8" w:space="0" w:color="000000"/>
            </w:tcBorders>
            <w:shd w:val="clear" w:color="auto" w:fill="auto"/>
            <w:vAlign w:val="center"/>
            <w:hideMark/>
          </w:tcPr>
          <w:p w14:paraId="012F16C4"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€639,341</w:t>
            </w:r>
          </w:p>
        </w:tc>
        <w:tc>
          <w:tcPr>
            <w:tcW w:w="2268" w:type="dxa"/>
            <w:tcBorders>
              <w:top w:val="nil"/>
              <w:left w:val="nil"/>
              <w:bottom w:val="single" w:sz="8" w:space="0" w:color="000000"/>
              <w:right w:val="single" w:sz="8" w:space="0" w:color="000000"/>
            </w:tcBorders>
            <w:shd w:val="clear" w:color="auto" w:fill="auto"/>
            <w:vAlign w:val="center"/>
            <w:hideMark/>
          </w:tcPr>
          <w:p w14:paraId="06890EE2"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10%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530CB7FD"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€3,196,706</w:t>
            </w:r>
          </w:p>
        </w:tc>
      </w:tr>
      <w:tr w:rsidR="001C5CE1" w:rsidRPr="001C5CE1" w14:paraId="61B904C8"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25DE0850"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3% Variation</w:t>
            </w:r>
          </w:p>
        </w:tc>
        <w:tc>
          <w:tcPr>
            <w:tcW w:w="1843" w:type="dxa"/>
            <w:tcBorders>
              <w:top w:val="nil"/>
              <w:left w:val="nil"/>
              <w:bottom w:val="single" w:sz="8" w:space="0" w:color="000000"/>
              <w:right w:val="single" w:sz="8" w:space="0" w:color="000000"/>
            </w:tcBorders>
            <w:shd w:val="clear" w:color="auto" w:fill="auto"/>
            <w:vAlign w:val="center"/>
            <w:hideMark/>
          </w:tcPr>
          <w:p w14:paraId="51F1BB74"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€959,012</w:t>
            </w:r>
          </w:p>
        </w:tc>
        <w:tc>
          <w:tcPr>
            <w:tcW w:w="2268" w:type="dxa"/>
            <w:tcBorders>
              <w:top w:val="nil"/>
              <w:left w:val="nil"/>
              <w:bottom w:val="single" w:sz="8" w:space="0" w:color="000000"/>
              <w:right w:val="single" w:sz="8" w:space="0" w:color="000000"/>
            </w:tcBorders>
            <w:shd w:val="clear" w:color="auto" w:fill="auto"/>
            <w:vAlign w:val="center"/>
            <w:hideMark/>
          </w:tcPr>
          <w:p w14:paraId="41B13B8A"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11%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4745F446"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€3,516,376</w:t>
            </w:r>
          </w:p>
        </w:tc>
      </w:tr>
      <w:tr w:rsidR="001C5CE1" w:rsidRPr="001C5CE1" w14:paraId="66C47100"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11F96751"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4% Variation</w:t>
            </w:r>
          </w:p>
        </w:tc>
        <w:tc>
          <w:tcPr>
            <w:tcW w:w="1843" w:type="dxa"/>
            <w:tcBorders>
              <w:top w:val="nil"/>
              <w:left w:val="nil"/>
              <w:bottom w:val="single" w:sz="8" w:space="0" w:color="000000"/>
              <w:right w:val="single" w:sz="8" w:space="0" w:color="000000"/>
            </w:tcBorders>
            <w:shd w:val="clear" w:color="auto" w:fill="auto"/>
            <w:vAlign w:val="center"/>
            <w:hideMark/>
          </w:tcPr>
          <w:p w14:paraId="27FD4F2A"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€1,278,682</w:t>
            </w:r>
          </w:p>
        </w:tc>
        <w:tc>
          <w:tcPr>
            <w:tcW w:w="2268" w:type="dxa"/>
            <w:tcBorders>
              <w:top w:val="nil"/>
              <w:left w:val="nil"/>
              <w:bottom w:val="single" w:sz="8" w:space="0" w:color="000000"/>
              <w:right w:val="single" w:sz="8" w:space="0" w:color="000000"/>
            </w:tcBorders>
            <w:shd w:val="clear" w:color="auto" w:fill="auto"/>
            <w:vAlign w:val="center"/>
            <w:hideMark/>
          </w:tcPr>
          <w:p w14:paraId="3BD2D5B3"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12%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225D0CE5"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€3,836,047</w:t>
            </w:r>
          </w:p>
        </w:tc>
      </w:tr>
      <w:tr w:rsidR="001C5CE1" w:rsidRPr="001C5CE1" w14:paraId="7E7600EA"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192FF59A"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5% Variation</w:t>
            </w:r>
          </w:p>
        </w:tc>
        <w:tc>
          <w:tcPr>
            <w:tcW w:w="1843" w:type="dxa"/>
            <w:tcBorders>
              <w:top w:val="nil"/>
              <w:left w:val="nil"/>
              <w:bottom w:val="single" w:sz="8" w:space="0" w:color="000000"/>
              <w:right w:val="single" w:sz="8" w:space="0" w:color="000000"/>
            </w:tcBorders>
            <w:shd w:val="clear" w:color="auto" w:fill="auto"/>
            <w:vAlign w:val="center"/>
            <w:hideMark/>
          </w:tcPr>
          <w:p w14:paraId="5FEDDE4C"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€1,598,353</w:t>
            </w:r>
          </w:p>
        </w:tc>
        <w:tc>
          <w:tcPr>
            <w:tcW w:w="2268" w:type="dxa"/>
            <w:tcBorders>
              <w:top w:val="nil"/>
              <w:left w:val="nil"/>
              <w:bottom w:val="single" w:sz="8" w:space="0" w:color="000000"/>
              <w:right w:val="single" w:sz="8" w:space="0" w:color="000000"/>
            </w:tcBorders>
            <w:shd w:val="clear" w:color="auto" w:fill="auto"/>
            <w:vAlign w:val="center"/>
            <w:hideMark/>
          </w:tcPr>
          <w:p w14:paraId="43760325"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13%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21636DBF"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€4,155,718</w:t>
            </w:r>
          </w:p>
        </w:tc>
      </w:tr>
      <w:tr w:rsidR="001C5CE1" w:rsidRPr="001C5CE1" w14:paraId="727F5D83"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100E0A9F"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6% Variation</w:t>
            </w:r>
          </w:p>
        </w:tc>
        <w:tc>
          <w:tcPr>
            <w:tcW w:w="1843" w:type="dxa"/>
            <w:tcBorders>
              <w:top w:val="nil"/>
              <w:left w:val="nil"/>
              <w:bottom w:val="single" w:sz="8" w:space="0" w:color="000000"/>
              <w:right w:val="single" w:sz="8" w:space="0" w:color="000000"/>
            </w:tcBorders>
            <w:shd w:val="clear" w:color="auto" w:fill="auto"/>
            <w:vAlign w:val="center"/>
            <w:hideMark/>
          </w:tcPr>
          <w:p w14:paraId="05BA21C0"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€1,918,024</w:t>
            </w:r>
          </w:p>
        </w:tc>
        <w:tc>
          <w:tcPr>
            <w:tcW w:w="2268" w:type="dxa"/>
            <w:tcBorders>
              <w:top w:val="nil"/>
              <w:left w:val="nil"/>
              <w:bottom w:val="single" w:sz="8" w:space="0" w:color="000000"/>
              <w:right w:val="single" w:sz="8" w:space="0" w:color="000000"/>
            </w:tcBorders>
            <w:shd w:val="clear" w:color="auto" w:fill="auto"/>
            <w:vAlign w:val="center"/>
            <w:hideMark/>
          </w:tcPr>
          <w:p w14:paraId="50AD67C4"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14%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277299B4"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€4,475,388</w:t>
            </w:r>
          </w:p>
        </w:tc>
      </w:tr>
      <w:tr w:rsidR="001C5CE1" w:rsidRPr="001C5CE1" w14:paraId="5321B848"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1B33639A"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7% Variation</w:t>
            </w:r>
          </w:p>
        </w:tc>
        <w:tc>
          <w:tcPr>
            <w:tcW w:w="1843" w:type="dxa"/>
            <w:tcBorders>
              <w:top w:val="nil"/>
              <w:left w:val="nil"/>
              <w:bottom w:val="single" w:sz="8" w:space="0" w:color="000000"/>
              <w:right w:val="single" w:sz="8" w:space="0" w:color="000000"/>
            </w:tcBorders>
            <w:shd w:val="clear" w:color="auto" w:fill="auto"/>
            <w:vAlign w:val="center"/>
            <w:hideMark/>
          </w:tcPr>
          <w:p w14:paraId="1D80CBE9"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€2,237,694</w:t>
            </w:r>
          </w:p>
        </w:tc>
        <w:tc>
          <w:tcPr>
            <w:tcW w:w="2268" w:type="dxa"/>
            <w:tcBorders>
              <w:top w:val="nil"/>
              <w:left w:val="nil"/>
              <w:bottom w:val="single" w:sz="8" w:space="0" w:color="000000"/>
              <w:right w:val="single" w:sz="8" w:space="0" w:color="000000"/>
            </w:tcBorders>
            <w:shd w:val="clear" w:color="auto" w:fill="auto"/>
            <w:vAlign w:val="center"/>
            <w:hideMark/>
          </w:tcPr>
          <w:p w14:paraId="711B6FA0"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15% Variation</w:t>
            </w:r>
          </w:p>
        </w:tc>
        <w:tc>
          <w:tcPr>
            <w:tcW w:w="1701" w:type="dxa"/>
            <w:tcBorders>
              <w:top w:val="nil"/>
              <w:left w:val="nil"/>
              <w:bottom w:val="single" w:sz="8" w:space="0" w:color="000000"/>
              <w:right w:val="single" w:sz="8" w:space="0" w:color="000000"/>
            </w:tcBorders>
            <w:shd w:val="clear" w:color="auto" w:fill="auto"/>
            <w:noWrap/>
            <w:vAlign w:val="center"/>
            <w:hideMark/>
          </w:tcPr>
          <w:p w14:paraId="44963FFD"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€4,795,059</w:t>
            </w:r>
          </w:p>
        </w:tc>
      </w:tr>
      <w:tr w:rsidR="001C5CE1" w:rsidRPr="001C5CE1" w14:paraId="4DF17CDC" w14:textId="77777777" w:rsidTr="001C5CE1">
        <w:trPr>
          <w:trHeight w:val="324"/>
        </w:trPr>
        <w:tc>
          <w:tcPr>
            <w:tcW w:w="2400" w:type="dxa"/>
            <w:tcBorders>
              <w:top w:val="nil"/>
              <w:left w:val="single" w:sz="8" w:space="0" w:color="000000"/>
              <w:bottom w:val="single" w:sz="8" w:space="0" w:color="000000"/>
              <w:right w:val="single" w:sz="8" w:space="0" w:color="000000"/>
            </w:tcBorders>
            <w:shd w:val="clear" w:color="auto" w:fill="auto"/>
            <w:noWrap/>
            <w:vAlign w:val="center"/>
            <w:hideMark/>
          </w:tcPr>
          <w:p w14:paraId="4FA78729"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8% Variation</w:t>
            </w:r>
          </w:p>
        </w:tc>
        <w:tc>
          <w:tcPr>
            <w:tcW w:w="1843" w:type="dxa"/>
            <w:tcBorders>
              <w:top w:val="nil"/>
              <w:left w:val="nil"/>
              <w:bottom w:val="single" w:sz="8" w:space="0" w:color="000000"/>
              <w:right w:val="single" w:sz="8" w:space="0" w:color="000000"/>
            </w:tcBorders>
            <w:shd w:val="clear" w:color="auto" w:fill="auto"/>
            <w:vAlign w:val="center"/>
            <w:hideMark/>
          </w:tcPr>
          <w:p w14:paraId="68F90409"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€2,557,365</w:t>
            </w:r>
          </w:p>
        </w:tc>
        <w:tc>
          <w:tcPr>
            <w:tcW w:w="2268" w:type="dxa"/>
            <w:tcBorders>
              <w:top w:val="nil"/>
              <w:left w:val="nil"/>
              <w:bottom w:val="single" w:sz="8" w:space="0" w:color="000000"/>
              <w:right w:val="single" w:sz="8" w:space="0" w:color="000000"/>
            </w:tcBorders>
            <w:shd w:val="clear" w:color="auto" w:fill="auto"/>
            <w:vAlign w:val="center"/>
            <w:hideMark/>
          </w:tcPr>
          <w:p w14:paraId="341CCCCC" w14:textId="77777777" w:rsidR="001C5CE1" w:rsidRPr="001C5CE1" w:rsidRDefault="001C5CE1" w:rsidP="001C5CE1">
            <w:pPr>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 </w:t>
            </w:r>
          </w:p>
        </w:tc>
        <w:tc>
          <w:tcPr>
            <w:tcW w:w="1701" w:type="dxa"/>
            <w:tcBorders>
              <w:top w:val="nil"/>
              <w:left w:val="nil"/>
              <w:bottom w:val="single" w:sz="8" w:space="0" w:color="000000"/>
              <w:right w:val="single" w:sz="8" w:space="0" w:color="000000"/>
            </w:tcBorders>
            <w:shd w:val="clear" w:color="auto" w:fill="auto"/>
            <w:noWrap/>
            <w:vAlign w:val="center"/>
            <w:hideMark/>
          </w:tcPr>
          <w:p w14:paraId="4FE98DCB" w14:textId="77777777" w:rsidR="001C5CE1" w:rsidRPr="001C5CE1" w:rsidRDefault="001C5CE1" w:rsidP="001C5CE1">
            <w:pPr>
              <w:jc w:val="right"/>
              <w:rPr>
                <w:rFonts w:ascii="Calibri" w:hAnsi="Calibri" w:cs="Calibri"/>
                <w:color w:val="000000"/>
                <w:sz w:val="22"/>
                <w:szCs w:val="22"/>
                <w:lang w:val="en-IE" w:eastAsia="en-IE"/>
              </w:rPr>
            </w:pPr>
            <w:r w:rsidRPr="001C5CE1">
              <w:rPr>
                <w:rFonts w:ascii="Calibri" w:hAnsi="Calibri" w:cs="Calibri"/>
                <w:color w:val="000000"/>
                <w:sz w:val="22"/>
                <w:szCs w:val="22"/>
                <w:lang w:val="en-IE" w:eastAsia="en-IE"/>
              </w:rPr>
              <w:t> </w:t>
            </w:r>
          </w:p>
        </w:tc>
      </w:tr>
    </w:tbl>
    <w:p w14:paraId="152C8EB2" w14:textId="77777777" w:rsidR="00257C9C" w:rsidRDefault="00257C9C" w:rsidP="00E62204">
      <w:pPr>
        <w:spacing w:line="360" w:lineRule="auto"/>
        <w:jc w:val="both"/>
      </w:pPr>
    </w:p>
    <w:p w14:paraId="3A7DE93F" w14:textId="77777777" w:rsidR="004946D8" w:rsidRDefault="00E62204" w:rsidP="00E62204">
      <w:pPr>
        <w:spacing w:line="360" w:lineRule="auto"/>
        <w:jc w:val="both"/>
      </w:pPr>
      <w:r w:rsidRPr="00154592">
        <w:t>A reduct</w:t>
      </w:r>
      <w:r>
        <w:t>ion to the basic rate of LPT will</w:t>
      </w:r>
      <w:r w:rsidRPr="00154592">
        <w:t xml:space="preserve"> be funded </w:t>
      </w:r>
      <w:r>
        <w:t>through</w:t>
      </w:r>
      <w:r w:rsidRPr="00154592">
        <w:t xml:space="preserve"> the discretionary element of the LPT allocation</w:t>
      </w:r>
      <w:r>
        <w:t xml:space="preserve"> e.g. </w:t>
      </w:r>
      <w:r w:rsidRPr="00154592">
        <w:t>if the maximum reduction is applied</w:t>
      </w:r>
      <w:r w:rsidR="002B118E">
        <w:t>,</w:t>
      </w:r>
      <w:r w:rsidRPr="00154592">
        <w:t xml:space="preserve"> the discretionary </w:t>
      </w:r>
      <w:r>
        <w:t>element of the LPT funding will reduce</w:t>
      </w:r>
      <w:r w:rsidRPr="00154592">
        <w:t xml:space="preserve"> </w:t>
      </w:r>
      <w:r>
        <w:t>from €6,</w:t>
      </w:r>
      <w:r w:rsidR="001C5CE1">
        <w:t>393,412</w:t>
      </w:r>
      <w:r>
        <w:t xml:space="preserve"> </w:t>
      </w:r>
      <w:r w:rsidRPr="00154592">
        <w:t>to €</w:t>
      </w:r>
      <w:r w:rsidR="00CA3DDE">
        <w:t>1,</w:t>
      </w:r>
      <w:r w:rsidR="00835123">
        <w:t>5</w:t>
      </w:r>
      <w:r w:rsidR="007B39B6">
        <w:t>9</w:t>
      </w:r>
      <w:r w:rsidR="001C5CE1">
        <w:t>8</w:t>
      </w:r>
      <w:r w:rsidR="00835123">
        <w:t>,</w:t>
      </w:r>
      <w:r w:rsidR="001C5CE1">
        <w:t>353</w:t>
      </w:r>
      <w:r>
        <w:rPr>
          <w:sz w:val="22"/>
          <w:szCs w:val="22"/>
        </w:rPr>
        <w:t>.</w:t>
      </w:r>
      <w:r w:rsidR="00A930A0">
        <w:rPr>
          <w:sz w:val="22"/>
          <w:szCs w:val="22"/>
        </w:rPr>
        <w:t xml:space="preserve">  </w:t>
      </w:r>
      <w:r w:rsidR="00A930A0">
        <w:t>Conversely an</w:t>
      </w:r>
      <w:r w:rsidR="00A930A0" w:rsidRPr="00A930A0">
        <w:t xml:space="preserve"> increase to the </w:t>
      </w:r>
      <w:r w:rsidR="00A930A0">
        <w:t xml:space="preserve">basic rate will be added to the discretionary element of LPT e.g. </w:t>
      </w:r>
      <w:r w:rsidR="00A930A0" w:rsidRPr="00154592">
        <w:t xml:space="preserve">if the maximum </w:t>
      </w:r>
      <w:r w:rsidR="00A930A0">
        <w:t>increase</w:t>
      </w:r>
      <w:r w:rsidR="00A930A0" w:rsidRPr="00154592">
        <w:t xml:space="preserve"> </w:t>
      </w:r>
      <w:r w:rsidR="002B118E">
        <w:t>is</w:t>
      </w:r>
      <w:r w:rsidR="00A930A0" w:rsidRPr="00154592">
        <w:t xml:space="preserve"> applied</w:t>
      </w:r>
      <w:r w:rsidR="002B118E">
        <w:t>,</w:t>
      </w:r>
      <w:r w:rsidR="00A930A0" w:rsidRPr="00154592">
        <w:t xml:space="preserve"> the discretionary </w:t>
      </w:r>
      <w:r w:rsidR="00A930A0">
        <w:t xml:space="preserve">element of the LPT funding </w:t>
      </w:r>
      <w:r w:rsidR="002B118E">
        <w:t>will</w:t>
      </w:r>
      <w:r w:rsidR="00A930A0">
        <w:t xml:space="preserve"> increase</w:t>
      </w:r>
      <w:r w:rsidR="00A930A0" w:rsidRPr="00154592">
        <w:t xml:space="preserve"> to €</w:t>
      </w:r>
      <w:r w:rsidR="007F4109">
        <w:t>11,</w:t>
      </w:r>
      <w:r w:rsidR="001C5CE1">
        <w:t>188,47</w:t>
      </w:r>
      <w:r w:rsidR="004946D8">
        <w:t>1</w:t>
      </w:r>
    </w:p>
    <w:p w14:paraId="7F1DDD73" w14:textId="69F6C203" w:rsidR="00E62204" w:rsidRPr="00A930A0" w:rsidRDefault="00A930A0" w:rsidP="00E62204">
      <w:pPr>
        <w:spacing w:line="360" w:lineRule="auto"/>
        <w:jc w:val="both"/>
      </w:pPr>
      <w:r>
        <w:rPr>
          <w:sz w:val="22"/>
          <w:szCs w:val="22"/>
        </w:rPr>
        <w:t xml:space="preserve">.  </w:t>
      </w:r>
    </w:p>
    <w:p w14:paraId="37C57CF7" w14:textId="77777777" w:rsidR="0039794D" w:rsidRDefault="0039794D" w:rsidP="00375793">
      <w:pPr>
        <w:pStyle w:val="BodyText3"/>
        <w:spacing w:line="360" w:lineRule="auto"/>
        <w:rPr>
          <w:b/>
          <w:bCs/>
          <w:sz w:val="20"/>
          <w:szCs w:val="20"/>
        </w:rPr>
      </w:pPr>
    </w:p>
    <w:p w14:paraId="2E57D0B2" w14:textId="6199523F" w:rsidR="00375793" w:rsidRDefault="00375793" w:rsidP="00375793">
      <w:pPr>
        <w:pStyle w:val="BodyText3"/>
        <w:spacing w:line="360" w:lineRule="auto"/>
        <w:rPr>
          <w:b/>
          <w:bCs/>
          <w:sz w:val="20"/>
          <w:szCs w:val="20"/>
        </w:rPr>
      </w:pPr>
      <w:r>
        <w:rPr>
          <w:b/>
          <w:bCs/>
          <w:sz w:val="20"/>
          <w:szCs w:val="20"/>
        </w:rPr>
        <w:t>1.</w:t>
      </w:r>
      <w:r w:rsidR="00CC5552">
        <w:rPr>
          <w:b/>
          <w:bCs/>
          <w:sz w:val="20"/>
          <w:szCs w:val="20"/>
        </w:rPr>
        <w:t>4</w:t>
      </w:r>
      <w:r>
        <w:rPr>
          <w:b/>
          <w:bCs/>
          <w:sz w:val="20"/>
          <w:szCs w:val="20"/>
        </w:rPr>
        <w:t xml:space="preserve"> Preparation of </w:t>
      </w:r>
      <w:r w:rsidRPr="00D51F4E">
        <w:rPr>
          <w:b/>
          <w:bCs/>
          <w:sz w:val="20"/>
          <w:szCs w:val="20"/>
        </w:rPr>
        <w:t>Budget</w:t>
      </w:r>
      <w:r>
        <w:rPr>
          <w:b/>
          <w:bCs/>
          <w:sz w:val="20"/>
          <w:szCs w:val="20"/>
        </w:rPr>
        <w:t xml:space="preserve"> 20</w:t>
      </w:r>
      <w:r w:rsidR="00E87D61">
        <w:rPr>
          <w:b/>
          <w:bCs/>
          <w:sz w:val="20"/>
          <w:szCs w:val="20"/>
        </w:rPr>
        <w:t>2</w:t>
      </w:r>
      <w:r w:rsidR="001C5CE1">
        <w:rPr>
          <w:b/>
          <w:bCs/>
          <w:sz w:val="20"/>
          <w:szCs w:val="20"/>
        </w:rPr>
        <w:t>2</w:t>
      </w:r>
      <w:r w:rsidRPr="00D51F4E">
        <w:rPr>
          <w:b/>
          <w:bCs/>
          <w:sz w:val="20"/>
          <w:szCs w:val="20"/>
        </w:rPr>
        <w:t>:</w:t>
      </w:r>
    </w:p>
    <w:p w14:paraId="79EE02A5" w14:textId="77777777" w:rsidR="0039794D" w:rsidRDefault="0039794D" w:rsidP="00375793">
      <w:pPr>
        <w:pStyle w:val="BodyText3"/>
        <w:spacing w:line="360" w:lineRule="auto"/>
        <w:rPr>
          <w:b/>
          <w:bCs/>
          <w:sz w:val="20"/>
          <w:szCs w:val="20"/>
        </w:rPr>
      </w:pPr>
    </w:p>
    <w:p w14:paraId="3AE866CF" w14:textId="5B6F7772" w:rsidR="00375793" w:rsidRDefault="00375793" w:rsidP="00FA7BF6">
      <w:pPr>
        <w:spacing w:line="360" w:lineRule="auto"/>
        <w:jc w:val="both"/>
        <w:rPr>
          <w:bCs/>
        </w:rPr>
      </w:pPr>
      <w:r>
        <w:rPr>
          <w:bCs/>
        </w:rPr>
        <w:t>The 20</w:t>
      </w:r>
      <w:r w:rsidR="00E87D61">
        <w:rPr>
          <w:bCs/>
        </w:rPr>
        <w:t>2</w:t>
      </w:r>
      <w:r w:rsidR="001C5CE1">
        <w:rPr>
          <w:bCs/>
        </w:rPr>
        <w:t>2</w:t>
      </w:r>
      <w:r>
        <w:rPr>
          <w:bCs/>
        </w:rPr>
        <w:t xml:space="preserve"> Budget</w:t>
      </w:r>
      <w:r w:rsidR="00F26889">
        <w:rPr>
          <w:bCs/>
        </w:rPr>
        <w:t xml:space="preserve"> is currently commencing and</w:t>
      </w:r>
      <w:r>
        <w:rPr>
          <w:bCs/>
        </w:rPr>
        <w:t xml:space="preserve"> </w:t>
      </w:r>
      <w:r w:rsidR="005D6B94">
        <w:rPr>
          <w:bCs/>
        </w:rPr>
        <w:t>will be prepared</w:t>
      </w:r>
      <w:r>
        <w:rPr>
          <w:bCs/>
        </w:rPr>
        <w:t xml:space="preserve"> on a phased basis with input from the Corporate Policy Group</w:t>
      </w:r>
      <w:r w:rsidR="000B01C2">
        <w:rPr>
          <w:bCs/>
        </w:rPr>
        <w:t xml:space="preserve"> (CPG)</w:t>
      </w:r>
      <w:r>
        <w:rPr>
          <w:bCs/>
        </w:rPr>
        <w:t xml:space="preserve">, Members and Chief Executive at differing stages of the process.  </w:t>
      </w:r>
      <w:r w:rsidRPr="00965271">
        <w:rPr>
          <w:bCs/>
        </w:rPr>
        <w:t xml:space="preserve">The Local Government (Financial and Audit Procedures) Regulations 2014 </w:t>
      </w:r>
      <w:r w:rsidR="005D6B94" w:rsidRPr="00965271">
        <w:rPr>
          <w:bCs/>
        </w:rPr>
        <w:t>ma</w:t>
      </w:r>
      <w:r w:rsidR="00C17587">
        <w:rPr>
          <w:bCs/>
        </w:rPr>
        <w:t>k</w:t>
      </w:r>
      <w:r w:rsidR="005D6B94" w:rsidRPr="00965271">
        <w:rPr>
          <w:bCs/>
        </w:rPr>
        <w:t>e provision for an outline</w:t>
      </w:r>
      <w:r w:rsidRPr="00965271">
        <w:rPr>
          <w:bCs/>
        </w:rPr>
        <w:t xml:space="preserve"> </w:t>
      </w:r>
      <w:r w:rsidR="005D6B94" w:rsidRPr="00965271">
        <w:rPr>
          <w:bCs/>
        </w:rPr>
        <w:t xml:space="preserve">budget strategy </w:t>
      </w:r>
      <w:r w:rsidR="00C17587">
        <w:rPr>
          <w:bCs/>
        </w:rPr>
        <w:t xml:space="preserve">to be </w:t>
      </w:r>
      <w:r w:rsidR="005D6B94" w:rsidRPr="00965271">
        <w:rPr>
          <w:bCs/>
        </w:rPr>
        <w:t xml:space="preserve">prepared in consultation with the </w:t>
      </w:r>
      <w:r w:rsidR="00730A4C" w:rsidRPr="00965271">
        <w:rPr>
          <w:bCs/>
        </w:rPr>
        <w:t>CPG and</w:t>
      </w:r>
      <w:r w:rsidR="005D6B94" w:rsidRPr="00965271">
        <w:rPr>
          <w:bCs/>
        </w:rPr>
        <w:t xml:space="preserve"> submitted to the </w:t>
      </w:r>
      <w:r w:rsidR="002B6506">
        <w:rPr>
          <w:bCs/>
        </w:rPr>
        <w:t>DHLGH</w:t>
      </w:r>
      <w:r w:rsidR="005D6B94" w:rsidRPr="00965271">
        <w:rPr>
          <w:bCs/>
        </w:rPr>
        <w:t>.</w:t>
      </w:r>
      <w:r w:rsidR="005D6B94">
        <w:rPr>
          <w:bCs/>
        </w:rPr>
        <w:t xml:space="preserve"> </w:t>
      </w:r>
    </w:p>
    <w:p w14:paraId="00BCD836" w14:textId="77777777" w:rsidR="00260F65" w:rsidRDefault="00260F65" w:rsidP="00FA7BF6">
      <w:pPr>
        <w:spacing w:line="360" w:lineRule="auto"/>
        <w:jc w:val="both"/>
      </w:pPr>
    </w:p>
    <w:p w14:paraId="67BF4E41" w14:textId="2D2F02A9" w:rsidR="00375793" w:rsidRPr="000B6BFF" w:rsidRDefault="00375793" w:rsidP="00FA7BF6">
      <w:pPr>
        <w:spacing w:line="360" w:lineRule="auto"/>
        <w:jc w:val="both"/>
        <w:rPr>
          <w:bCs/>
        </w:rPr>
      </w:pPr>
      <w:r>
        <w:rPr>
          <w:bCs/>
        </w:rPr>
        <w:t>The CPG discussed the 20</w:t>
      </w:r>
      <w:r w:rsidR="00052D6E">
        <w:rPr>
          <w:bCs/>
        </w:rPr>
        <w:t>2</w:t>
      </w:r>
      <w:r w:rsidR="00C17587">
        <w:rPr>
          <w:bCs/>
        </w:rPr>
        <w:t>2</w:t>
      </w:r>
      <w:r>
        <w:rPr>
          <w:bCs/>
        </w:rPr>
        <w:t xml:space="preserve"> Budget strategy and the variation of the Local Property Tax (LPT) </w:t>
      </w:r>
      <w:r w:rsidR="00643EBA">
        <w:rPr>
          <w:bCs/>
        </w:rPr>
        <w:t xml:space="preserve">on </w:t>
      </w:r>
      <w:r w:rsidR="00C17587">
        <w:rPr>
          <w:bCs/>
        </w:rPr>
        <w:t>5</w:t>
      </w:r>
      <w:r w:rsidR="007B39B6">
        <w:rPr>
          <w:bCs/>
        </w:rPr>
        <w:t>th</w:t>
      </w:r>
      <w:r w:rsidR="008732AD">
        <w:rPr>
          <w:bCs/>
        </w:rPr>
        <w:t xml:space="preserve"> </w:t>
      </w:r>
      <w:r w:rsidR="00643EBA">
        <w:rPr>
          <w:bCs/>
        </w:rPr>
        <w:t>July 20</w:t>
      </w:r>
      <w:r w:rsidR="007B39B6">
        <w:rPr>
          <w:bCs/>
        </w:rPr>
        <w:t>2</w:t>
      </w:r>
      <w:r w:rsidR="00C17587">
        <w:rPr>
          <w:bCs/>
        </w:rPr>
        <w:t>1</w:t>
      </w:r>
      <w:r w:rsidR="006E0105">
        <w:rPr>
          <w:bCs/>
        </w:rPr>
        <w:t xml:space="preserve"> </w:t>
      </w:r>
      <w:r w:rsidR="00B00B88">
        <w:rPr>
          <w:bCs/>
        </w:rPr>
        <w:t xml:space="preserve">and confirmed the basic assumptions and the </w:t>
      </w:r>
      <w:r w:rsidR="000B01C2">
        <w:rPr>
          <w:bCs/>
        </w:rPr>
        <w:t>broad parameters for B</w:t>
      </w:r>
      <w:r w:rsidR="00643EBA">
        <w:rPr>
          <w:bCs/>
        </w:rPr>
        <w:t>udget 20</w:t>
      </w:r>
      <w:r w:rsidR="00052D6E">
        <w:rPr>
          <w:bCs/>
        </w:rPr>
        <w:t>2</w:t>
      </w:r>
      <w:r w:rsidR="00C17587">
        <w:rPr>
          <w:bCs/>
        </w:rPr>
        <w:t>2</w:t>
      </w:r>
      <w:r>
        <w:rPr>
          <w:bCs/>
        </w:rPr>
        <w:t xml:space="preserve">.  The </w:t>
      </w:r>
      <w:r w:rsidR="005D6B94">
        <w:rPr>
          <w:bCs/>
        </w:rPr>
        <w:t>strategic</w:t>
      </w:r>
      <w:r>
        <w:rPr>
          <w:bCs/>
        </w:rPr>
        <w:t xml:space="preserve"> </w:t>
      </w:r>
      <w:r w:rsidR="00767C1A">
        <w:rPr>
          <w:bCs/>
        </w:rPr>
        <w:t xml:space="preserve">budgetary </w:t>
      </w:r>
      <w:r w:rsidR="00652DBD">
        <w:rPr>
          <w:bCs/>
        </w:rPr>
        <w:t xml:space="preserve">decisions </w:t>
      </w:r>
      <w:r w:rsidR="00C17587">
        <w:rPr>
          <w:bCs/>
        </w:rPr>
        <w:t xml:space="preserve">will be </w:t>
      </w:r>
      <w:r w:rsidR="00652DBD">
        <w:rPr>
          <w:bCs/>
        </w:rPr>
        <w:t>discussed</w:t>
      </w:r>
      <w:r>
        <w:rPr>
          <w:bCs/>
        </w:rPr>
        <w:t xml:space="preserve"> </w:t>
      </w:r>
      <w:r w:rsidR="00C17587">
        <w:rPr>
          <w:bCs/>
        </w:rPr>
        <w:t>as the</w:t>
      </w:r>
      <w:r>
        <w:rPr>
          <w:bCs/>
        </w:rPr>
        <w:t xml:space="preserve"> information </w:t>
      </w:r>
      <w:r w:rsidR="00C17587">
        <w:rPr>
          <w:bCs/>
        </w:rPr>
        <w:t xml:space="preserve">becomes </w:t>
      </w:r>
      <w:r>
        <w:rPr>
          <w:bCs/>
        </w:rPr>
        <w:t xml:space="preserve">known.  Further details are awaited about </w:t>
      </w:r>
      <w:r w:rsidRPr="000B6BFF">
        <w:rPr>
          <w:bCs/>
        </w:rPr>
        <w:t xml:space="preserve">the impact of the national budget on other aspects of the </w:t>
      </w:r>
      <w:r w:rsidR="00387789">
        <w:rPr>
          <w:bCs/>
        </w:rPr>
        <w:t>C</w:t>
      </w:r>
      <w:r w:rsidRPr="000B6BFF">
        <w:rPr>
          <w:bCs/>
        </w:rPr>
        <w:t xml:space="preserve">ouncil’s income and expenditure </w:t>
      </w:r>
      <w:r w:rsidR="00CA7E97">
        <w:rPr>
          <w:bCs/>
        </w:rPr>
        <w:t>for</w:t>
      </w:r>
      <w:r w:rsidRPr="000B6BFF">
        <w:rPr>
          <w:bCs/>
        </w:rPr>
        <w:t xml:space="preserve"> 20</w:t>
      </w:r>
      <w:r w:rsidR="00052D6E">
        <w:rPr>
          <w:bCs/>
        </w:rPr>
        <w:t>2</w:t>
      </w:r>
      <w:r w:rsidR="00C17587">
        <w:rPr>
          <w:bCs/>
        </w:rPr>
        <w:t>2</w:t>
      </w:r>
      <w:r w:rsidRPr="000B6BFF">
        <w:rPr>
          <w:bCs/>
        </w:rPr>
        <w:t>.</w:t>
      </w:r>
    </w:p>
    <w:p w14:paraId="312A0E20" w14:textId="77777777" w:rsidR="00322ADF" w:rsidRDefault="00322ADF" w:rsidP="00322ADF">
      <w:pPr>
        <w:spacing w:line="360" w:lineRule="auto"/>
        <w:jc w:val="both"/>
        <w:rPr>
          <w:b/>
        </w:rPr>
      </w:pPr>
    </w:p>
    <w:p w14:paraId="356C9FE4" w14:textId="77777777" w:rsidR="00375793" w:rsidRPr="0001494C" w:rsidRDefault="00375793" w:rsidP="00375793">
      <w:pPr>
        <w:spacing w:line="360" w:lineRule="auto"/>
        <w:jc w:val="both"/>
      </w:pPr>
      <w:r>
        <w:rPr>
          <w:b/>
        </w:rPr>
        <w:t>1</w:t>
      </w:r>
      <w:r w:rsidR="00322ADF">
        <w:rPr>
          <w:b/>
        </w:rPr>
        <w:t>.</w:t>
      </w:r>
      <w:r w:rsidR="00BC5059">
        <w:rPr>
          <w:b/>
        </w:rPr>
        <w:t>5</w:t>
      </w:r>
      <w:r w:rsidRPr="0001494C">
        <w:rPr>
          <w:b/>
        </w:rPr>
        <w:t xml:space="preserve"> National Budget</w:t>
      </w:r>
      <w:r w:rsidRPr="0001494C">
        <w:t>:</w:t>
      </w:r>
    </w:p>
    <w:p w14:paraId="233EC57F" w14:textId="77777777" w:rsidR="00260F65" w:rsidRPr="0001494C" w:rsidRDefault="00260F65" w:rsidP="00375793">
      <w:pPr>
        <w:spacing w:line="360" w:lineRule="auto"/>
        <w:jc w:val="both"/>
      </w:pPr>
    </w:p>
    <w:p w14:paraId="3A2B608B" w14:textId="572E240C" w:rsidR="00375793" w:rsidRDefault="00375793" w:rsidP="00842B5A">
      <w:pPr>
        <w:spacing w:line="360" w:lineRule="auto"/>
        <w:jc w:val="both"/>
      </w:pPr>
      <w:r>
        <w:t>The Estimated Income and Expenditure for 20</w:t>
      </w:r>
      <w:r w:rsidR="00A65001">
        <w:t>2</w:t>
      </w:r>
      <w:r w:rsidR="00C17587">
        <w:t>2</w:t>
      </w:r>
      <w:r>
        <w:t xml:space="preserve"> is based on an assumption that State grants and subsidies will be continued at 20</w:t>
      </w:r>
      <w:r w:rsidR="007B39B6">
        <w:t>2</w:t>
      </w:r>
      <w:r w:rsidR="00C17587">
        <w:t>1</w:t>
      </w:r>
      <w:r>
        <w:t xml:space="preserve"> levels adjusted by known activity changes in 20</w:t>
      </w:r>
      <w:r w:rsidR="00A65001">
        <w:t>2</w:t>
      </w:r>
      <w:r w:rsidR="00C17587">
        <w:t>2</w:t>
      </w:r>
      <w:r>
        <w:t xml:space="preserve"> (e.g. </w:t>
      </w:r>
      <w:r w:rsidR="00AC52A8">
        <w:t>rental accommodation scheme payments</w:t>
      </w:r>
      <w:r w:rsidR="00433503">
        <w:t xml:space="preserve"> etc.</w:t>
      </w:r>
      <w:r>
        <w:t>).  A</w:t>
      </w:r>
      <w:r w:rsidR="00AC52A8">
        <w:t>n</w:t>
      </w:r>
      <w:r>
        <w:t xml:space="preserve"> adjustment has also been made to account for the funding of </w:t>
      </w:r>
      <w:r w:rsidR="00AC52A8">
        <w:t xml:space="preserve">some </w:t>
      </w:r>
      <w:r>
        <w:t xml:space="preserve">housing and road grants from LPT.  </w:t>
      </w:r>
      <w:r w:rsidRPr="0001494C">
        <w:t xml:space="preserve">It </w:t>
      </w:r>
      <w:r>
        <w:t>should be noted</w:t>
      </w:r>
      <w:r w:rsidRPr="0001494C">
        <w:t xml:space="preserve"> that adjustments </w:t>
      </w:r>
      <w:r>
        <w:t>could</w:t>
      </w:r>
      <w:r w:rsidRPr="0001494C">
        <w:t xml:space="preserve"> </w:t>
      </w:r>
      <w:r>
        <w:t>apply</w:t>
      </w:r>
      <w:r w:rsidRPr="0001494C">
        <w:t xml:space="preserve"> to </w:t>
      </w:r>
      <w:r>
        <w:t xml:space="preserve">schemes for which </w:t>
      </w:r>
      <w:r w:rsidRPr="0001494C">
        <w:t xml:space="preserve">grants and subsidies </w:t>
      </w:r>
      <w:r>
        <w:t xml:space="preserve">are </w:t>
      </w:r>
      <w:r w:rsidRPr="0001494C">
        <w:t xml:space="preserve">currently allocated to the Council </w:t>
      </w:r>
      <w:r w:rsidR="00AC52A8">
        <w:t xml:space="preserve">as </w:t>
      </w:r>
      <w:r>
        <w:t>“</w:t>
      </w:r>
      <w:r w:rsidRPr="00AC52A8">
        <w:rPr>
          <w:i/>
        </w:rPr>
        <w:t xml:space="preserve">the </w:t>
      </w:r>
      <w:r w:rsidR="00CA7E97">
        <w:rPr>
          <w:i/>
        </w:rPr>
        <w:t>specific detail of the level of Central Voted grants funding to be  provided to local authorities is a matter that will be considered, as normal, as part of the Estimates</w:t>
      </w:r>
      <w:r w:rsidRPr="00AC52A8">
        <w:rPr>
          <w:i/>
        </w:rPr>
        <w:t xml:space="preserve"> process.”  </w:t>
      </w:r>
      <w:r>
        <w:t>Details of t</w:t>
      </w:r>
      <w:r w:rsidRPr="0001494C">
        <w:t>he National Budget 20</w:t>
      </w:r>
      <w:r w:rsidR="00A65001">
        <w:t>2</w:t>
      </w:r>
      <w:r w:rsidR="00C17587">
        <w:t>2</w:t>
      </w:r>
      <w:r w:rsidR="00AC52A8">
        <w:t xml:space="preserve"> </w:t>
      </w:r>
      <w:r w:rsidRPr="0001494C">
        <w:t>will be</w:t>
      </w:r>
      <w:r>
        <w:t>come</w:t>
      </w:r>
      <w:r w:rsidRPr="0001494C">
        <w:t xml:space="preserve"> </w:t>
      </w:r>
      <w:r>
        <w:t>available</w:t>
      </w:r>
      <w:r w:rsidRPr="0001494C">
        <w:t xml:space="preserve"> </w:t>
      </w:r>
      <w:r w:rsidR="00C17587">
        <w:t>in</w:t>
      </w:r>
      <w:r w:rsidRPr="00A67BA6">
        <w:t xml:space="preserve"> October 20</w:t>
      </w:r>
      <w:r w:rsidR="007B39B6">
        <w:t>2</w:t>
      </w:r>
      <w:r w:rsidR="00C17587">
        <w:t>1</w:t>
      </w:r>
      <w:r w:rsidRPr="00A67BA6">
        <w:t>.</w:t>
      </w:r>
    </w:p>
    <w:p w14:paraId="2D23924F" w14:textId="77777777" w:rsidR="00375793" w:rsidRDefault="00375793" w:rsidP="00375793">
      <w:pPr>
        <w:spacing w:line="360" w:lineRule="auto"/>
        <w:ind w:left="360"/>
        <w:jc w:val="both"/>
      </w:pPr>
      <w:r w:rsidRPr="0001494C">
        <w:t xml:space="preserve"> </w:t>
      </w:r>
    </w:p>
    <w:p w14:paraId="48B0A40F" w14:textId="4E92423D" w:rsidR="00260F65" w:rsidRDefault="00260F65" w:rsidP="00375793">
      <w:pPr>
        <w:spacing w:line="360" w:lineRule="auto"/>
        <w:ind w:left="360"/>
        <w:jc w:val="both"/>
      </w:pPr>
    </w:p>
    <w:p w14:paraId="5C040735" w14:textId="77777777" w:rsidR="005538B7" w:rsidRDefault="005538B7" w:rsidP="00375793">
      <w:pPr>
        <w:spacing w:line="360" w:lineRule="auto"/>
        <w:ind w:left="360"/>
        <w:jc w:val="both"/>
      </w:pPr>
    </w:p>
    <w:p w14:paraId="4A4BB3E7" w14:textId="77777777" w:rsidR="00257C9C" w:rsidRDefault="00257C9C" w:rsidP="00375793">
      <w:pPr>
        <w:spacing w:line="360" w:lineRule="auto"/>
        <w:ind w:left="360"/>
        <w:jc w:val="both"/>
      </w:pPr>
    </w:p>
    <w:p w14:paraId="3B92B89A" w14:textId="77777777" w:rsidR="00375793" w:rsidRPr="000F1FBF" w:rsidRDefault="00375793" w:rsidP="00375793">
      <w:pPr>
        <w:spacing w:line="360" w:lineRule="auto"/>
        <w:jc w:val="both"/>
      </w:pPr>
      <w:r>
        <w:rPr>
          <w:b/>
        </w:rPr>
        <w:lastRenderedPageBreak/>
        <w:t>1</w:t>
      </w:r>
      <w:r w:rsidRPr="00DD01FD">
        <w:rPr>
          <w:b/>
        </w:rPr>
        <w:t>.</w:t>
      </w:r>
      <w:r w:rsidR="00BC5059">
        <w:rPr>
          <w:b/>
        </w:rPr>
        <w:t>6</w:t>
      </w:r>
      <w:r w:rsidRPr="00DD01FD">
        <w:rPr>
          <w:b/>
        </w:rPr>
        <w:t xml:space="preserve"> Key dates:</w:t>
      </w:r>
    </w:p>
    <w:p w14:paraId="06C0CE08" w14:textId="77777777" w:rsidR="00375793" w:rsidRDefault="00375793" w:rsidP="00375793">
      <w:pPr>
        <w:spacing w:line="360" w:lineRule="auto"/>
        <w:jc w:val="both"/>
        <w:rPr>
          <w:b/>
          <w:u w:val="single"/>
        </w:rPr>
      </w:pPr>
    </w:p>
    <w:p w14:paraId="2DACB378" w14:textId="069FE106" w:rsidR="00375793" w:rsidRDefault="00375793" w:rsidP="00375793">
      <w:pPr>
        <w:numPr>
          <w:ilvl w:val="0"/>
          <w:numId w:val="2"/>
        </w:numPr>
        <w:spacing w:line="360" w:lineRule="auto"/>
        <w:jc w:val="both"/>
      </w:pPr>
      <w:r>
        <w:t xml:space="preserve">The Revenue Commissioners and the Minister for </w:t>
      </w:r>
      <w:r w:rsidR="00EE7627">
        <w:t xml:space="preserve">Housing, </w:t>
      </w:r>
      <w:r>
        <w:t>Local Government</w:t>
      </w:r>
      <w:r w:rsidR="0051052A">
        <w:t xml:space="preserve"> and Heritage</w:t>
      </w:r>
      <w:r>
        <w:t xml:space="preserve"> must be notified by </w:t>
      </w:r>
      <w:r w:rsidRPr="004C1CA0">
        <w:rPr>
          <w:b/>
        </w:rPr>
        <w:t>3</w:t>
      </w:r>
      <w:r w:rsidR="00CD34E7">
        <w:rPr>
          <w:b/>
        </w:rPr>
        <w:t>1</w:t>
      </w:r>
      <w:r w:rsidR="00CD34E7" w:rsidRPr="00CD34E7">
        <w:rPr>
          <w:b/>
          <w:vertAlign w:val="superscript"/>
        </w:rPr>
        <w:t>st</w:t>
      </w:r>
      <w:r w:rsidR="00CD34E7">
        <w:rPr>
          <w:b/>
        </w:rPr>
        <w:t xml:space="preserve"> </w:t>
      </w:r>
      <w:r w:rsidR="00C17587">
        <w:rPr>
          <w:b/>
        </w:rPr>
        <w:t>August</w:t>
      </w:r>
      <w:r>
        <w:t xml:space="preserve"> </w:t>
      </w:r>
      <w:r w:rsidRPr="004C1CA0">
        <w:rPr>
          <w:b/>
        </w:rPr>
        <w:t>20</w:t>
      </w:r>
      <w:r w:rsidR="007B39B6">
        <w:rPr>
          <w:b/>
        </w:rPr>
        <w:t>2</w:t>
      </w:r>
      <w:r w:rsidR="00C17587">
        <w:rPr>
          <w:b/>
        </w:rPr>
        <w:t>1</w:t>
      </w:r>
      <w:r w:rsidRPr="004C1CA0">
        <w:t xml:space="preserve"> </w:t>
      </w:r>
      <w:r>
        <w:t>if the council decides to vary the basic rate of the LPT for 20</w:t>
      </w:r>
      <w:r w:rsidR="00A65001">
        <w:t>2</w:t>
      </w:r>
      <w:r w:rsidR="00C17587">
        <w:t>2</w:t>
      </w:r>
      <w:r>
        <w:t>.</w:t>
      </w:r>
    </w:p>
    <w:p w14:paraId="556DBCAA" w14:textId="77777777" w:rsidR="00375793" w:rsidRDefault="00375793" w:rsidP="00375793">
      <w:pPr>
        <w:spacing w:line="360" w:lineRule="auto"/>
        <w:ind w:left="360"/>
        <w:jc w:val="both"/>
      </w:pPr>
    </w:p>
    <w:p w14:paraId="6DEB96D4" w14:textId="476AB348" w:rsidR="00375793" w:rsidRPr="00A67BA6" w:rsidRDefault="00375793" w:rsidP="00375793">
      <w:pPr>
        <w:numPr>
          <w:ilvl w:val="0"/>
          <w:numId w:val="2"/>
        </w:numPr>
        <w:spacing w:line="360" w:lineRule="auto"/>
        <w:jc w:val="both"/>
      </w:pPr>
      <w:r>
        <w:t xml:space="preserve">In </w:t>
      </w:r>
      <w:r w:rsidR="00730A4C">
        <w:t>addition,</w:t>
      </w:r>
      <w:r>
        <w:t xml:space="preserve"> a p</w:t>
      </w:r>
      <w:r w:rsidRPr="00480968">
        <w:t>reliminary estimation of Revenue and Capital Income and Expenditure 20</w:t>
      </w:r>
      <w:r w:rsidR="00A65001">
        <w:t>2</w:t>
      </w:r>
      <w:r w:rsidR="00C17587">
        <w:t>2</w:t>
      </w:r>
      <w:r w:rsidRPr="00480968">
        <w:t xml:space="preserve"> </w:t>
      </w:r>
      <w:r>
        <w:t>must</w:t>
      </w:r>
      <w:r w:rsidRPr="00480968">
        <w:t xml:space="preserve"> be submitted to the </w:t>
      </w:r>
      <w:r w:rsidR="002B6506">
        <w:t>DHLGH</w:t>
      </w:r>
      <w:r w:rsidRPr="00480968">
        <w:t xml:space="preserve"> by </w:t>
      </w:r>
      <w:r w:rsidR="00C17587">
        <w:rPr>
          <w:b/>
        </w:rPr>
        <w:t>mid</w:t>
      </w:r>
      <w:r w:rsidRPr="00A67BA6">
        <w:rPr>
          <w:b/>
        </w:rPr>
        <w:t xml:space="preserve"> September</w:t>
      </w:r>
      <w:r w:rsidRPr="00A67BA6">
        <w:t xml:space="preserve"> </w:t>
      </w:r>
      <w:r w:rsidRPr="00A67BA6">
        <w:rPr>
          <w:b/>
        </w:rPr>
        <w:t>20</w:t>
      </w:r>
      <w:r w:rsidR="007B39B6">
        <w:rPr>
          <w:b/>
        </w:rPr>
        <w:t>2</w:t>
      </w:r>
      <w:r w:rsidR="00C17587">
        <w:rPr>
          <w:b/>
        </w:rPr>
        <w:t>1</w:t>
      </w:r>
      <w:r w:rsidRPr="00A67BA6">
        <w:t xml:space="preserve"> to meet EU budgetary timelines.</w:t>
      </w:r>
    </w:p>
    <w:p w14:paraId="02063164" w14:textId="77777777" w:rsidR="00375793" w:rsidRDefault="00375793" w:rsidP="00375793">
      <w:pPr>
        <w:spacing w:line="360" w:lineRule="auto"/>
        <w:ind w:left="360"/>
        <w:jc w:val="both"/>
      </w:pPr>
    </w:p>
    <w:p w14:paraId="42A16BDF" w14:textId="0942BA2B" w:rsidR="00375793" w:rsidRDefault="00375793" w:rsidP="00375793">
      <w:pPr>
        <w:numPr>
          <w:ilvl w:val="0"/>
          <w:numId w:val="2"/>
        </w:numPr>
        <w:spacing w:line="360" w:lineRule="auto"/>
        <w:jc w:val="both"/>
      </w:pPr>
      <w:r>
        <w:t>Consultation with the</w:t>
      </w:r>
      <w:r w:rsidRPr="00F15445">
        <w:t xml:space="preserve"> CPG </w:t>
      </w:r>
      <w:r>
        <w:t>about the parameters and content of the 20</w:t>
      </w:r>
      <w:r w:rsidR="00A65001">
        <w:t>2</w:t>
      </w:r>
      <w:r w:rsidR="00C17587">
        <w:t>2</w:t>
      </w:r>
      <w:r w:rsidR="00251457">
        <w:t xml:space="preserve"> </w:t>
      </w:r>
      <w:r>
        <w:t xml:space="preserve">Budget </w:t>
      </w:r>
      <w:r w:rsidRPr="00F15445">
        <w:t xml:space="preserve">will </w:t>
      </w:r>
      <w:r>
        <w:t xml:space="preserve">continue as will the group’s input into the budget strategy in the coming </w:t>
      </w:r>
      <w:r w:rsidR="0051052A">
        <w:t>months</w:t>
      </w:r>
      <w:r>
        <w:t>.</w:t>
      </w:r>
    </w:p>
    <w:p w14:paraId="45B419BD" w14:textId="77777777" w:rsidR="00375793" w:rsidRDefault="00375793" w:rsidP="00375793">
      <w:pPr>
        <w:spacing w:line="360" w:lineRule="auto"/>
        <w:jc w:val="both"/>
      </w:pPr>
    </w:p>
    <w:p w14:paraId="294C3C55" w14:textId="5B4A85E9" w:rsidR="00375793" w:rsidRDefault="00375793" w:rsidP="00375793">
      <w:pPr>
        <w:numPr>
          <w:ilvl w:val="0"/>
          <w:numId w:val="2"/>
        </w:numPr>
        <w:spacing w:line="360" w:lineRule="auto"/>
        <w:jc w:val="both"/>
      </w:pPr>
      <w:r>
        <w:t xml:space="preserve">The </w:t>
      </w:r>
      <w:r w:rsidR="002A6F0B">
        <w:t>20</w:t>
      </w:r>
      <w:r w:rsidR="00A65001">
        <w:t>2</w:t>
      </w:r>
      <w:r w:rsidR="00C17587">
        <w:t>2</w:t>
      </w:r>
      <w:r w:rsidR="00724F48">
        <w:t xml:space="preserve"> </w:t>
      </w:r>
      <w:r w:rsidRPr="00555AB0">
        <w:t xml:space="preserve">National Budget will be </w:t>
      </w:r>
      <w:r>
        <w:t>presented to Dáil Éireann</w:t>
      </w:r>
      <w:r w:rsidRPr="00555AB0">
        <w:t xml:space="preserve"> </w:t>
      </w:r>
      <w:r w:rsidR="00C17587">
        <w:t xml:space="preserve">in </w:t>
      </w:r>
      <w:r w:rsidRPr="00A67BA6">
        <w:t xml:space="preserve">October and this will be followed by commitments from the </w:t>
      </w:r>
      <w:r w:rsidR="002B6506">
        <w:t>DHLGH</w:t>
      </w:r>
      <w:r w:rsidRPr="00A67BA6">
        <w:t xml:space="preserve"> and other funding</w:t>
      </w:r>
      <w:r>
        <w:t xml:space="preserve"> bodies to contribute funds for specific operational and capital programmes.</w:t>
      </w:r>
      <w:r w:rsidRPr="00555AB0">
        <w:t xml:space="preserve"> </w:t>
      </w:r>
    </w:p>
    <w:p w14:paraId="6CB34618" w14:textId="77777777" w:rsidR="00375793" w:rsidRDefault="00375793" w:rsidP="00375793">
      <w:pPr>
        <w:spacing w:line="360" w:lineRule="auto"/>
        <w:ind w:left="360"/>
        <w:jc w:val="both"/>
      </w:pPr>
    </w:p>
    <w:p w14:paraId="3494EFEB" w14:textId="72A40840" w:rsidR="00375793" w:rsidRDefault="00B56354" w:rsidP="00433503">
      <w:pPr>
        <w:numPr>
          <w:ilvl w:val="0"/>
          <w:numId w:val="2"/>
        </w:numPr>
        <w:spacing w:line="360" w:lineRule="auto"/>
        <w:jc w:val="both"/>
      </w:pPr>
      <w:r>
        <w:t>It is expected that t</w:t>
      </w:r>
      <w:r w:rsidR="00375793">
        <w:t xml:space="preserve">he </w:t>
      </w:r>
      <w:r w:rsidR="002A6F0B">
        <w:t>20</w:t>
      </w:r>
      <w:r w:rsidR="00A65001">
        <w:t>2</w:t>
      </w:r>
      <w:r w:rsidR="00C17587">
        <w:t>2</w:t>
      </w:r>
      <w:r w:rsidR="00724F48">
        <w:t xml:space="preserve"> Budget meeting </w:t>
      </w:r>
      <w:r w:rsidR="00C17587">
        <w:t>will be</w:t>
      </w:r>
      <w:r w:rsidR="00724F48">
        <w:t xml:space="preserve"> scheduled within the </w:t>
      </w:r>
      <w:r w:rsidR="00C17587">
        <w:t xml:space="preserve">normal </w:t>
      </w:r>
      <w:r w:rsidR="00375793">
        <w:t xml:space="preserve">prescribed period </w:t>
      </w:r>
      <w:r w:rsidR="00724F48" w:rsidRPr="00607D65">
        <w:t>of</w:t>
      </w:r>
      <w:r w:rsidR="00FA1F8A" w:rsidRPr="00607D65">
        <w:t xml:space="preserve"> </w:t>
      </w:r>
      <w:r w:rsidR="007B39B6">
        <w:t>2nd</w:t>
      </w:r>
      <w:r w:rsidR="00FA1F8A" w:rsidRPr="00A67BA6">
        <w:t xml:space="preserve"> </w:t>
      </w:r>
      <w:r w:rsidR="00724F48" w:rsidRPr="00A67BA6">
        <w:t>to</w:t>
      </w:r>
      <w:r w:rsidR="00EB0861" w:rsidRPr="00A67BA6">
        <w:t xml:space="preserve"> 30</w:t>
      </w:r>
      <w:r w:rsidR="00FA1F8A" w:rsidRPr="00A67BA6">
        <w:rPr>
          <w:vertAlign w:val="superscript"/>
        </w:rPr>
        <w:t>th</w:t>
      </w:r>
      <w:r w:rsidR="00FA1F8A" w:rsidRPr="00A67BA6">
        <w:t xml:space="preserve"> </w:t>
      </w:r>
      <w:r w:rsidR="00375793" w:rsidRPr="00A67BA6">
        <w:t>November</w:t>
      </w:r>
      <w:r w:rsidR="002A6F0B" w:rsidRPr="00A67BA6">
        <w:t xml:space="preserve"> 20</w:t>
      </w:r>
      <w:r w:rsidR="004A6A33">
        <w:t>2</w:t>
      </w:r>
      <w:r w:rsidR="00C17587">
        <w:t>1</w:t>
      </w:r>
      <w:r w:rsidR="00375793" w:rsidRPr="00A67BA6">
        <w:t>.</w:t>
      </w:r>
      <w:r w:rsidR="00375793">
        <w:t xml:space="preserve"> </w:t>
      </w:r>
      <w:r w:rsidR="00724F48">
        <w:t>Once commenced t</w:t>
      </w:r>
      <w:r w:rsidR="00375793">
        <w:t>he meeting can be adjourned for up to 14 days from the date of the initial meeting</w:t>
      </w:r>
      <w:r w:rsidR="00724F48">
        <w:t xml:space="preserve"> (hence</w:t>
      </w:r>
      <w:r w:rsidR="00375793">
        <w:t xml:space="preserve"> Budget 20</w:t>
      </w:r>
      <w:r w:rsidR="00A65001">
        <w:t>2</w:t>
      </w:r>
      <w:r w:rsidR="00C17587">
        <w:t>2</w:t>
      </w:r>
      <w:r w:rsidR="00375793">
        <w:t xml:space="preserve"> must be adopted </w:t>
      </w:r>
      <w:r w:rsidR="00375793" w:rsidRPr="00FA1F8A">
        <w:t xml:space="preserve">by </w:t>
      </w:r>
      <w:r w:rsidR="00416775" w:rsidRPr="00546436">
        <w:t>1</w:t>
      </w:r>
      <w:r w:rsidR="004A6A33" w:rsidRPr="00546436">
        <w:t>3</w:t>
      </w:r>
      <w:r w:rsidR="00FA1F8A" w:rsidRPr="00546436">
        <w:rPr>
          <w:vertAlign w:val="superscript"/>
        </w:rPr>
        <w:t>th</w:t>
      </w:r>
      <w:r w:rsidR="00FA1F8A" w:rsidRPr="00546436">
        <w:t xml:space="preserve"> </w:t>
      </w:r>
      <w:r w:rsidR="00730A4C" w:rsidRPr="00546436">
        <w:t>December</w:t>
      </w:r>
      <w:r w:rsidR="00375793" w:rsidRPr="00546436">
        <w:t xml:space="preserve"> 20</w:t>
      </w:r>
      <w:r w:rsidR="004A6A33" w:rsidRPr="00546436">
        <w:t>2</w:t>
      </w:r>
      <w:r w:rsidR="00C17587" w:rsidRPr="00546436">
        <w:t>1</w:t>
      </w:r>
      <w:r w:rsidR="00724F48" w:rsidRPr="00546436">
        <w:t>)</w:t>
      </w:r>
      <w:r w:rsidR="00375793" w:rsidRPr="00546436">
        <w:t>.</w:t>
      </w:r>
      <w:r w:rsidR="00375793">
        <w:t xml:space="preserve">  </w:t>
      </w:r>
      <w:r w:rsidR="00724F48">
        <w:br/>
      </w:r>
      <w:r w:rsidR="00C17587">
        <w:t xml:space="preserve">Currently the proposed date for the </w:t>
      </w:r>
      <w:r w:rsidR="00375793">
        <w:t xml:space="preserve">South Dublin </w:t>
      </w:r>
      <w:r w:rsidR="006E5EF2">
        <w:t xml:space="preserve">County Council Budget </w:t>
      </w:r>
      <w:r w:rsidR="00375793">
        <w:t xml:space="preserve">meeting is </w:t>
      </w:r>
      <w:r w:rsidR="00375793" w:rsidRPr="003F1394">
        <w:rPr>
          <w:b/>
        </w:rPr>
        <w:t xml:space="preserve">Thursday </w:t>
      </w:r>
      <w:r w:rsidR="00416775">
        <w:rPr>
          <w:b/>
        </w:rPr>
        <w:t>1</w:t>
      </w:r>
      <w:r w:rsidR="00903066">
        <w:rPr>
          <w:b/>
        </w:rPr>
        <w:t>8</w:t>
      </w:r>
      <w:r w:rsidR="00416775">
        <w:rPr>
          <w:b/>
        </w:rPr>
        <w:t>th</w:t>
      </w:r>
      <w:r w:rsidR="00375793" w:rsidRPr="003F1394">
        <w:rPr>
          <w:b/>
        </w:rPr>
        <w:t xml:space="preserve"> November 20</w:t>
      </w:r>
      <w:r w:rsidR="004A6A33">
        <w:rPr>
          <w:b/>
        </w:rPr>
        <w:t>2</w:t>
      </w:r>
      <w:r w:rsidR="00903066">
        <w:rPr>
          <w:b/>
        </w:rPr>
        <w:t>1</w:t>
      </w:r>
      <w:r w:rsidR="00375793">
        <w:t xml:space="preserve"> the budge</w:t>
      </w:r>
      <w:r w:rsidR="002A6F0B">
        <w:t xml:space="preserve">t must be adopted by </w:t>
      </w:r>
      <w:r w:rsidR="00ED1876">
        <w:t xml:space="preserve">Wednesday </w:t>
      </w:r>
      <w:r w:rsidR="00903066">
        <w:t>1st</w:t>
      </w:r>
      <w:r w:rsidR="004A6A33">
        <w:t xml:space="preserve"> December</w:t>
      </w:r>
      <w:r w:rsidR="00375793">
        <w:t xml:space="preserve"> 20</w:t>
      </w:r>
      <w:r w:rsidR="004A6A33">
        <w:t>2</w:t>
      </w:r>
      <w:r w:rsidR="00903066">
        <w:t>1</w:t>
      </w:r>
      <w:r w:rsidR="00375793">
        <w:t xml:space="preserve"> at latest.</w:t>
      </w:r>
    </w:p>
    <w:p w14:paraId="50C4E51C" w14:textId="77777777" w:rsidR="00375793" w:rsidRDefault="00375793" w:rsidP="00375793">
      <w:pPr>
        <w:spacing w:line="360" w:lineRule="auto"/>
        <w:jc w:val="both"/>
      </w:pPr>
    </w:p>
    <w:p w14:paraId="2C963BBD" w14:textId="77777777" w:rsidR="00260F65" w:rsidRPr="000F1FBF" w:rsidRDefault="00260F65" w:rsidP="00375793">
      <w:pPr>
        <w:spacing w:line="360" w:lineRule="auto"/>
        <w:jc w:val="both"/>
      </w:pPr>
    </w:p>
    <w:p w14:paraId="1A7E8FF6" w14:textId="77777777" w:rsidR="00375793" w:rsidRPr="000F1FBF" w:rsidRDefault="00375793" w:rsidP="00375793">
      <w:pPr>
        <w:spacing w:line="360" w:lineRule="auto"/>
        <w:jc w:val="both"/>
        <w:rPr>
          <w:b/>
        </w:rPr>
      </w:pPr>
      <w:r w:rsidRPr="000F1FBF">
        <w:rPr>
          <w:b/>
        </w:rPr>
        <w:t>1.</w:t>
      </w:r>
      <w:r w:rsidR="00BC5059">
        <w:rPr>
          <w:b/>
        </w:rPr>
        <w:t>7</w:t>
      </w:r>
      <w:r w:rsidRPr="000F1FBF">
        <w:rPr>
          <w:b/>
        </w:rPr>
        <w:t xml:space="preserve"> Basis of preparation of Report on Income and Expenditure:</w:t>
      </w:r>
    </w:p>
    <w:p w14:paraId="0465A318" w14:textId="77777777" w:rsidR="00375793" w:rsidRDefault="00375793" w:rsidP="00375793">
      <w:pPr>
        <w:spacing w:line="360" w:lineRule="auto"/>
        <w:jc w:val="both"/>
      </w:pPr>
    </w:p>
    <w:p w14:paraId="3D5A4AA5" w14:textId="49C7AB1A" w:rsidR="000F486D" w:rsidRDefault="00375793" w:rsidP="00375793">
      <w:pPr>
        <w:spacing w:line="360" w:lineRule="auto"/>
        <w:jc w:val="both"/>
      </w:pPr>
      <w:r>
        <w:t xml:space="preserve">As the timing of the preparation of this report </w:t>
      </w:r>
      <w:r w:rsidRPr="00B122C5">
        <w:t>predat</w:t>
      </w:r>
      <w:r>
        <w:t>es both the national budget and the preparation of the Council’s draft Budget 20</w:t>
      </w:r>
      <w:r w:rsidR="0032010E">
        <w:t>2</w:t>
      </w:r>
      <w:r w:rsidR="00903066">
        <w:t>2</w:t>
      </w:r>
      <w:r w:rsidR="00A67BA6">
        <w:t xml:space="preserve"> including changes which are expected but not quantified </w:t>
      </w:r>
      <w:r w:rsidR="00745E70">
        <w:t>including:</w:t>
      </w:r>
      <w:r w:rsidR="000F486D">
        <w:t xml:space="preserve"> </w:t>
      </w:r>
    </w:p>
    <w:p w14:paraId="21AA7E04" w14:textId="567A7FFC" w:rsidR="000F486D" w:rsidRDefault="000F486D" w:rsidP="000F486D">
      <w:pPr>
        <w:pStyle w:val="ListParagraph"/>
        <w:numPr>
          <w:ilvl w:val="0"/>
          <w:numId w:val="14"/>
        </w:numPr>
        <w:spacing w:line="360" w:lineRule="auto"/>
        <w:jc w:val="both"/>
      </w:pPr>
      <w:r>
        <w:t>The cost of Fire Service 202</w:t>
      </w:r>
      <w:r w:rsidR="00903066">
        <w:t>2</w:t>
      </w:r>
    </w:p>
    <w:p w14:paraId="42B57C4E" w14:textId="586DF6DD" w:rsidR="000F486D" w:rsidRDefault="000F486D" w:rsidP="000F486D">
      <w:pPr>
        <w:pStyle w:val="ListParagraph"/>
        <w:numPr>
          <w:ilvl w:val="0"/>
          <w:numId w:val="14"/>
        </w:numPr>
        <w:spacing w:line="360" w:lineRule="auto"/>
        <w:jc w:val="both"/>
      </w:pPr>
      <w:r>
        <w:t>The cost towards the provision of Homeless Services</w:t>
      </w:r>
    </w:p>
    <w:p w14:paraId="465C27A8" w14:textId="1E52AABA" w:rsidR="000F486D" w:rsidRDefault="00745E70" w:rsidP="000F486D">
      <w:pPr>
        <w:pStyle w:val="ListParagraph"/>
        <w:numPr>
          <w:ilvl w:val="0"/>
          <w:numId w:val="14"/>
        </w:numPr>
        <w:spacing w:line="360" w:lineRule="auto"/>
        <w:jc w:val="both"/>
      </w:pPr>
      <w:r>
        <w:t xml:space="preserve">Costs associated with </w:t>
      </w:r>
      <w:r w:rsidR="002B6506">
        <w:t>recruitment and retirement of staff</w:t>
      </w:r>
    </w:p>
    <w:p w14:paraId="646C68D3" w14:textId="4CC5D455" w:rsidR="005D4272" w:rsidRDefault="005D4272" w:rsidP="000F486D">
      <w:pPr>
        <w:pStyle w:val="ListParagraph"/>
        <w:numPr>
          <w:ilvl w:val="0"/>
          <w:numId w:val="14"/>
        </w:numPr>
        <w:spacing w:line="360" w:lineRule="auto"/>
        <w:jc w:val="both"/>
      </w:pPr>
      <w:r>
        <w:t>Increased costs associated with the administration and management of new facilities including libraries, play spaces and teen spaces, leisure and community centres and new parks and playing facilities</w:t>
      </w:r>
    </w:p>
    <w:p w14:paraId="0D54B3E1" w14:textId="6047F265" w:rsidR="005D4272" w:rsidRDefault="005D4272" w:rsidP="000F486D">
      <w:pPr>
        <w:pStyle w:val="ListParagraph"/>
        <w:numPr>
          <w:ilvl w:val="0"/>
          <w:numId w:val="14"/>
        </w:numPr>
        <w:spacing w:line="360" w:lineRule="auto"/>
        <w:jc w:val="both"/>
      </w:pPr>
      <w:r>
        <w:t xml:space="preserve">Increased costs associated with new housing programmes </w:t>
      </w:r>
    </w:p>
    <w:p w14:paraId="57F4F3DE" w14:textId="086E3E1D" w:rsidR="005D4272" w:rsidRDefault="005D4272" w:rsidP="000F486D">
      <w:pPr>
        <w:pStyle w:val="ListParagraph"/>
        <w:numPr>
          <w:ilvl w:val="0"/>
          <w:numId w:val="14"/>
        </w:numPr>
        <w:spacing w:line="360" w:lineRule="auto"/>
        <w:jc w:val="both"/>
      </w:pPr>
      <w:r>
        <w:lastRenderedPageBreak/>
        <w:t xml:space="preserve">Ongoing increased costs associated with COVID </w:t>
      </w:r>
    </w:p>
    <w:p w14:paraId="0851855A" w14:textId="434CB6F6" w:rsidR="005D4272" w:rsidRDefault="005D4272" w:rsidP="000F486D">
      <w:pPr>
        <w:pStyle w:val="ListParagraph"/>
        <w:numPr>
          <w:ilvl w:val="0"/>
          <w:numId w:val="14"/>
        </w:numPr>
        <w:spacing w:line="360" w:lineRule="auto"/>
        <w:jc w:val="both"/>
      </w:pPr>
      <w:r>
        <w:t>Costs associated with national wage agreements</w:t>
      </w:r>
    </w:p>
    <w:p w14:paraId="3BDB9651" w14:textId="1F9F72AC" w:rsidR="005D4272" w:rsidRDefault="005D4272" w:rsidP="000F486D">
      <w:pPr>
        <w:pStyle w:val="ListParagraph"/>
        <w:numPr>
          <w:ilvl w:val="0"/>
          <w:numId w:val="14"/>
        </w:numPr>
        <w:spacing w:line="360" w:lineRule="auto"/>
        <w:jc w:val="both"/>
      </w:pPr>
      <w:r>
        <w:t>Necessary adjustments for inflationary trends in procurement generally</w:t>
      </w:r>
    </w:p>
    <w:p w14:paraId="0A0328D6" w14:textId="77777777" w:rsidR="002B6506" w:rsidRDefault="002B6506" w:rsidP="002B6506">
      <w:pPr>
        <w:pStyle w:val="ListParagraph"/>
        <w:numPr>
          <w:ilvl w:val="0"/>
          <w:numId w:val="14"/>
        </w:numPr>
        <w:spacing w:line="360" w:lineRule="auto"/>
        <w:jc w:val="both"/>
      </w:pPr>
      <w:r>
        <w:t>Valuation Tribunal Results</w:t>
      </w:r>
    </w:p>
    <w:p w14:paraId="3504D5E3" w14:textId="50367E13" w:rsidR="002B6506" w:rsidRDefault="002B6506" w:rsidP="000F486D">
      <w:pPr>
        <w:pStyle w:val="ListParagraph"/>
        <w:numPr>
          <w:ilvl w:val="0"/>
          <w:numId w:val="14"/>
        </w:numPr>
        <w:spacing w:line="360" w:lineRule="auto"/>
        <w:jc w:val="both"/>
      </w:pPr>
      <w:r>
        <w:t>Revaluation of Global Valuations by the Valuation Office</w:t>
      </w:r>
    </w:p>
    <w:p w14:paraId="558F773E" w14:textId="77777777" w:rsidR="002B6506" w:rsidRDefault="002B6506" w:rsidP="002B6506">
      <w:pPr>
        <w:pStyle w:val="ListParagraph"/>
        <w:spacing w:line="360" w:lineRule="auto"/>
        <w:jc w:val="both"/>
      </w:pPr>
    </w:p>
    <w:p w14:paraId="4A2E7136" w14:textId="13DD2E1F" w:rsidR="00375793" w:rsidRDefault="000F486D" w:rsidP="00375793">
      <w:pPr>
        <w:spacing w:line="360" w:lineRule="auto"/>
        <w:jc w:val="both"/>
      </w:pPr>
      <w:r>
        <w:t>T</w:t>
      </w:r>
      <w:r w:rsidR="00C56734">
        <w:t>he</w:t>
      </w:r>
      <w:r w:rsidR="00375793">
        <w:t xml:space="preserve"> Report on Income and Expenditure is based on the </w:t>
      </w:r>
      <w:r w:rsidR="00375793" w:rsidRPr="00F0608E">
        <w:t xml:space="preserve">current year’s budget adjusted to take account of </w:t>
      </w:r>
      <w:r w:rsidR="00D3526C">
        <w:t>changes affecting</w:t>
      </w:r>
      <w:r w:rsidR="00375793" w:rsidRPr="00F0608E">
        <w:t xml:space="preserve"> Local Property Tax income </w:t>
      </w:r>
      <w:r w:rsidR="00375793">
        <w:t xml:space="preserve">and </w:t>
      </w:r>
      <w:r w:rsidR="00D3526C">
        <w:t>any other anticipated changes impacting</w:t>
      </w:r>
      <w:r w:rsidR="00375793">
        <w:t xml:space="preserve"> grants</w:t>
      </w:r>
      <w:r w:rsidR="00D3526C">
        <w:t>,</w:t>
      </w:r>
      <w:r w:rsidR="00375793">
        <w:t xml:space="preserve"> subsidies</w:t>
      </w:r>
      <w:r w:rsidR="00D3526C" w:rsidRPr="00D3526C">
        <w:t xml:space="preserve"> </w:t>
      </w:r>
      <w:r w:rsidR="00D3526C">
        <w:t>and activities</w:t>
      </w:r>
      <w:r w:rsidR="00375793">
        <w:t xml:space="preserve">. </w:t>
      </w:r>
    </w:p>
    <w:p w14:paraId="72BA05DF" w14:textId="77777777" w:rsidR="00375793" w:rsidRDefault="00375793" w:rsidP="00375793">
      <w:pPr>
        <w:spacing w:line="360" w:lineRule="auto"/>
        <w:jc w:val="both"/>
      </w:pPr>
    </w:p>
    <w:p w14:paraId="6580335F" w14:textId="66718C91" w:rsidR="00375793" w:rsidRPr="00745E70" w:rsidRDefault="00375793" w:rsidP="00745E70">
      <w:pPr>
        <w:spacing w:line="360" w:lineRule="auto"/>
        <w:jc w:val="both"/>
        <w:rPr>
          <w:highlight w:val="green"/>
        </w:rPr>
      </w:pPr>
      <w:r w:rsidRPr="00745E70">
        <w:t>Some preliminary work has also been carried out to project payroll and loan charges for 20</w:t>
      </w:r>
      <w:r w:rsidR="0032010E" w:rsidRPr="00745E70">
        <w:t>2</w:t>
      </w:r>
      <w:r w:rsidR="00903066">
        <w:t>2</w:t>
      </w:r>
      <w:r w:rsidRPr="00745E70">
        <w:t xml:space="preserve">.  This </w:t>
      </w:r>
      <w:r w:rsidR="00EB0861" w:rsidRPr="00745E70">
        <w:t xml:space="preserve">work </w:t>
      </w:r>
      <w:r w:rsidRPr="00745E70">
        <w:t xml:space="preserve">will continue for remaining expenditure and income provisions in the context of the budget strategy during the development of the draft budget </w:t>
      </w:r>
      <w:r w:rsidR="00471A5E">
        <w:t>between</w:t>
      </w:r>
      <w:r w:rsidRPr="00745E70">
        <w:t xml:space="preserve"> </w:t>
      </w:r>
      <w:r w:rsidR="00471A5E">
        <w:t>July</w:t>
      </w:r>
      <w:r w:rsidR="00A67BA6" w:rsidRPr="00745E70">
        <w:t xml:space="preserve"> and </w:t>
      </w:r>
      <w:r w:rsidR="00471A5E">
        <w:t>November</w:t>
      </w:r>
      <w:r w:rsidRPr="00745E70">
        <w:t xml:space="preserve"> 20</w:t>
      </w:r>
      <w:r w:rsidR="004A6A33" w:rsidRPr="00745E70">
        <w:t>2</w:t>
      </w:r>
      <w:r w:rsidR="00903066">
        <w:t>1</w:t>
      </w:r>
      <w:r w:rsidRPr="00745E70">
        <w:t xml:space="preserve">.  This timing also allows for greater certainty in relation to </w:t>
      </w:r>
      <w:r w:rsidR="006E2CA2" w:rsidRPr="00745E70">
        <w:t xml:space="preserve">anticipated changes in activity levels and </w:t>
      </w:r>
      <w:r w:rsidRPr="00745E70">
        <w:t>other grant allocations.</w:t>
      </w:r>
    </w:p>
    <w:p w14:paraId="109E90A2" w14:textId="0EEA2AE7" w:rsidR="0039794D" w:rsidRDefault="0039794D" w:rsidP="00375793">
      <w:pPr>
        <w:autoSpaceDE w:val="0"/>
        <w:autoSpaceDN w:val="0"/>
        <w:adjustRightInd w:val="0"/>
        <w:spacing w:line="360" w:lineRule="auto"/>
        <w:rPr>
          <w:b/>
          <w:u w:val="single"/>
          <w:lang w:val="en-IE" w:eastAsia="en-GB"/>
        </w:rPr>
      </w:pPr>
    </w:p>
    <w:p w14:paraId="487C9258" w14:textId="77777777" w:rsidR="00537CB5" w:rsidRDefault="00537CB5" w:rsidP="00375793">
      <w:pPr>
        <w:autoSpaceDE w:val="0"/>
        <w:autoSpaceDN w:val="0"/>
        <w:adjustRightInd w:val="0"/>
        <w:spacing w:line="360" w:lineRule="auto"/>
        <w:rPr>
          <w:b/>
          <w:u w:val="single"/>
          <w:lang w:val="en-IE" w:eastAsia="en-GB"/>
        </w:rPr>
      </w:pPr>
    </w:p>
    <w:p w14:paraId="2E1F46BB" w14:textId="51DA763A" w:rsidR="00375793" w:rsidRPr="000F1FBF" w:rsidRDefault="00322ADF" w:rsidP="00375793">
      <w:pPr>
        <w:autoSpaceDE w:val="0"/>
        <w:autoSpaceDN w:val="0"/>
        <w:adjustRightInd w:val="0"/>
        <w:spacing w:line="360" w:lineRule="auto"/>
        <w:rPr>
          <w:b/>
          <w:lang w:val="en-IE" w:eastAsia="en-GB"/>
        </w:rPr>
      </w:pPr>
      <w:r>
        <w:rPr>
          <w:b/>
          <w:lang w:val="en-IE" w:eastAsia="en-GB"/>
        </w:rPr>
        <w:t>1.</w:t>
      </w:r>
      <w:r w:rsidR="00471A5E">
        <w:rPr>
          <w:b/>
          <w:lang w:val="en-IE" w:eastAsia="en-GB"/>
        </w:rPr>
        <w:t>8</w:t>
      </w:r>
      <w:r w:rsidR="00375793" w:rsidRPr="000F1FBF">
        <w:rPr>
          <w:b/>
          <w:lang w:val="en-IE" w:eastAsia="en-GB"/>
        </w:rPr>
        <w:t xml:space="preserve"> Estimation of 20</w:t>
      </w:r>
      <w:r w:rsidR="002249AC">
        <w:rPr>
          <w:b/>
          <w:lang w:val="en-IE" w:eastAsia="en-GB"/>
        </w:rPr>
        <w:t>2</w:t>
      </w:r>
      <w:r w:rsidR="00903066">
        <w:rPr>
          <w:b/>
          <w:lang w:val="en-IE" w:eastAsia="en-GB"/>
        </w:rPr>
        <w:t>2</w:t>
      </w:r>
      <w:r w:rsidR="00375793" w:rsidRPr="000F1FBF">
        <w:rPr>
          <w:b/>
          <w:lang w:val="en-IE" w:eastAsia="en-GB"/>
        </w:rPr>
        <w:t xml:space="preserve"> Income and Expenditure of South Dublin County Council</w:t>
      </w:r>
    </w:p>
    <w:tbl>
      <w:tblPr>
        <w:tblW w:w="8874" w:type="dxa"/>
        <w:tblInd w:w="-10" w:type="dxa"/>
        <w:tblLayout w:type="fixed"/>
        <w:tblLook w:val="04A0" w:firstRow="1" w:lastRow="0" w:firstColumn="1" w:lastColumn="0" w:noHBand="0" w:noVBand="1"/>
      </w:tblPr>
      <w:tblGrid>
        <w:gridCol w:w="4250"/>
        <w:gridCol w:w="2194"/>
        <w:gridCol w:w="2194"/>
        <w:gridCol w:w="236"/>
      </w:tblGrid>
      <w:tr w:rsidR="006C02BE" w:rsidRPr="006C02BE" w14:paraId="5198079E" w14:textId="77777777" w:rsidTr="00537CB5">
        <w:trPr>
          <w:trHeight w:val="300"/>
        </w:trPr>
        <w:tc>
          <w:tcPr>
            <w:tcW w:w="8874" w:type="dxa"/>
            <w:gridSpan w:val="4"/>
            <w:tcBorders>
              <w:top w:val="single" w:sz="8" w:space="0" w:color="auto"/>
              <w:left w:val="single" w:sz="8" w:space="0" w:color="auto"/>
              <w:bottom w:val="nil"/>
              <w:right w:val="single" w:sz="8" w:space="0" w:color="000000"/>
            </w:tcBorders>
            <w:shd w:val="clear" w:color="000000" w:fill="0000FF"/>
            <w:noWrap/>
            <w:vAlign w:val="bottom"/>
            <w:hideMark/>
          </w:tcPr>
          <w:p w14:paraId="7B3F9730" w14:textId="77777777" w:rsidR="006C02BE" w:rsidRPr="006C02BE" w:rsidRDefault="006C02BE" w:rsidP="006C02BE">
            <w:pPr>
              <w:jc w:val="center"/>
              <w:rPr>
                <w:rFonts w:ascii="Arial" w:hAnsi="Arial" w:cs="Arial"/>
                <w:b/>
                <w:bCs/>
                <w:i/>
                <w:iCs/>
                <w:color w:val="FFFFFF"/>
                <w:sz w:val="22"/>
                <w:szCs w:val="22"/>
                <w:u w:val="single"/>
                <w:lang w:val="en-IE" w:eastAsia="en-IE"/>
              </w:rPr>
            </w:pPr>
            <w:r w:rsidRPr="006C02BE">
              <w:rPr>
                <w:rFonts w:ascii="Arial" w:hAnsi="Arial" w:cs="Arial"/>
                <w:b/>
                <w:bCs/>
                <w:i/>
                <w:iCs/>
                <w:color w:val="FFFFFF"/>
                <w:sz w:val="22"/>
                <w:szCs w:val="22"/>
                <w:u w:val="single"/>
                <w:lang w:val="en-IE" w:eastAsia="en-IE"/>
              </w:rPr>
              <w:t>Estimation of Income and Expenditure South Dublin County Council - LPT Variation</w:t>
            </w:r>
          </w:p>
        </w:tc>
      </w:tr>
      <w:tr w:rsidR="006C02BE" w:rsidRPr="006C02BE" w14:paraId="591F760C"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506929EA"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w:t>
            </w:r>
          </w:p>
        </w:tc>
        <w:tc>
          <w:tcPr>
            <w:tcW w:w="2194" w:type="dxa"/>
            <w:tcBorders>
              <w:top w:val="nil"/>
              <w:left w:val="nil"/>
              <w:bottom w:val="nil"/>
              <w:right w:val="nil"/>
            </w:tcBorders>
            <w:shd w:val="clear" w:color="auto" w:fill="auto"/>
            <w:noWrap/>
            <w:vAlign w:val="bottom"/>
            <w:hideMark/>
          </w:tcPr>
          <w:p w14:paraId="6D79D6F6" w14:textId="77777777" w:rsidR="006C02BE" w:rsidRPr="006C02BE" w:rsidRDefault="006C02BE" w:rsidP="006C02BE">
            <w:pPr>
              <w:rPr>
                <w:rFonts w:ascii="Arial" w:hAnsi="Arial" w:cs="Arial"/>
                <w:color w:val="000000"/>
                <w:sz w:val="22"/>
                <w:szCs w:val="22"/>
                <w:lang w:val="en-IE" w:eastAsia="en-IE"/>
              </w:rPr>
            </w:pPr>
          </w:p>
        </w:tc>
        <w:tc>
          <w:tcPr>
            <w:tcW w:w="2194" w:type="dxa"/>
            <w:tcBorders>
              <w:top w:val="nil"/>
              <w:left w:val="nil"/>
              <w:bottom w:val="nil"/>
              <w:right w:val="nil"/>
            </w:tcBorders>
            <w:shd w:val="clear" w:color="auto" w:fill="auto"/>
            <w:noWrap/>
            <w:vAlign w:val="bottom"/>
            <w:hideMark/>
          </w:tcPr>
          <w:p w14:paraId="76389D37"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74F43EF0"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6D0BB51E" w14:textId="77777777" w:rsidTr="00537CB5">
        <w:trPr>
          <w:trHeight w:val="564"/>
        </w:trPr>
        <w:tc>
          <w:tcPr>
            <w:tcW w:w="4250" w:type="dxa"/>
            <w:tcBorders>
              <w:top w:val="nil"/>
              <w:left w:val="single" w:sz="8" w:space="0" w:color="auto"/>
              <w:bottom w:val="nil"/>
              <w:right w:val="nil"/>
            </w:tcBorders>
            <w:shd w:val="clear" w:color="auto" w:fill="auto"/>
            <w:noWrap/>
            <w:vAlign w:val="bottom"/>
            <w:hideMark/>
          </w:tcPr>
          <w:p w14:paraId="270083C0"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w:t>
            </w:r>
          </w:p>
        </w:tc>
        <w:tc>
          <w:tcPr>
            <w:tcW w:w="2194" w:type="dxa"/>
            <w:tcBorders>
              <w:top w:val="nil"/>
              <w:left w:val="nil"/>
              <w:bottom w:val="nil"/>
              <w:right w:val="nil"/>
            </w:tcBorders>
            <w:shd w:val="clear" w:color="auto" w:fill="auto"/>
            <w:vAlign w:val="bottom"/>
            <w:hideMark/>
          </w:tcPr>
          <w:p w14:paraId="59CB2AF9" w14:textId="77777777" w:rsidR="006C02BE" w:rsidRPr="006C02BE" w:rsidRDefault="006C02BE" w:rsidP="006C02BE">
            <w:pPr>
              <w:jc w:val="center"/>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Budget 2021</w:t>
            </w:r>
          </w:p>
        </w:tc>
        <w:tc>
          <w:tcPr>
            <w:tcW w:w="2194" w:type="dxa"/>
            <w:tcBorders>
              <w:top w:val="nil"/>
              <w:left w:val="nil"/>
              <w:bottom w:val="nil"/>
              <w:right w:val="nil"/>
            </w:tcBorders>
            <w:shd w:val="clear" w:color="auto" w:fill="auto"/>
            <w:vAlign w:val="bottom"/>
            <w:hideMark/>
          </w:tcPr>
          <w:p w14:paraId="623C8492" w14:textId="77777777" w:rsidR="006C02BE" w:rsidRPr="006C02BE" w:rsidRDefault="006C02BE" w:rsidP="006C02BE">
            <w:pPr>
              <w:jc w:val="center"/>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Draft Budget 2022</w:t>
            </w:r>
          </w:p>
        </w:tc>
        <w:tc>
          <w:tcPr>
            <w:tcW w:w="236" w:type="dxa"/>
            <w:tcBorders>
              <w:top w:val="nil"/>
              <w:left w:val="nil"/>
              <w:bottom w:val="nil"/>
              <w:right w:val="single" w:sz="8" w:space="0" w:color="auto"/>
            </w:tcBorders>
            <w:shd w:val="clear" w:color="auto" w:fill="auto"/>
            <w:noWrap/>
            <w:vAlign w:val="bottom"/>
            <w:hideMark/>
          </w:tcPr>
          <w:p w14:paraId="46B6C761"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4E6DC89E"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75303AC7" w14:textId="77777777" w:rsidR="006C02BE" w:rsidRPr="006C02BE" w:rsidRDefault="006C02BE" w:rsidP="006C02BE">
            <w:pPr>
              <w:rPr>
                <w:rFonts w:ascii="Arial" w:hAnsi="Arial" w:cs="Arial"/>
                <w:b/>
                <w:bCs/>
                <w:color w:val="000000"/>
                <w:sz w:val="22"/>
                <w:szCs w:val="22"/>
                <w:u w:val="single"/>
                <w:lang w:val="en-IE" w:eastAsia="en-IE"/>
              </w:rPr>
            </w:pPr>
            <w:r w:rsidRPr="006C02BE">
              <w:rPr>
                <w:rFonts w:ascii="Arial" w:hAnsi="Arial" w:cs="Arial"/>
                <w:b/>
                <w:bCs/>
                <w:color w:val="000000"/>
                <w:sz w:val="22"/>
                <w:szCs w:val="22"/>
                <w:u w:val="single"/>
                <w:lang w:val="en-IE" w:eastAsia="en-IE"/>
              </w:rPr>
              <w:t>Income</w:t>
            </w:r>
          </w:p>
        </w:tc>
        <w:tc>
          <w:tcPr>
            <w:tcW w:w="2194" w:type="dxa"/>
            <w:tcBorders>
              <w:top w:val="nil"/>
              <w:left w:val="nil"/>
              <w:bottom w:val="nil"/>
              <w:right w:val="nil"/>
            </w:tcBorders>
            <w:shd w:val="clear" w:color="auto" w:fill="auto"/>
            <w:noWrap/>
            <w:vAlign w:val="bottom"/>
            <w:hideMark/>
          </w:tcPr>
          <w:p w14:paraId="564BE04C" w14:textId="77777777" w:rsidR="006C02BE" w:rsidRPr="006C02BE" w:rsidRDefault="006C02BE" w:rsidP="006C02BE">
            <w:pPr>
              <w:rPr>
                <w:rFonts w:ascii="Arial" w:hAnsi="Arial" w:cs="Arial"/>
                <w:b/>
                <w:bCs/>
                <w:color w:val="000000"/>
                <w:sz w:val="22"/>
                <w:szCs w:val="22"/>
                <w:u w:val="single"/>
                <w:lang w:val="en-IE" w:eastAsia="en-IE"/>
              </w:rPr>
            </w:pPr>
          </w:p>
        </w:tc>
        <w:tc>
          <w:tcPr>
            <w:tcW w:w="2194" w:type="dxa"/>
            <w:tcBorders>
              <w:top w:val="nil"/>
              <w:left w:val="nil"/>
              <w:bottom w:val="nil"/>
              <w:right w:val="nil"/>
            </w:tcBorders>
            <w:shd w:val="clear" w:color="auto" w:fill="auto"/>
            <w:noWrap/>
            <w:vAlign w:val="bottom"/>
            <w:hideMark/>
          </w:tcPr>
          <w:p w14:paraId="37E8B520"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75796D94"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0B15E010"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64B626FE"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Commercial Rates</w:t>
            </w:r>
          </w:p>
        </w:tc>
        <w:tc>
          <w:tcPr>
            <w:tcW w:w="2194" w:type="dxa"/>
            <w:tcBorders>
              <w:top w:val="nil"/>
              <w:left w:val="nil"/>
              <w:bottom w:val="nil"/>
              <w:right w:val="nil"/>
            </w:tcBorders>
            <w:shd w:val="clear" w:color="auto" w:fill="auto"/>
            <w:noWrap/>
            <w:vAlign w:val="bottom"/>
            <w:hideMark/>
          </w:tcPr>
          <w:p w14:paraId="3B02D70F"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-131,774,000 </w:t>
            </w:r>
          </w:p>
        </w:tc>
        <w:tc>
          <w:tcPr>
            <w:tcW w:w="2194" w:type="dxa"/>
            <w:tcBorders>
              <w:top w:val="nil"/>
              <w:left w:val="nil"/>
              <w:bottom w:val="nil"/>
              <w:right w:val="nil"/>
            </w:tcBorders>
            <w:shd w:val="clear" w:color="auto" w:fill="auto"/>
            <w:noWrap/>
            <w:vAlign w:val="bottom"/>
            <w:hideMark/>
          </w:tcPr>
          <w:p w14:paraId="77012CCB"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-134,863,000 </w:t>
            </w:r>
          </w:p>
        </w:tc>
        <w:tc>
          <w:tcPr>
            <w:tcW w:w="236" w:type="dxa"/>
            <w:tcBorders>
              <w:top w:val="nil"/>
              <w:left w:val="nil"/>
              <w:bottom w:val="nil"/>
              <w:right w:val="single" w:sz="8" w:space="0" w:color="auto"/>
            </w:tcBorders>
            <w:shd w:val="clear" w:color="auto" w:fill="auto"/>
            <w:noWrap/>
            <w:vAlign w:val="bottom"/>
            <w:hideMark/>
          </w:tcPr>
          <w:p w14:paraId="0320597E"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3499837F"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61417C83"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Local Property Tax</w:t>
            </w:r>
          </w:p>
        </w:tc>
        <w:tc>
          <w:tcPr>
            <w:tcW w:w="2194" w:type="dxa"/>
            <w:tcBorders>
              <w:top w:val="nil"/>
              <w:left w:val="nil"/>
              <w:bottom w:val="nil"/>
              <w:right w:val="nil"/>
            </w:tcBorders>
            <w:shd w:val="clear" w:color="auto" w:fill="auto"/>
            <w:noWrap/>
            <w:vAlign w:val="bottom"/>
            <w:hideMark/>
          </w:tcPr>
          <w:p w14:paraId="28528EFD"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-10,592,500 </w:t>
            </w:r>
          </w:p>
        </w:tc>
        <w:tc>
          <w:tcPr>
            <w:tcW w:w="2194" w:type="dxa"/>
            <w:tcBorders>
              <w:top w:val="nil"/>
              <w:left w:val="nil"/>
              <w:bottom w:val="nil"/>
              <w:right w:val="nil"/>
            </w:tcBorders>
            <w:shd w:val="clear" w:color="auto" w:fill="auto"/>
            <w:noWrap/>
            <w:vAlign w:val="bottom"/>
            <w:hideMark/>
          </w:tcPr>
          <w:p w14:paraId="02444F90"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-15,336,574 </w:t>
            </w:r>
          </w:p>
        </w:tc>
        <w:tc>
          <w:tcPr>
            <w:tcW w:w="236" w:type="dxa"/>
            <w:tcBorders>
              <w:top w:val="nil"/>
              <w:left w:val="nil"/>
              <w:bottom w:val="nil"/>
              <w:right w:val="single" w:sz="8" w:space="0" w:color="auto"/>
            </w:tcBorders>
            <w:shd w:val="clear" w:color="auto" w:fill="auto"/>
            <w:noWrap/>
            <w:vAlign w:val="bottom"/>
            <w:hideMark/>
          </w:tcPr>
          <w:p w14:paraId="11ACFE03"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w:t>
            </w:r>
          </w:p>
        </w:tc>
      </w:tr>
      <w:tr w:rsidR="006C02BE" w:rsidRPr="006C02BE" w14:paraId="55F3621D"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005677C8"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Grants and Subsidies</w:t>
            </w:r>
          </w:p>
        </w:tc>
        <w:tc>
          <w:tcPr>
            <w:tcW w:w="2194" w:type="dxa"/>
            <w:tcBorders>
              <w:top w:val="nil"/>
              <w:left w:val="nil"/>
              <w:bottom w:val="nil"/>
              <w:right w:val="nil"/>
            </w:tcBorders>
            <w:shd w:val="clear" w:color="auto" w:fill="auto"/>
            <w:noWrap/>
            <w:vAlign w:val="bottom"/>
            <w:hideMark/>
          </w:tcPr>
          <w:p w14:paraId="103DE291"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-67,285,000 </w:t>
            </w:r>
          </w:p>
        </w:tc>
        <w:tc>
          <w:tcPr>
            <w:tcW w:w="2194" w:type="dxa"/>
            <w:tcBorders>
              <w:top w:val="nil"/>
              <w:left w:val="nil"/>
              <w:bottom w:val="nil"/>
              <w:right w:val="nil"/>
            </w:tcBorders>
            <w:shd w:val="clear" w:color="auto" w:fill="auto"/>
            <w:noWrap/>
            <w:vAlign w:val="bottom"/>
            <w:hideMark/>
          </w:tcPr>
          <w:p w14:paraId="31297CEA"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-76,303,480 </w:t>
            </w:r>
          </w:p>
        </w:tc>
        <w:tc>
          <w:tcPr>
            <w:tcW w:w="236" w:type="dxa"/>
            <w:tcBorders>
              <w:top w:val="nil"/>
              <w:left w:val="nil"/>
              <w:bottom w:val="nil"/>
              <w:right w:val="single" w:sz="8" w:space="0" w:color="auto"/>
            </w:tcBorders>
            <w:shd w:val="clear" w:color="auto" w:fill="auto"/>
            <w:noWrap/>
            <w:vAlign w:val="bottom"/>
            <w:hideMark/>
          </w:tcPr>
          <w:p w14:paraId="1FA9F39C"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6A1E6143"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7507E672"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Other Income</w:t>
            </w:r>
          </w:p>
        </w:tc>
        <w:tc>
          <w:tcPr>
            <w:tcW w:w="2194" w:type="dxa"/>
            <w:tcBorders>
              <w:top w:val="nil"/>
              <w:left w:val="nil"/>
              <w:bottom w:val="nil"/>
              <w:right w:val="nil"/>
            </w:tcBorders>
            <w:shd w:val="clear" w:color="auto" w:fill="auto"/>
            <w:noWrap/>
            <w:vAlign w:val="bottom"/>
            <w:hideMark/>
          </w:tcPr>
          <w:p w14:paraId="4B20A38B"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-58,368,400 </w:t>
            </w:r>
          </w:p>
        </w:tc>
        <w:tc>
          <w:tcPr>
            <w:tcW w:w="2194" w:type="dxa"/>
            <w:tcBorders>
              <w:top w:val="nil"/>
              <w:left w:val="nil"/>
              <w:bottom w:val="nil"/>
              <w:right w:val="nil"/>
            </w:tcBorders>
            <w:shd w:val="clear" w:color="auto" w:fill="auto"/>
            <w:noWrap/>
            <w:vAlign w:val="bottom"/>
            <w:hideMark/>
          </w:tcPr>
          <w:p w14:paraId="3E2ED65A"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FF0000"/>
                <w:sz w:val="22"/>
                <w:szCs w:val="22"/>
                <w:lang w:val="en-IE" w:eastAsia="en-IE"/>
              </w:rPr>
              <w:t xml:space="preserve">-57,718,285 </w:t>
            </w:r>
          </w:p>
        </w:tc>
        <w:tc>
          <w:tcPr>
            <w:tcW w:w="236" w:type="dxa"/>
            <w:tcBorders>
              <w:top w:val="nil"/>
              <w:left w:val="nil"/>
              <w:bottom w:val="nil"/>
              <w:right w:val="single" w:sz="8" w:space="0" w:color="auto"/>
            </w:tcBorders>
            <w:shd w:val="clear" w:color="auto" w:fill="auto"/>
            <w:noWrap/>
            <w:vAlign w:val="bottom"/>
            <w:hideMark/>
          </w:tcPr>
          <w:p w14:paraId="25E1FFC8"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39552E95"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2A863DBA"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w:t>
            </w:r>
          </w:p>
        </w:tc>
        <w:tc>
          <w:tcPr>
            <w:tcW w:w="2194" w:type="dxa"/>
            <w:tcBorders>
              <w:top w:val="nil"/>
              <w:left w:val="nil"/>
              <w:bottom w:val="nil"/>
              <w:right w:val="nil"/>
            </w:tcBorders>
            <w:shd w:val="clear" w:color="auto" w:fill="auto"/>
            <w:noWrap/>
            <w:vAlign w:val="bottom"/>
            <w:hideMark/>
          </w:tcPr>
          <w:p w14:paraId="7AFAE21B" w14:textId="77777777" w:rsidR="006C02BE" w:rsidRPr="006C02BE" w:rsidRDefault="006C02BE" w:rsidP="006C02BE">
            <w:pPr>
              <w:rPr>
                <w:rFonts w:ascii="Arial" w:hAnsi="Arial" w:cs="Arial"/>
                <w:color w:val="000000"/>
                <w:sz w:val="22"/>
                <w:szCs w:val="22"/>
                <w:lang w:val="en-IE" w:eastAsia="en-IE"/>
              </w:rPr>
            </w:pPr>
          </w:p>
        </w:tc>
        <w:tc>
          <w:tcPr>
            <w:tcW w:w="2194" w:type="dxa"/>
            <w:tcBorders>
              <w:top w:val="nil"/>
              <w:left w:val="nil"/>
              <w:bottom w:val="nil"/>
              <w:right w:val="nil"/>
            </w:tcBorders>
            <w:shd w:val="clear" w:color="auto" w:fill="auto"/>
            <w:noWrap/>
            <w:vAlign w:val="bottom"/>
            <w:hideMark/>
          </w:tcPr>
          <w:p w14:paraId="05C12856"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5E352EE7"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7712A9B9"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13E8DBBB" w14:textId="77777777" w:rsidR="006C02BE" w:rsidRPr="006C02BE" w:rsidRDefault="006C02BE" w:rsidP="006C02BE">
            <w:pPr>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Total Income</w:t>
            </w:r>
          </w:p>
        </w:tc>
        <w:tc>
          <w:tcPr>
            <w:tcW w:w="2194" w:type="dxa"/>
            <w:tcBorders>
              <w:top w:val="single" w:sz="4" w:space="0" w:color="auto"/>
              <w:left w:val="nil"/>
              <w:bottom w:val="single" w:sz="4" w:space="0" w:color="auto"/>
              <w:right w:val="nil"/>
            </w:tcBorders>
            <w:shd w:val="clear" w:color="auto" w:fill="auto"/>
            <w:noWrap/>
            <w:vAlign w:val="bottom"/>
            <w:hideMark/>
          </w:tcPr>
          <w:p w14:paraId="674240FD" w14:textId="77777777" w:rsidR="006C02BE" w:rsidRPr="006C02BE" w:rsidRDefault="006C02BE" w:rsidP="006C02BE">
            <w:pPr>
              <w:jc w:val="right"/>
              <w:rPr>
                <w:rFonts w:ascii="Arial" w:hAnsi="Arial" w:cs="Arial"/>
                <w:b/>
                <w:bCs/>
                <w:color w:val="000000"/>
                <w:sz w:val="22"/>
                <w:szCs w:val="22"/>
                <w:lang w:val="en-IE" w:eastAsia="en-IE"/>
              </w:rPr>
            </w:pPr>
            <w:r w:rsidRPr="006C02BE">
              <w:rPr>
                <w:rFonts w:ascii="Arial" w:hAnsi="Arial" w:cs="Arial"/>
                <w:b/>
                <w:bCs/>
                <w:color w:val="FF0000"/>
                <w:sz w:val="22"/>
                <w:szCs w:val="22"/>
                <w:lang w:val="en-IE" w:eastAsia="en-IE"/>
              </w:rPr>
              <w:t xml:space="preserve">-268,019,900 </w:t>
            </w:r>
          </w:p>
        </w:tc>
        <w:tc>
          <w:tcPr>
            <w:tcW w:w="2194" w:type="dxa"/>
            <w:tcBorders>
              <w:top w:val="single" w:sz="4" w:space="0" w:color="auto"/>
              <w:left w:val="nil"/>
              <w:bottom w:val="single" w:sz="4" w:space="0" w:color="auto"/>
              <w:right w:val="nil"/>
            </w:tcBorders>
            <w:shd w:val="clear" w:color="auto" w:fill="auto"/>
            <w:noWrap/>
            <w:vAlign w:val="bottom"/>
            <w:hideMark/>
          </w:tcPr>
          <w:p w14:paraId="73C4229E" w14:textId="77777777" w:rsidR="006C02BE" w:rsidRPr="006C02BE" w:rsidRDefault="006C02BE" w:rsidP="006C02BE">
            <w:pPr>
              <w:jc w:val="right"/>
              <w:rPr>
                <w:rFonts w:ascii="Arial" w:hAnsi="Arial" w:cs="Arial"/>
                <w:b/>
                <w:bCs/>
                <w:color w:val="000000"/>
                <w:sz w:val="22"/>
                <w:szCs w:val="22"/>
                <w:lang w:val="en-IE" w:eastAsia="en-IE"/>
              </w:rPr>
            </w:pPr>
            <w:r w:rsidRPr="006C02BE">
              <w:rPr>
                <w:rFonts w:ascii="Arial" w:hAnsi="Arial" w:cs="Arial"/>
                <w:b/>
                <w:bCs/>
                <w:color w:val="FF0000"/>
                <w:sz w:val="22"/>
                <w:szCs w:val="22"/>
                <w:lang w:val="en-IE" w:eastAsia="en-IE"/>
              </w:rPr>
              <w:t xml:space="preserve">-284,221,339 </w:t>
            </w:r>
          </w:p>
        </w:tc>
        <w:tc>
          <w:tcPr>
            <w:tcW w:w="236" w:type="dxa"/>
            <w:tcBorders>
              <w:top w:val="nil"/>
              <w:left w:val="nil"/>
              <w:bottom w:val="nil"/>
              <w:right w:val="single" w:sz="8" w:space="0" w:color="auto"/>
            </w:tcBorders>
            <w:shd w:val="clear" w:color="auto" w:fill="auto"/>
            <w:noWrap/>
            <w:vAlign w:val="bottom"/>
            <w:hideMark/>
          </w:tcPr>
          <w:p w14:paraId="4670F924"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5ACC2EB1"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220621A2"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w:t>
            </w:r>
          </w:p>
        </w:tc>
        <w:tc>
          <w:tcPr>
            <w:tcW w:w="2194" w:type="dxa"/>
            <w:tcBorders>
              <w:top w:val="nil"/>
              <w:left w:val="nil"/>
              <w:bottom w:val="nil"/>
              <w:right w:val="nil"/>
            </w:tcBorders>
            <w:shd w:val="clear" w:color="auto" w:fill="auto"/>
            <w:noWrap/>
            <w:vAlign w:val="bottom"/>
            <w:hideMark/>
          </w:tcPr>
          <w:p w14:paraId="60450E67" w14:textId="77777777" w:rsidR="006C02BE" w:rsidRPr="006C02BE" w:rsidRDefault="006C02BE" w:rsidP="006C02BE">
            <w:pPr>
              <w:rPr>
                <w:rFonts w:ascii="Arial" w:hAnsi="Arial" w:cs="Arial"/>
                <w:color w:val="000000"/>
                <w:sz w:val="22"/>
                <w:szCs w:val="22"/>
                <w:lang w:val="en-IE" w:eastAsia="en-IE"/>
              </w:rPr>
            </w:pPr>
          </w:p>
        </w:tc>
        <w:tc>
          <w:tcPr>
            <w:tcW w:w="2194" w:type="dxa"/>
            <w:tcBorders>
              <w:top w:val="nil"/>
              <w:left w:val="nil"/>
              <w:bottom w:val="nil"/>
              <w:right w:val="nil"/>
            </w:tcBorders>
            <w:shd w:val="clear" w:color="auto" w:fill="auto"/>
            <w:noWrap/>
            <w:vAlign w:val="bottom"/>
            <w:hideMark/>
          </w:tcPr>
          <w:p w14:paraId="54467B5B"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2EF72827"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2211A9FC"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662823ED" w14:textId="77777777" w:rsidR="006C02BE" w:rsidRPr="006C02BE" w:rsidRDefault="006C02BE" w:rsidP="006C02BE">
            <w:pPr>
              <w:rPr>
                <w:rFonts w:ascii="Arial" w:hAnsi="Arial" w:cs="Arial"/>
                <w:b/>
                <w:bCs/>
                <w:color w:val="000000"/>
                <w:sz w:val="22"/>
                <w:szCs w:val="22"/>
                <w:u w:val="single"/>
                <w:lang w:val="en-IE" w:eastAsia="en-IE"/>
              </w:rPr>
            </w:pPr>
            <w:r w:rsidRPr="006C02BE">
              <w:rPr>
                <w:rFonts w:ascii="Arial" w:hAnsi="Arial" w:cs="Arial"/>
                <w:b/>
                <w:bCs/>
                <w:color w:val="000000"/>
                <w:sz w:val="22"/>
                <w:szCs w:val="22"/>
                <w:u w:val="single"/>
                <w:lang w:val="en-IE" w:eastAsia="en-IE"/>
              </w:rPr>
              <w:t>Expenditure</w:t>
            </w:r>
          </w:p>
        </w:tc>
        <w:tc>
          <w:tcPr>
            <w:tcW w:w="2194" w:type="dxa"/>
            <w:tcBorders>
              <w:top w:val="nil"/>
              <w:left w:val="nil"/>
              <w:bottom w:val="nil"/>
              <w:right w:val="nil"/>
            </w:tcBorders>
            <w:shd w:val="clear" w:color="auto" w:fill="auto"/>
            <w:noWrap/>
            <w:vAlign w:val="bottom"/>
            <w:hideMark/>
          </w:tcPr>
          <w:p w14:paraId="2CF71CF5" w14:textId="77777777" w:rsidR="006C02BE" w:rsidRPr="006C02BE" w:rsidRDefault="006C02BE" w:rsidP="006C02BE">
            <w:pPr>
              <w:rPr>
                <w:rFonts w:ascii="Arial" w:hAnsi="Arial" w:cs="Arial"/>
                <w:b/>
                <w:bCs/>
                <w:color w:val="000000"/>
                <w:sz w:val="22"/>
                <w:szCs w:val="22"/>
                <w:u w:val="single"/>
                <w:lang w:val="en-IE" w:eastAsia="en-IE"/>
              </w:rPr>
            </w:pPr>
          </w:p>
        </w:tc>
        <w:tc>
          <w:tcPr>
            <w:tcW w:w="2194" w:type="dxa"/>
            <w:tcBorders>
              <w:top w:val="nil"/>
              <w:left w:val="nil"/>
              <w:bottom w:val="nil"/>
              <w:right w:val="nil"/>
            </w:tcBorders>
            <w:shd w:val="clear" w:color="auto" w:fill="auto"/>
            <w:noWrap/>
            <w:vAlign w:val="bottom"/>
            <w:hideMark/>
          </w:tcPr>
          <w:p w14:paraId="1F1E9F06"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74C76F9C"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3BFE5319"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1AB2FB32"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Payroll Expenses</w:t>
            </w:r>
          </w:p>
        </w:tc>
        <w:tc>
          <w:tcPr>
            <w:tcW w:w="2194" w:type="dxa"/>
            <w:tcBorders>
              <w:top w:val="nil"/>
              <w:left w:val="nil"/>
              <w:bottom w:val="nil"/>
              <w:right w:val="nil"/>
            </w:tcBorders>
            <w:shd w:val="clear" w:color="auto" w:fill="auto"/>
            <w:noWrap/>
            <w:vAlign w:val="bottom"/>
            <w:hideMark/>
          </w:tcPr>
          <w:p w14:paraId="5F5B6E0D"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78,888,700 </w:t>
            </w:r>
          </w:p>
        </w:tc>
        <w:tc>
          <w:tcPr>
            <w:tcW w:w="2194" w:type="dxa"/>
            <w:tcBorders>
              <w:top w:val="nil"/>
              <w:left w:val="nil"/>
              <w:bottom w:val="nil"/>
              <w:right w:val="nil"/>
            </w:tcBorders>
            <w:shd w:val="clear" w:color="auto" w:fill="auto"/>
            <w:noWrap/>
            <w:vAlign w:val="bottom"/>
            <w:hideMark/>
          </w:tcPr>
          <w:p w14:paraId="5199CE1A"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80,886,800 </w:t>
            </w:r>
          </w:p>
        </w:tc>
        <w:tc>
          <w:tcPr>
            <w:tcW w:w="236" w:type="dxa"/>
            <w:tcBorders>
              <w:top w:val="nil"/>
              <w:left w:val="nil"/>
              <w:bottom w:val="nil"/>
              <w:right w:val="single" w:sz="8" w:space="0" w:color="auto"/>
            </w:tcBorders>
            <w:shd w:val="clear" w:color="auto" w:fill="auto"/>
            <w:noWrap/>
            <w:vAlign w:val="bottom"/>
            <w:hideMark/>
          </w:tcPr>
          <w:p w14:paraId="14848C12"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7E05995F"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26C6C7A4"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Loan Interest and Principal Paid</w:t>
            </w:r>
          </w:p>
        </w:tc>
        <w:tc>
          <w:tcPr>
            <w:tcW w:w="2194" w:type="dxa"/>
            <w:tcBorders>
              <w:top w:val="nil"/>
              <w:left w:val="nil"/>
              <w:bottom w:val="nil"/>
              <w:right w:val="nil"/>
            </w:tcBorders>
            <w:shd w:val="clear" w:color="auto" w:fill="auto"/>
            <w:noWrap/>
            <w:vAlign w:val="bottom"/>
            <w:hideMark/>
          </w:tcPr>
          <w:p w14:paraId="32E5A516"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9,202,500 </w:t>
            </w:r>
          </w:p>
        </w:tc>
        <w:tc>
          <w:tcPr>
            <w:tcW w:w="2194" w:type="dxa"/>
            <w:tcBorders>
              <w:top w:val="nil"/>
              <w:left w:val="nil"/>
              <w:bottom w:val="nil"/>
              <w:right w:val="nil"/>
            </w:tcBorders>
            <w:shd w:val="clear" w:color="auto" w:fill="auto"/>
            <w:noWrap/>
            <w:vAlign w:val="bottom"/>
            <w:hideMark/>
          </w:tcPr>
          <w:p w14:paraId="2EFB13E9"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11,352,765 </w:t>
            </w:r>
          </w:p>
        </w:tc>
        <w:tc>
          <w:tcPr>
            <w:tcW w:w="236" w:type="dxa"/>
            <w:tcBorders>
              <w:top w:val="nil"/>
              <w:left w:val="nil"/>
              <w:bottom w:val="nil"/>
              <w:right w:val="single" w:sz="8" w:space="0" w:color="auto"/>
            </w:tcBorders>
            <w:shd w:val="clear" w:color="auto" w:fill="auto"/>
            <w:noWrap/>
            <w:vAlign w:val="bottom"/>
            <w:hideMark/>
          </w:tcPr>
          <w:p w14:paraId="7137A017"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593F6ED1"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37D9DE01"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Social benefits (transfer to households)</w:t>
            </w:r>
          </w:p>
        </w:tc>
        <w:tc>
          <w:tcPr>
            <w:tcW w:w="2194" w:type="dxa"/>
            <w:tcBorders>
              <w:top w:val="nil"/>
              <w:left w:val="nil"/>
              <w:bottom w:val="nil"/>
              <w:right w:val="nil"/>
            </w:tcBorders>
            <w:shd w:val="clear" w:color="auto" w:fill="auto"/>
            <w:noWrap/>
            <w:vAlign w:val="bottom"/>
            <w:hideMark/>
          </w:tcPr>
          <w:p w14:paraId="3C269605"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51,108,400 </w:t>
            </w:r>
          </w:p>
        </w:tc>
        <w:tc>
          <w:tcPr>
            <w:tcW w:w="2194" w:type="dxa"/>
            <w:tcBorders>
              <w:top w:val="nil"/>
              <w:left w:val="nil"/>
              <w:bottom w:val="nil"/>
              <w:right w:val="nil"/>
            </w:tcBorders>
            <w:shd w:val="clear" w:color="auto" w:fill="auto"/>
            <w:noWrap/>
            <w:vAlign w:val="bottom"/>
            <w:hideMark/>
          </w:tcPr>
          <w:p w14:paraId="2F560680"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59,278,400 </w:t>
            </w:r>
          </w:p>
        </w:tc>
        <w:tc>
          <w:tcPr>
            <w:tcW w:w="236" w:type="dxa"/>
            <w:tcBorders>
              <w:top w:val="nil"/>
              <w:left w:val="nil"/>
              <w:bottom w:val="nil"/>
              <w:right w:val="single" w:sz="8" w:space="0" w:color="auto"/>
            </w:tcBorders>
            <w:shd w:val="clear" w:color="auto" w:fill="auto"/>
            <w:noWrap/>
            <w:vAlign w:val="bottom"/>
            <w:hideMark/>
          </w:tcPr>
          <w:p w14:paraId="12441752"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40D41A94"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718B3372"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Capital Grants Paid</w:t>
            </w:r>
          </w:p>
        </w:tc>
        <w:tc>
          <w:tcPr>
            <w:tcW w:w="2194" w:type="dxa"/>
            <w:tcBorders>
              <w:top w:val="nil"/>
              <w:left w:val="nil"/>
              <w:bottom w:val="nil"/>
              <w:right w:val="nil"/>
            </w:tcBorders>
            <w:shd w:val="clear" w:color="auto" w:fill="auto"/>
            <w:noWrap/>
            <w:vAlign w:val="bottom"/>
            <w:hideMark/>
          </w:tcPr>
          <w:p w14:paraId="04418F5C"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3,311,800 </w:t>
            </w:r>
          </w:p>
        </w:tc>
        <w:tc>
          <w:tcPr>
            <w:tcW w:w="2194" w:type="dxa"/>
            <w:tcBorders>
              <w:top w:val="nil"/>
              <w:left w:val="nil"/>
              <w:bottom w:val="nil"/>
              <w:right w:val="nil"/>
            </w:tcBorders>
            <w:shd w:val="clear" w:color="auto" w:fill="auto"/>
            <w:noWrap/>
            <w:vAlign w:val="bottom"/>
            <w:hideMark/>
          </w:tcPr>
          <w:p w14:paraId="6225621C"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3,311,800 </w:t>
            </w:r>
          </w:p>
        </w:tc>
        <w:tc>
          <w:tcPr>
            <w:tcW w:w="236" w:type="dxa"/>
            <w:tcBorders>
              <w:top w:val="nil"/>
              <w:left w:val="nil"/>
              <w:bottom w:val="nil"/>
              <w:right w:val="single" w:sz="8" w:space="0" w:color="auto"/>
            </w:tcBorders>
            <w:shd w:val="clear" w:color="auto" w:fill="auto"/>
            <w:noWrap/>
            <w:vAlign w:val="bottom"/>
            <w:hideMark/>
          </w:tcPr>
          <w:p w14:paraId="4F31B406"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4A460B6C"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240C75C9"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Other Expenditure</w:t>
            </w:r>
          </w:p>
        </w:tc>
        <w:tc>
          <w:tcPr>
            <w:tcW w:w="2194" w:type="dxa"/>
            <w:tcBorders>
              <w:top w:val="nil"/>
              <w:left w:val="nil"/>
              <w:bottom w:val="nil"/>
              <w:right w:val="nil"/>
            </w:tcBorders>
            <w:shd w:val="clear" w:color="auto" w:fill="auto"/>
            <w:noWrap/>
            <w:vAlign w:val="bottom"/>
            <w:hideMark/>
          </w:tcPr>
          <w:p w14:paraId="0D0F6794"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125,508,500 </w:t>
            </w:r>
          </w:p>
        </w:tc>
        <w:tc>
          <w:tcPr>
            <w:tcW w:w="2194" w:type="dxa"/>
            <w:tcBorders>
              <w:top w:val="nil"/>
              <w:left w:val="nil"/>
              <w:bottom w:val="nil"/>
              <w:right w:val="nil"/>
            </w:tcBorders>
            <w:shd w:val="clear" w:color="auto" w:fill="auto"/>
            <w:noWrap/>
            <w:vAlign w:val="bottom"/>
            <w:hideMark/>
          </w:tcPr>
          <w:p w14:paraId="23055E27" w14:textId="77777777" w:rsidR="006C02BE" w:rsidRPr="006C02BE" w:rsidRDefault="006C02BE" w:rsidP="006C02BE">
            <w:pPr>
              <w:jc w:val="right"/>
              <w:rPr>
                <w:rFonts w:ascii="Arial" w:hAnsi="Arial" w:cs="Arial"/>
                <w:color w:val="000000"/>
                <w:sz w:val="22"/>
                <w:szCs w:val="22"/>
                <w:lang w:val="en-IE" w:eastAsia="en-IE"/>
              </w:rPr>
            </w:pPr>
            <w:r w:rsidRPr="006C02BE">
              <w:rPr>
                <w:rFonts w:ascii="Arial" w:hAnsi="Arial" w:cs="Arial"/>
                <w:color w:val="000000"/>
                <w:sz w:val="22"/>
                <w:szCs w:val="22"/>
                <w:lang w:val="en-IE" w:eastAsia="en-IE"/>
              </w:rPr>
              <w:t xml:space="preserve">129,391,574 </w:t>
            </w:r>
          </w:p>
        </w:tc>
        <w:tc>
          <w:tcPr>
            <w:tcW w:w="236" w:type="dxa"/>
            <w:tcBorders>
              <w:top w:val="nil"/>
              <w:left w:val="nil"/>
              <w:bottom w:val="nil"/>
              <w:right w:val="single" w:sz="8" w:space="0" w:color="auto"/>
            </w:tcBorders>
            <w:shd w:val="clear" w:color="auto" w:fill="auto"/>
            <w:noWrap/>
            <w:vAlign w:val="bottom"/>
            <w:hideMark/>
          </w:tcPr>
          <w:p w14:paraId="1FF9B94A"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5915E348"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7C310945"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w:t>
            </w:r>
          </w:p>
        </w:tc>
        <w:tc>
          <w:tcPr>
            <w:tcW w:w="2194" w:type="dxa"/>
            <w:tcBorders>
              <w:top w:val="nil"/>
              <w:left w:val="nil"/>
              <w:bottom w:val="nil"/>
              <w:right w:val="nil"/>
            </w:tcBorders>
            <w:shd w:val="clear" w:color="auto" w:fill="auto"/>
            <w:noWrap/>
            <w:vAlign w:val="bottom"/>
            <w:hideMark/>
          </w:tcPr>
          <w:p w14:paraId="003D9082" w14:textId="77777777" w:rsidR="006C02BE" w:rsidRPr="006C02BE" w:rsidRDefault="006C02BE" w:rsidP="006C02BE">
            <w:pPr>
              <w:rPr>
                <w:rFonts w:ascii="Arial" w:hAnsi="Arial" w:cs="Arial"/>
                <w:color w:val="000000"/>
                <w:sz w:val="22"/>
                <w:szCs w:val="22"/>
                <w:lang w:val="en-IE" w:eastAsia="en-IE"/>
              </w:rPr>
            </w:pPr>
          </w:p>
        </w:tc>
        <w:tc>
          <w:tcPr>
            <w:tcW w:w="2194" w:type="dxa"/>
            <w:tcBorders>
              <w:top w:val="nil"/>
              <w:left w:val="nil"/>
              <w:bottom w:val="nil"/>
              <w:right w:val="nil"/>
            </w:tcBorders>
            <w:shd w:val="clear" w:color="auto" w:fill="auto"/>
            <w:noWrap/>
            <w:vAlign w:val="bottom"/>
            <w:hideMark/>
          </w:tcPr>
          <w:p w14:paraId="54DD8931"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51E4FEF5"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317F9D43"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37BD18AC" w14:textId="77777777" w:rsidR="006C02BE" w:rsidRPr="006C02BE" w:rsidRDefault="006C02BE" w:rsidP="006C02BE">
            <w:pPr>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Total Expenditure</w:t>
            </w:r>
          </w:p>
        </w:tc>
        <w:tc>
          <w:tcPr>
            <w:tcW w:w="2194" w:type="dxa"/>
            <w:tcBorders>
              <w:top w:val="single" w:sz="4" w:space="0" w:color="auto"/>
              <w:left w:val="nil"/>
              <w:bottom w:val="single" w:sz="4" w:space="0" w:color="auto"/>
              <w:right w:val="nil"/>
            </w:tcBorders>
            <w:shd w:val="clear" w:color="auto" w:fill="auto"/>
            <w:noWrap/>
            <w:vAlign w:val="bottom"/>
            <w:hideMark/>
          </w:tcPr>
          <w:p w14:paraId="6C685E51" w14:textId="77777777" w:rsidR="006C02BE" w:rsidRPr="006C02BE" w:rsidRDefault="006C02BE" w:rsidP="006C02BE">
            <w:pPr>
              <w:jc w:val="right"/>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 xml:space="preserve">268,019,900 </w:t>
            </w:r>
          </w:p>
        </w:tc>
        <w:tc>
          <w:tcPr>
            <w:tcW w:w="2194" w:type="dxa"/>
            <w:tcBorders>
              <w:top w:val="single" w:sz="4" w:space="0" w:color="auto"/>
              <w:left w:val="nil"/>
              <w:bottom w:val="single" w:sz="4" w:space="0" w:color="auto"/>
              <w:right w:val="nil"/>
            </w:tcBorders>
            <w:shd w:val="clear" w:color="auto" w:fill="auto"/>
            <w:noWrap/>
            <w:vAlign w:val="bottom"/>
            <w:hideMark/>
          </w:tcPr>
          <w:p w14:paraId="7AF72F7A" w14:textId="77777777" w:rsidR="006C02BE" w:rsidRPr="006C02BE" w:rsidRDefault="006C02BE" w:rsidP="006C02BE">
            <w:pPr>
              <w:jc w:val="right"/>
              <w:rPr>
                <w:rFonts w:ascii="Arial" w:hAnsi="Arial" w:cs="Arial"/>
                <w:b/>
                <w:bCs/>
                <w:color w:val="000000"/>
                <w:sz w:val="22"/>
                <w:szCs w:val="22"/>
                <w:lang w:val="en-IE" w:eastAsia="en-IE"/>
              </w:rPr>
            </w:pPr>
            <w:r w:rsidRPr="006C02BE">
              <w:rPr>
                <w:rFonts w:ascii="Arial" w:hAnsi="Arial" w:cs="Arial"/>
                <w:b/>
                <w:bCs/>
                <w:color w:val="000000"/>
                <w:sz w:val="22"/>
                <w:szCs w:val="22"/>
                <w:lang w:val="en-IE" w:eastAsia="en-IE"/>
              </w:rPr>
              <w:t xml:space="preserve">284,221,339 </w:t>
            </w:r>
          </w:p>
        </w:tc>
        <w:tc>
          <w:tcPr>
            <w:tcW w:w="236" w:type="dxa"/>
            <w:tcBorders>
              <w:top w:val="nil"/>
              <w:left w:val="nil"/>
              <w:bottom w:val="nil"/>
              <w:right w:val="single" w:sz="8" w:space="0" w:color="auto"/>
            </w:tcBorders>
            <w:shd w:val="clear" w:color="auto" w:fill="auto"/>
            <w:noWrap/>
            <w:vAlign w:val="bottom"/>
            <w:hideMark/>
          </w:tcPr>
          <w:p w14:paraId="77E54471"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4A43C309" w14:textId="77777777" w:rsidTr="00537CB5">
        <w:trPr>
          <w:trHeight w:val="288"/>
        </w:trPr>
        <w:tc>
          <w:tcPr>
            <w:tcW w:w="4250" w:type="dxa"/>
            <w:tcBorders>
              <w:top w:val="nil"/>
              <w:left w:val="single" w:sz="8" w:space="0" w:color="auto"/>
              <w:bottom w:val="nil"/>
              <w:right w:val="nil"/>
            </w:tcBorders>
            <w:shd w:val="clear" w:color="auto" w:fill="auto"/>
            <w:noWrap/>
            <w:vAlign w:val="bottom"/>
            <w:hideMark/>
          </w:tcPr>
          <w:p w14:paraId="07C0D0B6"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c>
          <w:tcPr>
            <w:tcW w:w="2194" w:type="dxa"/>
            <w:tcBorders>
              <w:top w:val="nil"/>
              <w:left w:val="nil"/>
              <w:bottom w:val="nil"/>
              <w:right w:val="nil"/>
            </w:tcBorders>
            <w:shd w:val="clear" w:color="auto" w:fill="auto"/>
            <w:noWrap/>
            <w:vAlign w:val="bottom"/>
            <w:hideMark/>
          </w:tcPr>
          <w:p w14:paraId="0B138088" w14:textId="77777777" w:rsidR="006C02BE" w:rsidRPr="006C02BE" w:rsidRDefault="006C02BE" w:rsidP="006C02BE">
            <w:pPr>
              <w:rPr>
                <w:rFonts w:ascii="Calibri" w:hAnsi="Calibri" w:cs="Calibri"/>
                <w:color w:val="000000"/>
                <w:sz w:val="22"/>
                <w:szCs w:val="22"/>
                <w:lang w:val="en-IE" w:eastAsia="en-IE"/>
              </w:rPr>
            </w:pPr>
          </w:p>
        </w:tc>
        <w:tc>
          <w:tcPr>
            <w:tcW w:w="2194" w:type="dxa"/>
            <w:tcBorders>
              <w:top w:val="nil"/>
              <w:left w:val="nil"/>
              <w:bottom w:val="nil"/>
              <w:right w:val="nil"/>
            </w:tcBorders>
            <w:shd w:val="clear" w:color="auto" w:fill="auto"/>
            <w:noWrap/>
            <w:vAlign w:val="bottom"/>
            <w:hideMark/>
          </w:tcPr>
          <w:p w14:paraId="06368D8B" w14:textId="77777777" w:rsidR="006C02BE" w:rsidRPr="006C02BE" w:rsidRDefault="006C02BE" w:rsidP="006C02BE">
            <w:pPr>
              <w:rPr>
                <w:rFonts w:ascii="Times New Roman" w:hAnsi="Times New Roman" w:cs="Times New Roman"/>
                <w:lang w:val="en-IE" w:eastAsia="en-IE"/>
              </w:rPr>
            </w:pPr>
          </w:p>
        </w:tc>
        <w:tc>
          <w:tcPr>
            <w:tcW w:w="236" w:type="dxa"/>
            <w:tcBorders>
              <w:top w:val="nil"/>
              <w:left w:val="nil"/>
              <w:bottom w:val="nil"/>
              <w:right w:val="single" w:sz="8" w:space="0" w:color="auto"/>
            </w:tcBorders>
            <w:shd w:val="clear" w:color="auto" w:fill="auto"/>
            <w:noWrap/>
            <w:vAlign w:val="bottom"/>
            <w:hideMark/>
          </w:tcPr>
          <w:p w14:paraId="75E0C072" w14:textId="77777777" w:rsidR="006C02BE" w:rsidRPr="006C02BE" w:rsidRDefault="006C02BE" w:rsidP="006C02BE">
            <w:pPr>
              <w:rPr>
                <w:rFonts w:ascii="Calibri" w:hAnsi="Calibri" w:cs="Calibri"/>
                <w:color w:val="000000"/>
                <w:sz w:val="22"/>
                <w:szCs w:val="22"/>
                <w:lang w:val="en-IE" w:eastAsia="en-IE"/>
              </w:rPr>
            </w:pPr>
            <w:r w:rsidRPr="006C02BE">
              <w:rPr>
                <w:rFonts w:ascii="Calibri" w:hAnsi="Calibri" w:cs="Calibri"/>
                <w:color w:val="000000"/>
                <w:sz w:val="22"/>
                <w:szCs w:val="22"/>
                <w:lang w:val="en-IE" w:eastAsia="en-IE"/>
              </w:rPr>
              <w:t> </w:t>
            </w:r>
          </w:p>
        </w:tc>
      </w:tr>
      <w:tr w:rsidR="006C02BE" w:rsidRPr="006C02BE" w14:paraId="5C7B36EA" w14:textId="77777777" w:rsidTr="00537CB5">
        <w:trPr>
          <w:trHeight w:val="708"/>
        </w:trPr>
        <w:tc>
          <w:tcPr>
            <w:tcW w:w="8874" w:type="dxa"/>
            <w:gridSpan w:val="4"/>
            <w:tcBorders>
              <w:top w:val="nil"/>
              <w:left w:val="single" w:sz="8" w:space="0" w:color="auto"/>
              <w:bottom w:val="single" w:sz="8" w:space="0" w:color="auto"/>
              <w:right w:val="single" w:sz="8" w:space="0" w:color="000000"/>
            </w:tcBorders>
            <w:shd w:val="clear" w:color="auto" w:fill="auto"/>
            <w:vAlign w:val="bottom"/>
            <w:hideMark/>
          </w:tcPr>
          <w:p w14:paraId="249E0038" w14:textId="77777777" w:rsidR="006C02BE" w:rsidRPr="006C02BE" w:rsidRDefault="006C02BE" w:rsidP="006C02BE">
            <w:pPr>
              <w:rPr>
                <w:rFonts w:ascii="Arial" w:hAnsi="Arial" w:cs="Arial"/>
                <w:color w:val="000000"/>
                <w:sz w:val="22"/>
                <w:szCs w:val="22"/>
                <w:lang w:val="en-IE" w:eastAsia="en-IE"/>
              </w:rPr>
            </w:pPr>
            <w:r w:rsidRPr="006C02BE">
              <w:rPr>
                <w:rFonts w:ascii="Arial" w:hAnsi="Arial" w:cs="Arial"/>
                <w:color w:val="000000"/>
                <w:sz w:val="22"/>
                <w:szCs w:val="22"/>
                <w:lang w:val="en-IE" w:eastAsia="en-IE"/>
              </w:rPr>
              <w:t>* 2022 LPT income based on 2021 Revenue Allocation with no reduction in basic rate for 2022. Any decision to vary will be reflected in a corresponding change in 'Other Expenditure'</w:t>
            </w:r>
          </w:p>
        </w:tc>
      </w:tr>
    </w:tbl>
    <w:p w14:paraId="25A7AA56" w14:textId="77777777" w:rsidR="00BC15EE" w:rsidRDefault="00BC15EE" w:rsidP="00257C9C">
      <w:pPr>
        <w:autoSpaceDE w:val="0"/>
        <w:autoSpaceDN w:val="0"/>
        <w:adjustRightInd w:val="0"/>
        <w:spacing w:line="360" w:lineRule="auto"/>
        <w:rPr>
          <w:lang w:val="en-IE" w:eastAsia="en-GB"/>
        </w:rPr>
      </w:pPr>
    </w:p>
    <w:p w14:paraId="4B1DDD09" w14:textId="77777777" w:rsidR="001D3480" w:rsidRDefault="006C6C29" w:rsidP="00257C9C">
      <w:pPr>
        <w:autoSpaceDE w:val="0"/>
        <w:autoSpaceDN w:val="0"/>
        <w:adjustRightInd w:val="0"/>
        <w:spacing w:line="360" w:lineRule="auto"/>
        <w:rPr>
          <w:lang w:val="en-IE" w:eastAsia="en-GB"/>
        </w:rPr>
      </w:pPr>
      <w:r>
        <w:rPr>
          <w:lang w:val="en-IE" w:eastAsia="en-GB"/>
        </w:rPr>
        <w:lastRenderedPageBreak/>
        <w:t>It is recognised that, given the timelines that apply to the LPT process this year, the financial information is not at as advanced a stage as would be the norm.</w:t>
      </w:r>
    </w:p>
    <w:p w14:paraId="72C92277" w14:textId="77777777" w:rsidR="001D3480" w:rsidRDefault="001D3480" w:rsidP="00257C9C">
      <w:pPr>
        <w:autoSpaceDE w:val="0"/>
        <w:autoSpaceDN w:val="0"/>
        <w:adjustRightInd w:val="0"/>
        <w:spacing w:line="360" w:lineRule="auto"/>
        <w:rPr>
          <w:lang w:val="en-IE" w:eastAsia="en-GB"/>
        </w:rPr>
      </w:pPr>
    </w:p>
    <w:p w14:paraId="01D56B07" w14:textId="77777777" w:rsidR="001D3480" w:rsidRDefault="001D3480" w:rsidP="00257C9C">
      <w:pPr>
        <w:autoSpaceDE w:val="0"/>
        <w:autoSpaceDN w:val="0"/>
        <w:adjustRightInd w:val="0"/>
        <w:spacing w:line="360" w:lineRule="auto"/>
        <w:rPr>
          <w:lang w:val="en-IE" w:eastAsia="en-GB"/>
        </w:rPr>
      </w:pPr>
    </w:p>
    <w:p w14:paraId="2F597D83" w14:textId="109575CC" w:rsidR="001D3480" w:rsidRDefault="00816CD9" w:rsidP="00257C9C">
      <w:pPr>
        <w:autoSpaceDE w:val="0"/>
        <w:autoSpaceDN w:val="0"/>
        <w:adjustRightInd w:val="0"/>
        <w:spacing w:line="360" w:lineRule="auto"/>
        <w:rPr>
          <w:rFonts w:asciiTheme="minorHAnsi" w:eastAsiaTheme="minorHAnsi" w:hAnsiTheme="minorHAnsi" w:cstheme="minorBidi"/>
          <w:sz w:val="22"/>
          <w:szCs w:val="22"/>
          <w:lang w:val="en-IE"/>
        </w:rPr>
      </w:pPr>
      <w:r>
        <w:rPr>
          <w:lang w:val="en-IE" w:eastAsia="en-GB"/>
        </w:rPr>
        <w:fldChar w:fldCharType="begin"/>
      </w:r>
      <w:r>
        <w:rPr>
          <w:lang w:val="en-IE" w:eastAsia="en-GB"/>
        </w:rPr>
        <w:instrText xml:space="preserve"> LINK </w:instrText>
      </w:r>
      <w:r w:rsidR="00A46BB1">
        <w:rPr>
          <w:lang w:val="en-IE" w:eastAsia="en-GB"/>
        </w:rPr>
        <w:instrText xml:space="preserve">Excel.Sheet.12 "\\\\SDCC-file5\\Finance\\agresso\\Budgets\\Budget 2020\\LPT\\Estimation of Income &amp; Expenditure.xlsx" 29.08.2019!R1C2:R21C5 </w:instrText>
      </w:r>
      <w:r>
        <w:rPr>
          <w:lang w:val="en-IE" w:eastAsia="en-GB"/>
        </w:rPr>
        <w:instrText xml:space="preserve">\a \f 4 \h  \* MERGEFORMAT </w:instrText>
      </w:r>
      <w:r>
        <w:rPr>
          <w:lang w:val="en-IE" w:eastAsia="en-GB"/>
        </w:rPr>
        <w:fldChar w:fldCharType="separate"/>
      </w:r>
    </w:p>
    <w:p w14:paraId="443066E5" w14:textId="17CE9DBF" w:rsidR="00257C9C" w:rsidRDefault="00816CD9" w:rsidP="00257C9C">
      <w:pPr>
        <w:autoSpaceDE w:val="0"/>
        <w:autoSpaceDN w:val="0"/>
        <w:adjustRightInd w:val="0"/>
        <w:spacing w:line="360" w:lineRule="auto"/>
      </w:pPr>
      <w:r>
        <w:rPr>
          <w:b/>
          <w:u w:val="single"/>
          <w:lang w:val="en-IE" w:eastAsia="en-GB"/>
        </w:rPr>
        <w:fldChar w:fldCharType="end"/>
      </w:r>
      <w:r w:rsidR="00537CB5">
        <w:t xml:space="preserve"> </w:t>
      </w:r>
    </w:p>
    <w:p w14:paraId="7854CD80" w14:textId="0FE832E4" w:rsidR="00375793" w:rsidRPr="00CA1B71" w:rsidRDefault="00375793" w:rsidP="00051E10">
      <w:pPr>
        <w:spacing w:line="360" w:lineRule="auto"/>
        <w:jc w:val="center"/>
        <w:rPr>
          <w:rFonts w:cs="Arial"/>
          <w:b/>
          <w:color w:val="FF0000"/>
          <w:u w:val="single"/>
        </w:rPr>
      </w:pPr>
      <w:r w:rsidRPr="00CA1B71">
        <w:rPr>
          <w:rFonts w:cs="Arial"/>
          <w:b/>
          <w:color w:val="FF0000"/>
          <w:u w:val="single"/>
        </w:rPr>
        <w:t xml:space="preserve">2. Report on the Financial Position of </w:t>
      </w:r>
      <w:r w:rsidRPr="00CA1B71">
        <w:rPr>
          <w:b/>
          <w:color w:val="FF0000"/>
          <w:u w:val="single"/>
          <w:lang w:val="en-IE" w:eastAsia="en-GB"/>
        </w:rPr>
        <w:t xml:space="preserve">South Dublin County </w:t>
      </w:r>
      <w:r w:rsidRPr="00CA1B71">
        <w:rPr>
          <w:rFonts w:cs="Arial"/>
          <w:b/>
          <w:color w:val="FF0000"/>
          <w:u w:val="single"/>
        </w:rPr>
        <w:t>Council</w:t>
      </w:r>
    </w:p>
    <w:p w14:paraId="59F5042E" w14:textId="77777777" w:rsidR="00257C9C" w:rsidRDefault="00257C9C" w:rsidP="00051E10">
      <w:pPr>
        <w:spacing w:line="360" w:lineRule="auto"/>
        <w:jc w:val="center"/>
        <w:rPr>
          <w:rFonts w:cs="Arial"/>
          <w:b/>
          <w:u w:val="single"/>
        </w:rPr>
      </w:pPr>
    </w:p>
    <w:p w14:paraId="685CB197" w14:textId="77777777" w:rsidR="00375793" w:rsidRPr="00D8445C" w:rsidRDefault="00375793" w:rsidP="00375793">
      <w:pPr>
        <w:rPr>
          <w:b/>
        </w:rPr>
      </w:pPr>
      <w:r>
        <w:rPr>
          <w:b/>
        </w:rPr>
        <w:t xml:space="preserve">2.1 </w:t>
      </w:r>
      <w:r w:rsidRPr="00D8445C">
        <w:rPr>
          <w:b/>
        </w:rPr>
        <w:t xml:space="preserve">Report on the Financial Position of </w:t>
      </w:r>
      <w:r>
        <w:rPr>
          <w:b/>
        </w:rPr>
        <w:t>South Dublin</w:t>
      </w:r>
      <w:r w:rsidRPr="00D8445C">
        <w:rPr>
          <w:b/>
        </w:rPr>
        <w:t xml:space="preserve"> County </w:t>
      </w:r>
      <w:r>
        <w:rPr>
          <w:b/>
        </w:rPr>
        <w:t>Council</w:t>
      </w:r>
    </w:p>
    <w:p w14:paraId="4715E511" w14:textId="77777777" w:rsidR="00375793" w:rsidRDefault="00375793" w:rsidP="00375793"/>
    <w:p w14:paraId="2E0196A4" w14:textId="58065C43" w:rsidR="00375793" w:rsidRDefault="00375793" w:rsidP="00051E10">
      <w:pPr>
        <w:spacing w:line="276" w:lineRule="auto"/>
      </w:pPr>
      <w:r>
        <w:t>The table below sets out the financial position of the Council in the format required in the Local Property Tax (Local Adjustment Factor) Regulations 2014 and is based on the financi</w:t>
      </w:r>
      <w:r w:rsidR="00A15527">
        <w:t xml:space="preserve">al position as at </w:t>
      </w:r>
      <w:r w:rsidR="00903066">
        <w:t>31</w:t>
      </w:r>
      <w:r w:rsidR="00903066" w:rsidRPr="00903066">
        <w:rPr>
          <w:vertAlign w:val="superscript"/>
        </w:rPr>
        <w:t>st</w:t>
      </w:r>
      <w:r w:rsidR="00903066">
        <w:t xml:space="preserve"> March 2021</w:t>
      </w:r>
      <w:r w:rsidR="003B54F4">
        <w:t>.</w:t>
      </w:r>
    </w:p>
    <w:p w14:paraId="7F313AF9" w14:textId="1EB068A8" w:rsidR="00F74F4D" w:rsidRDefault="00F74F4D" w:rsidP="00051E10">
      <w:pPr>
        <w:spacing w:line="276" w:lineRule="auto"/>
      </w:pPr>
    </w:p>
    <w:p w14:paraId="0C23B8CB" w14:textId="77777777" w:rsidR="00F74F4D" w:rsidRDefault="00F74F4D" w:rsidP="00051E10">
      <w:pPr>
        <w:spacing w:line="276" w:lineRule="auto"/>
      </w:pPr>
    </w:p>
    <w:tbl>
      <w:tblPr>
        <w:tblW w:w="7928" w:type="dxa"/>
        <w:tblLook w:val="04A0" w:firstRow="1" w:lastRow="0" w:firstColumn="1" w:lastColumn="0" w:noHBand="0" w:noVBand="1"/>
      </w:tblPr>
      <w:tblGrid>
        <w:gridCol w:w="5377"/>
        <w:gridCol w:w="2551"/>
      </w:tblGrid>
      <w:tr w:rsidR="00903066" w:rsidRPr="00903066" w14:paraId="3481BF60" w14:textId="77777777" w:rsidTr="009752EE">
        <w:trPr>
          <w:trHeight w:val="288"/>
        </w:trPr>
        <w:tc>
          <w:tcPr>
            <w:tcW w:w="7928" w:type="dxa"/>
            <w:gridSpan w:val="2"/>
            <w:tcBorders>
              <w:top w:val="nil"/>
              <w:left w:val="single" w:sz="8" w:space="0" w:color="000080"/>
              <w:bottom w:val="nil"/>
              <w:right w:val="single" w:sz="8" w:space="0" w:color="000080"/>
            </w:tcBorders>
            <w:shd w:val="clear" w:color="000000" w:fill="000080"/>
            <w:vAlign w:val="center"/>
            <w:hideMark/>
          </w:tcPr>
          <w:p w14:paraId="23B010D0" w14:textId="77777777" w:rsidR="00903066" w:rsidRPr="00903066" w:rsidRDefault="00903066" w:rsidP="00903066">
            <w:pPr>
              <w:jc w:val="center"/>
              <w:rPr>
                <w:rFonts w:cs="Calibri"/>
                <w:b/>
                <w:bCs/>
                <w:color w:val="FFFFFF"/>
                <w:lang w:val="en-IE" w:eastAsia="en-IE"/>
              </w:rPr>
            </w:pPr>
            <w:r w:rsidRPr="00903066">
              <w:rPr>
                <w:rFonts w:cs="Calibri"/>
                <w:b/>
                <w:bCs/>
                <w:color w:val="FFFFFF"/>
                <w:lang w:val="en-IE" w:eastAsia="en-IE"/>
              </w:rPr>
              <w:t>Financial Position of South Dublin County Council</w:t>
            </w:r>
          </w:p>
        </w:tc>
      </w:tr>
      <w:tr w:rsidR="00903066" w:rsidRPr="00903066" w14:paraId="004D89E5" w14:textId="77777777" w:rsidTr="009752EE">
        <w:trPr>
          <w:trHeight w:val="300"/>
        </w:trPr>
        <w:tc>
          <w:tcPr>
            <w:tcW w:w="7928" w:type="dxa"/>
            <w:gridSpan w:val="2"/>
            <w:tcBorders>
              <w:top w:val="nil"/>
              <w:left w:val="single" w:sz="8" w:space="0" w:color="000080"/>
              <w:bottom w:val="single" w:sz="8" w:space="0" w:color="000080"/>
              <w:right w:val="single" w:sz="8" w:space="0" w:color="000080"/>
            </w:tcBorders>
            <w:shd w:val="clear" w:color="000000" w:fill="000080"/>
            <w:vAlign w:val="center"/>
            <w:hideMark/>
          </w:tcPr>
          <w:p w14:paraId="7097881C" w14:textId="77777777" w:rsidR="00903066" w:rsidRPr="00903066" w:rsidRDefault="00903066" w:rsidP="00903066">
            <w:pPr>
              <w:rPr>
                <w:rFonts w:cs="Calibri"/>
                <w:b/>
                <w:bCs/>
                <w:color w:val="FFFFFF"/>
                <w:lang w:val="en-IE" w:eastAsia="en-IE"/>
              </w:rPr>
            </w:pPr>
            <w:r w:rsidRPr="00903066">
              <w:rPr>
                <w:rFonts w:cs="Calibri"/>
                <w:b/>
                <w:bCs/>
                <w:color w:val="FFFFFF"/>
                <w:lang w:val="en-IE" w:eastAsia="en-IE"/>
              </w:rPr>
              <w:t xml:space="preserve">        </w:t>
            </w:r>
          </w:p>
        </w:tc>
      </w:tr>
      <w:tr w:rsidR="00903066" w:rsidRPr="00903066" w14:paraId="4E1DCB25" w14:textId="77777777" w:rsidTr="009752EE">
        <w:trPr>
          <w:trHeight w:val="588"/>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39AFC313" w14:textId="77777777" w:rsidR="00903066" w:rsidRPr="00903066" w:rsidRDefault="00903066" w:rsidP="00903066">
            <w:pPr>
              <w:rPr>
                <w:rFonts w:cs="Calibri"/>
                <w:color w:val="000000"/>
                <w:lang w:val="en-IE" w:eastAsia="en-IE"/>
              </w:rPr>
            </w:pPr>
            <w:r w:rsidRPr="00903066">
              <w:rPr>
                <w:rFonts w:cs="Calibri"/>
                <w:color w:val="000000"/>
                <w:lang w:val="en-IE" w:eastAsia="en-IE"/>
              </w:rPr>
              <w:t> </w:t>
            </w:r>
          </w:p>
        </w:tc>
        <w:tc>
          <w:tcPr>
            <w:tcW w:w="2551" w:type="dxa"/>
            <w:tcBorders>
              <w:top w:val="nil"/>
              <w:left w:val="nil"/>
              <w:bottom w:val="single" w:sz="8" w:space="0" w:color="000080"/>
              <w:right w:val="single" w:sz="8" w:space="0" w:color="000080"/>
            </w:tcBorders>
            <w:shd w:val="clear" w:color="auto" w:fill="auto"/>
            <w:vAlign w:val="bottom"/>
            <w:hideMark/>
          </w:tcPr>
          <w:p w14:paraId="26DB822D" w14:textId="77777777" w:rsidR="00903066" w:rsidRPr="00903066" w:rsidRDefault="00903066" w:rsidP="00903066">
            <w:pPr>
              <w:jc w:val="center"/>
              <w:rPr>
                <w:rFonts w:cs="Calibri"/>
                <w:b/>
                <w:bCs/>
                <w:i/>
                <w:iCs/>
                <w:color w:val="000000"/>
                <w:lang w:val="en-IE" w:eastAsia="en-IE"/>
              </w:rPr>
            </w:pPr>
            <w:r w:rsidRPr="00903066">
              <w:rPr>
                <w:rFonts w:cs="Calibri"/>
                <w:b/>
                <w:bCs/>
                <w:i/>
                <w:iCs/>
                <w:color w:val="000000"/>
                <w:lang w:val="en-IE" w:eastAsia="en-IE"/>
              </w:rPr>
              <w:t>at 31/3/2021</w:t>
            </w:r>
          </w:p>
        </w:tc>
      </w:tr>
      <w:tr w:rsidR="00903066" w:rsidRPr="00903066" w14:paraId="7082637A"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68071944" w14:textId="77777777" w:rsidR="00903066" w:rsidRPr="00903066" w:rsidRDefault="00903066" w:rsidP="00903066">
            <w:pPr>
              <w:rPr>
                <w:rFonts w:cs="Calibri"/>
                <w:b/>
                <w:bCs/>
                <w:color w:val="000000"/>
                <w:lang w:val="en-IE" w:eastAsia="en-IE"/>
              </w:rPr>
            </w:pPr>
            <w:r w:rsidRPr="00903066">
              <w:rPr>
                <w:rFonts w:cs="Calibri"/>
                <w:b/>
                <w:bCs/>
                <w:color w:val="000000"/>
                <w:lang w:val="en-IE" w:eastAsia="en-IE"/>
              </w:rPr>
              <w:t>ASSETS</w:t>
            </w:r>
          </w:p>
        </w:tc>
        <w:tc>
          <w:tcPr>
            <w:tcW w:w="2551" w:type="dxa"/>
            <w:tcBorders>
              <w:top w:val="nil"/>
              <w:left w:val="nil"/>
              <w:bottom w:val="single" w:sz="8" w:space="0" w:color="000080"/>
              <w:right w:val="single" w:sz="8" w:space="0" w:color="000080"/>
            </w:tcBorders>
            <w:shd w:val="clear" w:color="auto" w:fill="auto"/>
            <w:vAlign w:val="center"/>
            <w:hideMark/>
          </w:tcPr>
          <w:p w14:paraId="736122D6" w14:textId="77777777" w:rsidR="00903066" w:rsidRPr="00903066" w:rsidRDefault="00903066" w:rsidP="00903066">
            <w:pPr>
              <w:rPr>
                <w:rFonts w:cs="Calibri"/>
                <w:b/>
                <w:bCs/>
                <w:color w:val="000000"/>
                <w:lang w:val="en-IE" w:eastAsia="en-IE"/>
              </w:rPr>
            </w:pPr>
            <w:r w:rsidRPr="00903066">
              <w:rPr>
                <w:rFonts w:cs="Calibri"/>
                <w:b/>
                <w:bCs/>
                <w:color w:val="000000"/>
                <w:lang w:val="en-IE" w:eastAsia="en-IE"/>
              </w:rPr>
              <w:t> </w:t>
            </w:r>
          </w:p>
        </w:tc>
      </w:tr>
      <w:tr w:rsidR="00903066" w:rsidRPr="00903066" w14:paraId="2564B411"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552F2359" w14:textId="77777777" w:rsidR="00903066" w:rsidRPr="00903066" w:rsidRDefault="00903066" w:rsidP="00903066">
            <w:pPr>
              <w:rPr>
                <w:rFonts w:cs="Calibri"/>
                <w:color w:val="000000"/>
                <w:lang w:val="en-IE" w:eastAsia="en-IE"/>
              </w:rPr>
            </w:pPr>
            <w:r w:rsidRPr="00903066">
              <w:rPr>
                <w:rFonts w:cs="Calibri"/>
                <w:color w:val="000000"/>
                <w:lang w:val="en-IE" w:eastAsia="en-IE"/>
              </w:rPr>
              <w:t>Current Assets</w:t>
            </w:r>
          </w:p>
        </w:tc>
        <w:tc>
          <w:tcPr>
            <w:tcW w:w="2551" w:type="dxa"/>
            <w:tcBorders>
              <w:top w:val="nil"/>
              <w:left w:val="nil"/>
              <w:bottom w:val="single" w:sz="8" w:space="0" w:color="000080"/>
              <w:right w:val="single" w:sz="8" w:space="0" w:color="000080"/>
            </w:tcBorders>
            <w:shd w:val="clear" w:color="auto" w:fill="auto"/>
            <w:vAlign w:val="center"/>
            <w:hideMark/>
          </w:tcPr>
          <w:p w14:paraId="0C6BFA0E"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538,626,453</w:t>
            </w:r>
          </w:p>
        </w:tc>
      </w:tr>
      <w:tr w:rsidR="00903066" w:rsidRPr="00903066" w14:paraId="5042BE9B"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235CC6DF" w14:textId="77777777" w:rsidR="00903066" w:rsidRPr="00903066" w:rsidRDefault="00903066" w:rsidP="00903066">
            <w:pPr>
              <w:rPr>
                <w:rFonts w:cs="Calibri"/>
                <w:color w:val="000000"/>
                <w:lang w:val="en-IE" w:eastAsia="en-IE"/>
              </w:rPr>
            </w:pPr>
            <w:r w:rsidRPr="00903066">
              <w:rPr>
                <w:rFonts w:cs="Calibri"/>
                <w:color w:val="000000"/>
                <w:lang w:val="en-IE" w:eastAsia="en-IE"/>
              </w:rPr>
              <w:t>General Revenue Reserve</w:t>
            </w:r>
          </w:p>
        </w:tc>
        <w:tc>
          <w:tcPr>
            <w:tcW w:w="2551" w:type="dxa"/>
            <w:tcBorders>
              <w:top w:val="nil"/>
              <w:left w:val="nil"/>
              <w:bottom w:val="single" w:sz="8" w:space="0" w:color="000080"/>
              <w:right w:val="single" w:sz="8" w:space="0" w:color="000080"/>
            </w:tcBorders>
            <w:shd w:val="clear" w:color="auto" w:fill="auto"/>
            <w:vAlign w:val="center"/>
            <w:hideMark/>
          </w:tcPr>
          <w:p w14:paraId="3946128F"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17,884,917</w:t>
            </w:r>
          </w:p>
        </w:tc>
      </w:tr>
      <w:tr w:rsidR="00903066" w:rsidRPr="00903066" w14:paraId="308EF0A3"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2B97252A" w14:textId="77777777" w:rsidR="00903066" w:rsidRPr="00903066" w:rsidRDefault="00903066" w:rsidP="00903066">
            <w:pPr>
              <w:rPr>
                <w:rFonts w:cs="Calibri"/>
                <w:color w:val="000000"/>
                <w:lang w:val="en-IE" w:eastAsia="en-IE"/>
              </w:rPr>
            </w:pPr>
            <w:r w:rsidRPr="00903066">
              <w:rPr>
                <w:rFonts w:cs="Calibri"/>
                <w:color w:val="000000"/>
                <w:lang w:val="en-IE" w:eastAsia="en-IE"/>
              </w:rPr>
              <w:t>Loans receivable</w:t>
            </w:r>
          </w:p>
        </w:tc>
        <w:tc>
          <w:tcPr>
            <w:tcW w:w="2551" w:type="dxa"/>
            <w:tcBorders>
              <w:top w:val="nil"/>
              <w:left w:val="nil"/>
              <w:bottom w:val="single" w:sz="8" w:space="0" w:color="000080"/>
              <w:right w:val="single" w:sz="8" w:space="0" w:color="000080"/>
            </w:tcBorders>
            <w:shd w:val="clear" w:color="auto" w:fill="auto"/>
            <w:vAlign w:val="center"/>
            <w:hideMark/>
          </w:tcPr>
          <w:p w14:paraId="60798277"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191,420,792</w:t>
            </w:r>
          </w:p>
        </w:tc>
      </w:tr>
      <w:tr w:rsidR="00903066" w:rsidRPr="00903066" w14:paraId="2DFF7D95"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76B27C25" w14:textId="77777777" w:rsidR="00903066" w:rsidRPr="00903066" w:rsidRDefault="00903066" w:rsidP="00903066">
            <w:pPr>
              <w:rPr>
                <w:rFonts w:cs="Calibri"/>
                <w:color w:val="000000"/>
                <w:lang w:val="en-IE" w:eastAsia="en-IE"/>
              </w:rPr>
            </w:pPr>
            <w:r w:rsidRPr="00903066">
              <w:rPr>
                <w:rFonts w:cs="Calibri"/>
                <w:color w:val="000000"/>
                <w:lang w:val="en-IE" w:eastAsia="en-IE"/>
              </w:rPr>
              <w:t> </w:t>
            </w:r>
          </w:p>
        </w:tc>
        <w:tc>
          <w:tcPr>
            <w:tcW w:w="2551" w:type="dxa"/>
            <w:tcBorders>
              <w:top w:val="nil"/>
              <w:left w:val="nil"/>
              <w:bottom w:val="single" w:sz="8" w:space="0" w:color="000080"/>
              <w:right w:val="single" w:sz="8" w:space="0" w:color="000080"/>
            </w:tcBorders>
            <w:shd w:val="clear" w:color="auto" w:fill="auto"/>
            <w:vAlign w:val="center"/>
            <w:hideMark/>
          </w:tcPr>
          <w:p w14:paraId="38519CF7"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 </w:t>
            </w:r>
          </w:p>
        </w:tc>
      </w:tr>
      <w:tr w:rsidR="00903066" w:rsidRPr="00903066" w14:paraId="0B48DB03"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3D818C67" w14:textId="77777777" w:rsidR="00903066" w:rsidRPr="00903066" w:rsidRDefault="00903066" w:rsidP="00903066">
            <w:pPr>
              <w:rPr>
                <w:rFonts w:cs="Calibri"/>
                <w:b/>
                <w:bCs/>
                <w:color w:val="000000"/>
                <w:lang w:val="en-IE" w:eastAsia="en-IE"/>
              </w:rPr>
            </w:pPr>
            <w:r w:rsidRPr="00903066">
              <w:rPr>
                <w:rFonts w:cs="Calibri"/>
                <w:b/>
                <w:bCs/>
                <w:color w:val="000000"/>
                <w:lang w:val="en-IE" w:eastAsia="en-IE"/>
              </w:rPr>
              <w:t>LIABILITIES</w:t>
            </w:r>
          </w:p>
        </w:tc>
        <w:tc>
          <w:tcPr>
            <w:tcW w:w="2551" w:type="dxa"/>
            <w:tcBorders>
              <w:top w:val="nil"/>
              <w:left w:val="nil"/>
              <w:bottom w:val="single" w:sz="8" w:space="0" w:color="000080"/>
              <w:right w:val="single" w:sz="8" w:space="0" w:color="000080"/>
            </w:tcBorders>
            <w:shd w:val="clear" w:color="auto" w:fill="auto"/>
            <w:vAlign w:val="center"/>
            <w:hideMark/>
          </w:tcPr>
          <w:p w14:paraId="2DF42C01"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 </w:t>
            </w:r>
          </w:p>
        </w:tc>
      </w:tr>
      <w:tr w:rsidR="00903066" w:rsidRPr="00903066" w14:paraId="2D6FFECB"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0506C1DC" w14:textId="77777777" w:rsidR="00903066" w:rsidRPr="00903066" w:rsidRDefault="00903066" w:rsidP="00903066">
            <w:pPr>
              <w:rPr>
                <w:rFonts w:cs="Calibri"/>
                <w:color w:val="000000"/>
                <w:lang w:val="en-IE" w:eastAsia="en-IE"/>
              </w:rPr>
            </w:pPr>
            <w:r w:rsidRPr="00903066">
              <w:rPr>
                <w:rFonts w:cs="Calibri"/>
                <w:color w:val="000000"/>
                <w:lang w:val="en-IE" w:eastAsia="en-IE"/>
              </w:rPr>
              <w:t>Current Liabilities</w:t>
            </w:r>
          </w:p>
        </w:tc>
        <w:tc>
          <w:tcPr>
            <w:tcW w:w="2551" w:type="dxa"/>
            <w:tcBorders>
              <w:top w:val="nil"/>
              <w:left w:val="nil"/>
              <w:bottom w:val="single" w:sz="8" w:space="0" w:color="000080"/>
              <w:right w:val="single" w:sz="8" w:space="0" w:color="000080"/>
            </w:tcBorders>
            <w:shd w:val="clear" w:color="auto" w:fill="auto"/>
            <w:vAlign w:val="center"/>
            <w:hideMark/>
          </w:tcPr>
          <w:p w14:paraId="6F47B823"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162,720,697</w:t>
            </w:r>
          </w:p>
        </w:tc>
      </w:tr>
      <w:tr w:rsidR="00903066" w:rsidRPr="00903066" w14:paraId="7B3FCEC9"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3C8E70C3" w14:textId="77777777" w:rsidR="00903066" w:rsidRPr="00903066" w:rsidRDefault="00903066" w:rsidP="00903066">
            <w:pPr>
              <w:rPr>
                <w:rFonts w:cs="Calibri"/>
                <w:color w:val="000000"/>
                <w:lang w:val="en-IE" w:eastAsia="en-IE"/>
              </w:rPr>
            </w:pPr>
            <w:r w:rsidRPr="00903066">
              <w:rPr>
                <w:rFonts w:cs="Calibri"/>
                <w:color w:val="000000"/>
                <w:lang w:val="en-IE" w:eastAsia="en-IE"/>
              </w:rPr>
              <w:t>General Revenue Reserve (if Deficit)</w:t>
            </w:r>
          </w:p>
        </w:tc>
        <w:tc>
          <w:tcPr>
            <w:tcW w:w="2551" w:type="dxa"/>
            <w:tcBorders>
              <w:top w:val="nil"/>
              <w:left w:val="nil"/>
              <w:bottom w:val="single" w:sz="8" w:space="0" w:color="000080"/>
              <w:right w:val="single" w:sz="8" w:space="0" w:color="000080"/>
            </w:tcBorders>
            <w:shd w:val="clear" w:color="auto" w:fill="auto"/>
            <w:vAlign w:val="center"/>
            <w:hideMark/>
          </w:tcPr>
          <w:p w14:paraId="3F88B977"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 </w:t>
            </w:r>
          </w:p>
        </w:tc>
      </w:tr>
      <w:tr w:rsidR="00903066" w:rsidRPr="00903066" w14:paraId="52CD861B"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59ECFCF0" w14:textId="77777777" w:rsidR="00903066" w:rsidRPr="00903066" w:rsidRDefault="00903066" w:rsidP="00903066">
            <w:pPr>
              <w:rPr>
                <w:rFonts w:cs="Calibri"/>
                <w:i/>
                <w:iCs/>
                <w:color w:val="000000"/>
                <w:lang w:val="en-IE" w:eastAsia="en-IE"/>
              </w:rPr>
            </w:pPr>
            <w:r w:rsidRPr="00903066">
              <w:rPr>
                <w:rFonts w:cs="Calibri"/>
                <w:i/>
                <w:iCs/>
                <w:color w:val="000000"/>
                <w:lang w:val="en-IE" w:eastAsia="en-IE"/>
              </w:rPr>
              <w:t>Loans Payable</w:t>
            </w:r>
          </w:p>
        </w:tc>
        <w:tc>
          <w:tcPr>
            <w:tcW w:w="2551" w:type="dxa"/>
            <w:tcBorders>
              <w:top w:val="nil"/>
              <w:left w:val="nil"/>
              <w:bottom w:val="single" w:sz="8" w:space="0" w:color="000080"/>
              <w:right w:val="single" w:sz="8" w:space="0" w:color="000080"/>
            </w:tcBorders>
            <w:shd w:val="clear" w:color="auto" w:fill="auto"/>
            <w:vAlign w:val="center"/>
            <w:hideMark/>
          </w:tcPr>
          <w:p w14:paraId="73B07035"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 </w:t>
            </w:r>
          </w:p>
        </w:tc>
      </w:tr>
      <w:tr w:rsidR="00903066" w:rsidRPr="00903066" w14:paraId="528244A8"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319EA688" w14:textId="77777777" w:rsidR="00903066" w:rsidRPr="00903066" w:rsidRDefault="00903066" w:rsidP="00903066">
            <w:pPr>
              <w:rPr>
                <w:rFonts w:cs="Calibri"/>
                <w:color w:val="000000"/>
                <w:lang w:val="en-IE" w:eastAsia="en-IE"/>
              </w:rPr>
            </w:pPr>
            <w:r w:rsidRPr="00903066">
              <w:rPr>
                <w:rFonts w:cs="Calibri"/>
                <w:color w:val="000000"/>
                <w:lang w:val="en-IE" w:eastAsia="en-IE"/>
              </w:rPr>
              <w:t xml:space="preserve">    Voluntary housing/mortgage loans</w:t>
            </w:r>
          </w:p>
        </w:tc>
        <w:tc>
          <w:tcPr>
            <w:tcW w:w="2551" w:type="dxa"/>
            <w:tcBorders>
              <w:top w:val="nil"/>
              <w:left w:val="nil"/>
              <w:bottom w:val="single" w:sz="8" w:space="0" w:color="000080"/>
              <w:right w:val="single" w:sz="8" w:space="0" w:color="000080"/>
            </w:tcBorders>
            <w:shd w:val="clear" w:color="auto" w:fill="auto"/>
            <w:vAlign w:val="center"/>
            <w:hideMark/>
          </w:tcPr>
          <w:p w14:paraId="2E677863"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129,190,522</w:t>
            </w:r>
          </w:p>
        </w:tc>
      </w:tr>
      <w:tr w:rsidR="00903066" w:rsidRPr="00903066" w14:paraId="07166A1C"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6A90C0F0" w14:textId="77777777" w:rsidR="00903066" w:rsidRPr="00903066" w:rsidRDefault="00903066" w:rsidP="00903066">
            <w:pPr>
              <w:rPr>
                <w:rFonts w:cs="Calibri"/>
                <w:color w:val="000000"/>
                <w:lang w:val="en-IE" w:eastAsia="en-IE"/>
              </w:rPr>
            </w:pPr>
            <w:r w:rsidRPr="00903066">
              <w:rPr>
                <w:rFonts w:cs="Calibri"/>
                <w:color w:val="000000"/>
                <w:lang w:val="en-IE" w:eastAsia="en-IE"/>
              </w:rPr>
              <w:t xml:space="preserve">    Non mortgage loans</w:t>
            </w:r>
          </w:p>
        </w:tc>
        <w:tc>
          <w:tcPr>
            <w:tcW w:w="2551" w:type="dxa"/>
            <w:tcBorders>
              <w:top w:val="nil"/>
              <w:left w:val="nil"/>
              <w:bottom w:val="single" w:sz="8" w:space="0" w:color="000080"/>
              <w:right w:val="single" w:sz="8" w:space="0" w:color="000080"/>
            </w:tcBorders>
            <w:shd w:val="clear" w:color="auto" w:fill="auto"/>
            <w:vAlign w:val="center"/>
            <w:hideMark/>
          </w:tcPr>
          <w:p w14:paraId="4E46A435" w14:textId="77777777" w:rsidR="00903066" w:rsidRPr="00903066" w:rsidRDefault="00903066" w:rsidP="00903066">
            <w:pPr>
              <w:jc w:val="right"/>
              <w:rPr>
                <w:rFonts w:cs="Calibri"/>
                <w:b/>
                <w:bCs/>
                <w:color w:val="000000"/>
                <w:lang w:val="en-IE" w:eastAsia="en-IE"/>
              </w:rPr>
            </w:pPr>
            <w:r w:rsidRPr="00903066">
              <w:rPr>
                <w:rFonts w:cs="Calibri"/>
                <w:b/>
                <w:bCs/>
                <w:color w:val="000000"/>
                <w:lang w:val="en-IE" w:eastAsia="en-IE"/>
              </w:rPr>
              <w:t>48,803,833</w:t>
            </w:r>
          </w:p>
        </w:tc>
      </w:tr>
      <w:tr w:rsidR="00903066" w:rsidRPr="00903066" w14:paraId="5981E4E0"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01F17A62" w14:textId="77777777" w:rsidR="00903066" w:rsidRPr="00903066" w:rsidRDefault="00903066" w:rsidP="00903066">
            <w:pPr>
              <w:rPr>
                <w:rFonts w:cs="Calibri"/>
                <w:color w:val="000000"/>
                <w:lang w:val="en-IE" w:eastAsia="en-IE"/>
              </w:rPr>
            </w:pPr>
            <w:r w:rsidRPr="00903066">
              <w:rPr>
                <w:rFonts w:cs="Calibri"/>
                <w:color w:val="000000"/>
                <w:lang w:val="en-IE" w:eastAsia="en-IE"/>
              </w:rPr>
              <w:t> </w:t>
            </w:r>
          </w:p>
        </w:tc>
        <w:tc>
          <w:tcPr>
            <w:tcW w:w="2551" w:type="dxa"/>
            <w:tcBorders>
              <w:top w:val="nil"/>
              <w:left w:val="nil"/>
              <w:bottom w:val="single" w:sz="8" w:space="0" w:color="000080"/>
              <w:right w:val="single" w:sz="8" w:space="0" w:color="000080"/>
            </w:tcBorders>
            <w:shd w:val="clear" w:color="auto" w:fill="auto"/>
            <w:vAlign w:val="center"/>
            <w:hideMark/>
          </w:tcPr>
          <w:p w14:paraId="27F0BCA6" w14:textId="77777777" w:rsidR="00903066" w:rsidRPr="00903066" w:rsidRDefault="00903066" w:rsidP="00903066">
            <w:pPr>
              <w:jc w:val="center"/>
              <w:rPr>
                <w:rFonts w:cs="Calibri"/>
                <w:b/>
                <w:bCs/>
                <w:color w:val="000000"/>
                <w:lang w:val="en-IE" w:eastAsia="en-IE"/>
              </w:rPr>
            </w:pPr>
            <w:r w:rsidRPr="00903066">
              <w:rPr>
                <w:rFonts w:cs="Calibri"/>
                <w:b/>
                <w:bCs/>
                <w:color w:val="000000"/>
                <w:lang w:val="en-IE" w:eastAsia="en-IE"/>
              </w:rPr>
              <w:t> </w:t>
            </w:r>
          </w:p>
        </w:tc>
      </w:tr>
      <w:tr w:rsidR="00903066" w:rsidRPr="00903066" w14:paraId="7D1924BA" w14:textId="77777777" w:rsidTr="009752EE">
        <w:trPr>
          <w:trHeight w:val="300"/>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67365B89" w14:textId="77777777" w:rsidR="00903066" w:rsidRPr="00903066" w:rsidRDefault="00903066" w:rsidP="00903066">
            <w:pPr>
              <w:rPr>
                <w:rFonts w:cs="Calibri"/>
                <w:b/>
                <w:bCs/>
                <w:color w:val="000000"/>
                <w:lang w:val="en-IE" w:eastAsia="en-IE"/>
              </w:rPr>
            </w:pPr>
            <w:r w:rsidRPr="00903066">
              <w:rPr>
                <w:rFonts w:cs="Calibri"/>
                <w:b/>
                <w:bCs/>
                <w:color w:val="000000"/>
                <w:lang w:val="en-IE" w:eastAsia="en-IE"/>
              </w:rPr>
              <w:t>INDICATORS</w:t>
            </w:r>
          </w:p>
        </w:tc>
        <w:tc>
          <w:tcPr>
            <w:tcW w:w="2551" w:type="dxa"/>
            <w:tcBorders>
              <w:top w:val="nil"/>
              <w:left w:val="nil"/>
              <w:bottom w:val="single" w:sz="8" w:space="0" w:color="000080"/>
              <w:right w:val="single" w:sz="8" w:space="0" w:color="000080"/>
            </w:tcBorders>
            <w:shd w:val="clear" w:color="auto" w:fill="auto"/>
            <w:vAlign w:val="center"/>
            <w:hideMark/>
          </w:tcPr>
          <w:p w14:paraId="2B6281C5" w14:textId="77777777" w:rsidR="00903066" w:rsidRPr="00903066" w:rsidRDefault="00903066" w:rsidP="00903066">
            <w:pPr>
              <w:jc w:val="center"/>
              <w:rPr>
                <w:rFonts w:cs="Calibri"/>
                <w:b/>
                <w:bCs/>
                <w:color w:val="000000"/>
                <w:lang w:val="en-IE" w:eastAsia="en-IE"/>
              </w:rPr>
            </w:pPr>
            <w:r w:rsidRPr="00903066">
              <w:rPr>
                <w:rFonts w:cs="Calibri"/>
                <w:b/>
                <w:bCs/>
                <w:color w:val="000000"/>
                <w:lang w:val="en-IE" w:eastAsia="en-IE"/>
              </w:rPr>
              <w:t> </w:t>
            </w:r>
          </w:p>
        </w:tc>
      </w:tr>
      <w:tr w:rsidR="00903066" w:rsidRPr="00903066" w14:paraId="1667694D" w14:textId="77777777" w:rsidTr="009752EE">
        <w:trPr>
          <w:trHeight w:val="516"/>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48A2DC52" w14:textId="77777777" w:rsidR="00903066" w:rsidRPr="00903066" w:rsidRDefault="00903066" w:rsidP="00903066">
            <w:pPr>
              <w:rPr>
                <w:rFonts w:cs="Calibri"/>
                <w:color w:val="000000"/>
                <w:lang w:val="en-IE" w:eastAsia="en-IE"/>
              </w:rPr>
            </w:pPr>
            <w:r w:rsidRPr="00903066">
              <w:rPr>
                <w:rFonts w:cs="Calibri"/>
                <w:color w:val="000000"/>
                <w:lang w:val="en-IE" w:eastAsia="en-IE"/>
              </w:rPr>
              <w:t>Ratio of loans payable to revenue income</w:t>
            </w:r>
          </w:p>
        </w:tc>
        <w:tc>
          <w:tcPr>
            <w:tcW w:w="2551" w:type="dxa"/>
            <w:tcBorders>
              <w:top w:val="nil"/>
              <w:left w:val="nil"/>
              <w:bottom w:val="single" w:sz="8" w:space="0" w:color="000080"/>
              <w:right w:val="single" w:sz="8" w:space="0" w:color="000080"/>
            </w:tcBorders>
            <w:shd w:val="clear" w:color="auto" w:fill="auto"/>
            <w:vAlign w:val="center"/>
            <w:hideMark/>
          </w:tcPr>
          <w:p w14:paraId="2AEB0D3B" w14:textId="77777777" w:rsidR="00903066" w:rsidRPr="00903066" w:rsidRDefault="00903066" w:rsidP="00903066">
            <w:pPr>
              <w:jc w:val="center"/>
              <w:rPr>
                <w:rFonts w:cs="Calibri"/>
                <w:b/>
                <w:bCs/>
                <w:color w:val="000000"/>
                <w:lang w:val="en-IE" w:eastAsia="en-IE"/>
              </w:rPr>
            </w:pPr>
            <w:r w:rsidRPr="00903066">
              <w:rPr>
                <w:rFonts w:cs="Calibri"/>
                <w:b/>
                <w:bCs/>
                <w:color w:val="000000"/>
                <w:lang w:val="en-IE" w:eastAsia="en-IE"/>
              </w:rPr>
              <w:t>59%</w:t>
            </w:r>
          </w:p>
        </w:tc>
      </w:tr>
      <w:tr w:rsidR="00903066" w:rsidRPr="00903066" w14:paraId="460AEC55" w14:textId="77777777" w:rsidTr="009752EE">
        <w:trPr>
          <w:trHeight w:val="516"/>
        </w:trPr>
        <w:tc>
          <w:tcPr>
            <w:tcW w:w="5377" w:type="dxa"/>
            <w:tcBorders>
              <w:top w:val="nil"/>
              <w:left w:val="single" w:sz="8" w:space="0" w:color="000080"/>
              <w:bottom w:val="single" w:sz="8" w:space="0" w:color="000080"/>
              <w:right w:val="single" w:sz="8" w:space="0" w:color="000080"/>
            </w:tcBorders>
            <w:shd w:val="clear" w:color="auto" w:fill="auto"/>
            <w:vAlign w:val="center"/>
            <w:hideMark/>
          </w:tcPr>
          <w:p w14:paraId="183F72C9" w14:textId="77777777" w:rsidR="00903066" w:rsidRPr="00903066" w:rsidRDefault="00903066" w:rsidP="00903066">
            <w:pPr>
              <w:rPr>
                <w:rFonts w:cs="Calibri"/>
                <w:color w:val="000000"/>
                <w:lang w:val="en-IE" w:eastAsia="en-IE"/>
              </w:rPr>
            </w:pPr>
            <w:r w:rsidRPr="00903066">
              <w:rPr>
                <w:rFonts w:cs="Calibri"/>
                <w:color w:val="000000"/>
                <w:lang w:val="en-IE" w:eastAsia="en-IE"/>
              </w:rPr>
              <w:t>Ratio of current assets to current liabilities</w:t>
            </w:r>
          </w:p>
        </w:tc>
        <w:tc>
          <w:tcPr>
            <w:tcW w:w="2551" w:type="dxa"/>
            <w:tcBorders>
              <w:top w:val="nil"/>
              <w:left w:val="nil"/>
              <w:bottom w:val="single" w:sz="8" w:space="0" w:color="000080"/>
              <w:right w:val="single" w:sz="8" w:space="0" w:color="000080"/>
            </w:tcBorders>
            <w:shd w:val="clear" w:color="auto" w:fill="auto"/>
            <w:vAlign w:val="center"/>
            <w:hideMark/>
          </w:tcPr>
          <w:p w14:paraId="55234B41" w14:textId="77777777" w:rsidR="00903066" w:rsidRPr="00903066" w:rsidRDefault="00903066" w:rsidP="00903066">
            <w:pPr>
              <w:jc w:val="center"/>
              <w:rPr>
                <w:rFonts w:cs="Calibri"/>
                <w:b/>
                <w:bCs/>
                <w:color w:val="000000"/>
                <w:lang w:val="en-IE" w:eastAsia="en-IE"/>
              </w:rPr>
            </w:pPr>
            <w:r w:rsidRPr="00903066">
              <w:rPr>
                <w:rFonts w:cs="Calibri"/>
                <w:b/>
                <w:bCs/>
                <w:color w:val="000000"/>
                <w:lang w:val="en-IE" w:eastAsia="en-IE"/>
              </w:rPr>
              <w:t xml:space="preserve"> 3.3:1</w:t>
            </w:r>
          </w:p>
        </w:tc>
      </w:tr>
    </w:tbl>
    <w:p w14:paraId="55C3C8CD" w14:textId="4E047EAF" w:rsidR="00375793" w:rsidRDefault="00375793" w:rsidP="00375793"/>
    <w:p w14:paraId="17D7A00A" w14:textId="77777777" w:rsidR="002578E3" w:rsidRDefault="002578E3" w:rsidP="00375793">
      <w:pPr>
        <w:rPr>
          <w:b/>
        </w:rPr>
      </w:pPr>
    </w:p>
    <w:p w14:paraId="52FB550F" w14:textId="1C522EBC" w:rsidR="00375793" w:rsidRDefault="00375793" w:rsidP="00375793">
      <w:pPr>
        <w:rPr>
          <w:b/>
        </w:rPr>
      </w:pPr>
      <w:r w:rsidRPr="000F1FBF">
        <w:rPr>
          <w:b/>
        </w:rPr>
        <w:t>2.2 Indicators:</w:t>
      </w:r>
    </w:p>
    <w:p w14:paraId="0EFB1291" w14:textId="77777777" w:rsidR="00BD1C93" w:rsidRPr="000F1FBF" w:rsidRDefault="00BD1C93" w:rsidP="00375793">
      <w:pPr>
        <w:rPr>
          <w:b/>
        </w:rPr>
      </w:pPr>
    </w:p>
    <w:p w14:paraId="510410A7" w14:textId="05C72395" w:rsidR="0013015C" w:rsidRPr="00746763" w:rsidRDefault="0013015C" w:rsidP="0013015C">
      <w:pPr>
        <w:spacing w:line="360" w:lineRule="auto"/>
        <w:rPr>
          <w:b/>
        </w:rPr>
      </w:pPr>
      <w:r w:rsidRPr="00746763">
        <w:rPr>
          <w:b/>
        </w:rPr>
        <w:t xml:space="preserve">Ratio of loans payable to revenue income:        </w:t>
      </w:r>
      <w:r w:rsidR="009752EE">
        <w:rPr>
          <w:b/>
        </w:rPr>
        <w:t>59</w:t>
      </w:r>
      <w:r w:rsidR="00566B10">
        <w:rPr>
          <w:b/>
        </w:rPr>
        <w:t>%</w:t>
      </w:r>
    </w:p>
    <w:p w14:paraId="23FFB78D" w14:textId="77777777" w:rsidR="0013015C" w:rsidRPr="00DE2D9E" w:rsidRDefault="0013015C" w:rsidP="0013015C">
      <w:pPr>
        <w:spacing w:line="360" w:lineRule="auto"/>
      </w:pPr>
      <w:r w:rsidRPr="00DE2D9E">
        <w:t xml:space="preserve">This ratio otherwise known as the gearing ratio reflects the Council’s ability to repay its loans </w:t>
      </w:r>
      <w:r>
        <w:t>with its revenue income and falls within the recommended range.</w:t>
      </w:r>
      <w:r w:rsidRPr="00DE2D9E">
        <w:t xml:space="preserve"> </w:t>
      </w:r>
    </w:p>
    <w:p w14:paraId="243170BE" w14:textId="54C8959A" w:rsidR="0013015C" w:rsidRPr="00DE2D9E" w:rsidRDefault="0013015C" w:rsidP="0013015C">
      <w:pPr>
        <w:spacing w:line="360" w:lineRule="auto"/>
        <w:rPr>
          <w:b/>
        </w:rPr>
      </w:pPr>
      <w:r w:rsidRPr="00DE2D9E">
        <w:rPr>
          <w:b/>
        </w:rPr>
        <w:t xml:space="preserve">Ratio of current assets to current liabilities:   </w:t>
      </w:r>
      <w:r w:rsidR="00E77927">
        <w:rPr>
          <w:b/>
        </w:rPr>
        <w:t xml:space="preserve"> </w:t>
      </w:r>
      <w:r w:rsidRPr="00DE2D9E">
        <w:rPr>
          <w:b/>
        </w:rPr>
        <w:t xml:space="preserve"> </w:t>
      </w:r>
      <w:r w:rsidR="00357007">
        <w:rPr>
          <w:b/>
        </w:rPr>
        <w:t>3</w:t>
      </w:r>
      <w:r w:rsidR="00925255">
        <w:rPr>
          <w:b/>
        </w:rPr>
        <w:t>.</w:t>
      </w:r>
      <w:r w:rsidR="009752EE">
        <w:rPr>
          <w:b/>
        </w:rPr>
        <w:t>3</w:t>
      </w:r>
      <w:r w:rsidR="00925255">
        <w:rPr>
          <w:b/>
        </w:rPr>
        <w:t>:1</w:t>
      </w:r>
    </w:p>
    <w:p w14:paraId="17BEFEAB" w14:textId="6CD69BB6" w:rsidR="0013015C" w:rsidRPr="00DE2D9E" w:rsidRDefault="0013015C" w:rsidP="0013015C">
      <w:pPr>
        <w:spacing w:line="360" w:lineRule="auto"/>
      </w:pPr>
      <w:r w:rsidRPr="00DE2D9E">
        <w:t xml:space="preserve">This ratio </w:t>
      </w:r>
      <w:r w:rsidR="00DB3657">
        <w:t>also</w:t>
      </w:r>
      <w:r w:rsidRPr="00DE2D9E">
        <w:t xml:space="preserve"> known as the liquidity ratio reflects the Council’s ability to pay its current liabilities </w:t>
      </w:r>
      <w:r w:rsidR="00730A4C" w:rsidRPr="00DE2D9E">
        <w:t>and</w:t>
      </w:r>
      <w:r w:rsidRPr="00DE2D9E">
        <w:t xml:space="preserve"> falls within the recommended range.</w:t>
      </w:r>
    </w:p>
    <w:p w14:paraId="153CB134" w14:textId="77777777" w:rsidR="00375793" w:rsidRDefault="00375793" w:rsidP="00375793">
      <w:pPr>
        <w:spacing w:line="360" w:lineRule="auto"/>
        <w:rPr>
          <w:rFonts w:cs="Arial"/>
        </w:rPr>
      </w:pPr>
      <w:r w:rsidRPr="00894771">
        <w:rPr>
          <w:rFonts w:cs="Arial"/>
        </w:rPr>
        <w:lastRenderedPageBreak/>
        <w:t>Both indicators reflect that the Council’s financial position is reasonably stable.</w:t>
      </w:r>
    </w:p>
    <w:p w14:paraId="5466CB84" w14:textId="77777777" w:rsidR="002822EF" w:rsidRDefault="002822EF" w:rsidP="00375793">
      <w:pPr>
        <w:rPr>
          <w:b/>
        </w:rPr>
      </w:pPr>
    </w:p>
    <w:p w14:paraId="069A6691" w14:textId="455859CD" w:rsidR="00375793" w:rsidRDefault="003B54F4" w:rsidP="00375793">
      <w:pPr>
        <w:rPr>
          <w:b/>
        </w:rPr>
      </w:pPr>
      <w:r>
        <w:rPr>
          <w:b/>
        </w:rPr>
        <w:t>2.3 Current assets:</w:t>
      </w:r>
    </w:p>
    <w:p w14:paraId="6C5D7375" w14:textId="3207B1E9" w:rsidR="00C87826" w:rsidRPr="003B54F4" w:rsidRDefault="00C87826" w:rsidP="00375793">
      <w:pPr>
        <w:rPr>
          <w:b/>
        </w:rPr>
      </w:pPr>
    </w:p>
    <w:p w14:paraId="29270885" w14:textId="5541735E" w:rsidR="00375793" w:rsidRDefault="00375793" w:rsidP="00375793"/>
    <w:tbl>
      <w:tblPr>
        <w:tblW w:w="8000" w:type="dxa"/>
        <w:tblLook w:val="04A0" w:firstRow="1" w:lastRow="0" w:firstColumn="1" w:lastColumn="0" w:noHBand="0" w:noVBand="1"/>
      </w:tblPr>
      <w:tblGrid>
        <w:gridCol w:w="5800"/>
        <w:gridCol w:w="2200"/>
      </w:tblGrid>
      <w:tr w:rsidR="009752EE" w:rsidRPr="009752EE" w14:paraId="50D74E94" w14:textId="77777777" w:rsidTr="009752EE">
        <w:trPr>
          <w:trHeight w:val="810"/>
        </w:trPr>
        <w:tc>
          <w:tcPr>
            <w:tcW w:w="5800" w:type="dxa"/>
            <w:tcBorders>
              <w:top w:val="single" w:sz="8" w:space="0" w:color="000080"/>
              <w:left w:val="single" w:sz="8" w:space="0" w:color="000080"/>
              <w:bottom w:val="nil"/>
              <w:right w:val="single" w:sz="8" w:space="0" w:color="000080"/>
            </w:tcBorders>
            <w:shd w:val="clear" w:color="000000" w:fill="000080"/>
            <w:vAlign w:val="center"/>
            <w:hideMark/>
          </w:tcPr>
          <w:p w14:paraId="048AE27C" w14:textId="77777777" w:rsidR="009752EE" w:rsidRPr="009752EE" w:rsidRDefault="009752EE" w:rsidP="009752EE">
            <w:pPr>
              <w:jc w:val="center"/>
              <w:rPr>
                <w:rFonts w:cs="Calibri"/>
                <w:b/>
                <w:bCs/>
                <w:color w:val="FFFFFF"/>
                <w:lang w:val="en-IE" w:eastAsia="en-IE"/>
              </w:rPr>
            </w:pPr>
            <w:r w:rsidRPr="009752EE">
              <w:rPr>
                <w:rFonts w:cs="Calibri"/>
                <w:b/>
                <w:bCs/>
                <w:color w:val="FFFFFF"/>
                <w:lang w:val="en-IE" w:eastAsia="en-IE"/>
              </w:rPr>
              <w:t> </w:t>
            </w:r>
          </w:p>
        </w:tc>
        <w:tc>
          <w:tcPr>
            <w:tcW w:w="2200" w:type="dxa"/>
            <w:tcBorders>
              <w:top w:val="single" w:sz="8" w:space="0" w:color="000080"/>
              <w:left w:val="nil"/>
              <w:bottom w:val="nil"/>
              <w:right w:val="single" w:sz="8" w:space="0" w:color="000080"/>
            </w:tcBorders>
            <w:shd w:val="clear" w:color="000000" w:fill="000080"/>
            <w:vAlign w:val="center"/>
            <w:hideMark/>
          </w:tcPr>
          <w:p w14:paraId="5F1F5A47" w14:textId="324097BE" w:rsidR="009752EE" w:rsidRPr="009752EE" w:rsidRDefault="009752EE" w:rsidP="009752EE">
            <w:pPr>
              <w:jc w:val="center"/>
              <w:rPr>
                <w:rFonts w:cs="Calibri"/>
                <w:b/>
                <w:bCs/>
                <w:color w:val="FFFFFF"/>
                <w:lang w:val="en-IE" w:eastAsia="en-IE"/>
              </w:rPr>
            </w:pPr>
            <w:r w:rsidRPr="009752EE">
              <w:rPr>
                <w:rFonts w:cs="Calibri"/>
                <w:b/>
                <w:bCs/>
                <w:color w:val="FFFFFF"/>
                <w:lang w:val="en-IE" w:eastAsia="en-IE"/>
              </w:rPr>
              <w:t>Current assets @ 3</w:t>
            </w:r>
            <w:r w:rsidR="00262F4C">
              <w:rPr>
                <w:rFonts w:cs="Calibri"/>
                <w:b/>
                <w:bCs/>
                <w:color w:val="FFFFFF"/>
                <w:lang w:val="en-IE" w:eastAsia="en-IE"/>
              </w:rPr>
              <w:t>1</w:t>
            </w:r>
            <w:r w:rsidRPr="009752EE">
              <w:rPr>
                <w:rFonts w:cs="Calibri"/>
                <w:b/>
                <w:bCs/>
                <w:color w:val="FFFFFF"/>
                <w:lang w:val="en-IE" w:eastAsia="en-IE"/>
              </w:rPr>
              <w:t>/3/2021</w:t>
            </w:r>
          </w:p>
        </w:tc>
      </w:tr>
      <w:tr w:rsidR="009752EE" w:rsidRPr="009752EE" w14:paraId="343B1DA8" w14:textId="77777777" w:rsidTr="009752EE">
        <w:trPr>
          <w:trHeight w:val="288"/>
        </w:trPr>
        <w:tc>
          <w:tcPr>
            <w:tcW w:w="5800" w:type="dxa"/>
            <w:tcBorders>
              <w:top w:val="nil"/>
              <w:left w:val="single" w:sz="8" w:space="0" w:color="000080"/>
              <w:bottom w:val="nil"/>
              <w:right w:val="single" w:sz="8" w:space="0" w:color="000080"/>
            </w:tcBorders>
            <w:shd w:val="clear" w:color="auto" w:fill="auto"/>
            <w:vAlign w:val="center"/>
            <w:hideMark/>
          </w:tcPr>
          <w:p w14:paraId="6EEE561C"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w:t>
            </w:r>
          </w:p>
        </w:tc>
        <w:tc>
          <w:tcPr>
            <w:tcW w:w="2200" w:type="dxa"/>
            <w:tcBorders>
              <w:top w:val="nil"/>
              <w:left w:val="nil"/>
              <w:bottom w:val="nil"/>
              <w:right w:val="single" w:sz="8" w:space="0" w:color="000080"/>
            </w:tcBorders>
            <w:shd w:val="clear" w:color="auto" w:fill="auto"/>
            <w:vAlign w:val="center"/>
            <w:hideMark/>
          </w:tcPr>
          <w:p w14:paraId="486A61EA"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€’M</w:t>
            </w:r>
          </w:p>
        </w:tc>
      </w:tr>
      <w:tr w:rsidR="009752EE" w:rsidRPr="009752EE" w14:paraId="55C6EF43" w14:textId="77777777" w:rsidTr="009752EE">
        <w:trPr>
          <w:trHeight w:val="288"/>
        </w:trPr>
        <w:tc>
          <w:tcPr>
            <w:tcW w:w="5800" w:type="dxa"/>
            <w:tcBorders>
              <w:top w:val="nil"/>
              <w:left w:val="single" w:sz="8" w:space="0" w:color="000080"/>
              <w:bottom w:val="nil"/>
              <w:right w:val="single" w:sz="8" w:space="0" w:color="000080"/>
            </w:tcBorders>
            <w:shd w:val="clear" w:color="auto" w:fill="auto"/>
            <w:vAlign w:val="center"/>
            <w:hideMark/>
          </w:tcPr>
          <w:p w14:paraId="5AED9317"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Trade debtors &amp; prepayments(net of provisions)</w:t>
            </w:r>
          </w:p>
        </w:tc>
        <w:tc>
          <w:tcPr>
            <w:tcW w:w="2200" w:type="dxa"/>
            <w:tcBorders>
              <w:top w:val="nil"/>
              <w:left w:val="nil"/>
              <w:bottom w:val="nil"/>
              <w:right w:val="single" w:sz="8" w:space="0" w:color="000080"/>
            </w:tcBorders>
            <w:shd w:val="clear" w:color="auto" w:fill="auto"/>
            <w:vAlign w:val="bottom"/>
            <w:hideMark/>
          </w:tcPr>
          <w:p w14:paraId="6730CA1F"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xml:space="preserve">                 166.70 </w:t>
            </w:r>
          </w:p>
        </w:tc>
      </w:tr>
      <w:tr w:rsidR="009752EE" w:rsidRPr="009752EE" w14:paraId="12B1276F" w14:textId="77777777" w:rsidTr="009752EE">
        <w:trPr>
          <w:trHeight w:val="288"/>
        </w:trPr>
        <w:tc>
          <w:tcPr>
            <w:tcW w:w="5800" w:type="dxa"/>
            <w:tcBorders>
              <w:top w:val="nil"/>
              <w:left w:val="single" w:sz="8" w:space="0" w:color="000080"/>
              <w:bottom w:val="nil"/>
              <w:right w:val="single" w:sz="8" w:space="0" w:color="000080"/>
            </w:tcBorders>
            <w:shd w:val="clear" w:color="auto" w:fill="auto"/>
            <w:vAlign w:val="center"/>
            <w:hideMark/>
          </w:tcPr>
          <w:p w14:paraId="4BD5BBAD"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Cash &amp; Bank</w:t>
            </w:r>
          </w:p>
        </w:tc>
        <w:tc>
          <w:tcPr>
            <w:tcW w:w="2200" w:type="dxa"/>
            <w:tcBorders>
              <w:top w:val="nil"/>
              <w:left w:val="nil"/>
              <w:bottom w:val="nil"/>
              <w:right w:val="single" w:sz="8" w:space="0" w:color="000080"/>
            </w:tcBorders>
            <w:shd w:val="clear" w:color="auto" w:fill="auto"/>
            <w:vAlign w:val="bottom"/>
            <w:hideMark/>
          </w:tcPr>
          <w:p w14:paraId="618DA99F"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xml:space="preserve">                 368.90 </w:t>
            </w:r>
          </w:p>
        </w:tc>
      </w:tr>
      <w:tr w:rsidR="009752EE" w:rsidRPr="009752EE" w14:paraId="2BF800FB" w14:textId="77777777" w:rsidTr="009752EE">
        <w:trPr>
          <w:trHeight w:val="300"/>
        </w:trPr>
        <w:tc>
          <w:tcPr>
            <w:tcW w:w="5800" w:type="dxa"/>
            <w:tcBorders>
              <w:top w:val="nil"/>
              <w:left w:val="single" w:sz="8" w:space="0" w:color="000080"/>
              <w:bottom w:val="nil"/>
              <w:right w:val="single" w:sz="8" w:space="0" w:color="000080"/>
            </w:tcBorders>
            <w:shd w:val="clear" w:color="auto" w:fill="auto"/>
            <w:vAlign w:val="center"/>
            <w:hideMark/>
          </w:tcPr>
          <w:p w14:paraId="31428BAA"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Due within 1 Year</w:t>
            </w:r>
          </w:p>
        </w:tc>
        <w:tc>
          <w:tcPr>
            <w:tcW w:w="2200" w:type="dxa"/>
            <w:tcBorders>
              <w:top w:val="nil"/>
              <w:left w:val="nil"/>
              <w:bottom w:val="nil"/>
              <w:right w:val="single" w:sz="8" w:space="0" w:color="000080"/>
            </w:tcBorders>
            <w:shd w:val="clear" w:color="auto" w:fill="auto"/>
            <w:vAlign w:val="bottom"/>
            <w:hideMark/>
          </w:tcPr>
          <w:p w14:paraId="60F4D764"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xml:space="preserve">                     3.10 </w:t>
            </w:r>
          </w:p>
        </w:tc>
      </w:tr>
      <w:tr w:rsidR="009752EE" w:rsidRPr="009752EE" w14:paraId="68C5A439" w14:textId="77777777" w:rsidTr="009752EE">
        <w:trPr>
          <w:trHeight w:val="300"/>
        </w:trPr>
        <w:tc>
          <w:tcPr>
            <w:tcW w:w="580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44A5501"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Total</w:t>
            </w:r>
          </w:p>
        </w:tc>
        <w:tc>
          <w:tcPr>
            <w:tcW w:w="2200" w:type="dxa"/>
            <w:tcBorders>
              <w:top w:val="single" w:sz="8" w:space="0" w:color="000080"/>
              <w:left w:val="nil"/>
              <w:bottom w:val="single" w:sz="8" w:space="0" w:color="000080"/>
              <w:right w:val="single" w:sz="8" w:space="0" w:color="000080"/>
            </w:tcBorders>
            <w:shd w:val="clear" w:color="auto" w:fill="auto"/>
            <w:vAlign w:val="bottom"/>
            <w:hideMark/>
          </w:tcPr>
          <w:p w14:paraId="12ABED92"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xml:space="preserve">                 538.70 </w:t>
            </w:r>
          </w:p>
        </w:tc>
      </w:tr>
    </w:tbl>
    <w:p w14:paraId="4AF3BDCE" w14:textId="19A5573F" w:rsidR="00257C9C" w:rsidRDefault="00257C9C" w:rsidP="00375793"/>
    <w:p w14:paraId="51390CD4" w14:textId="14ADF1B7" w:rsidR="00257C9C" w:rsidRDefault="00257C9C" w:rsidP="00375793"/>
    <w:p w14:paraId="701EC501" w14:textId="77777777" w:rsidR="00257C9C" w:rsidRDefault="00257C9C" w:rsidP="00375793"/>
    <w:p w14:paraId="597E904F" w14:textId="042A5F8F" w:rsidR="00375793" w:rsidRPr="000F1FBF" w:rsidRDefault="00375793" w:rsidP="00375793">
      <w:pPr>
        <w:rPr>
          <w:b/>
        </w:rPr>
      </w:pPr>
      <w:r w:rsidRPr="000F1FBF">
        <w:rPr>
          <w:b/>
        </w:rPr>
        <w:t>2.4 Current liabilities:</w:t>
      </w:r>
      <w:r w:rsidR="006C6C29">
        <w:rPr>
          <w:b/>
        </w:rPr>
        <w:br/>
      </w:r>
    </w:p>
    <w:tbl>
      <w:tblPr>
        <w:tblW w:w="7520" w:type="dxa"/>
        <w:tblLook w:val="04A0" w:firstRow="1" w:lastRow="0" w:firstColumn="1" w:lastColumn="0" w:noHBand="0" w:noVBand="1"/>
      </w:tblPr>
      <w:tblGrid>
        <w:gridCol w:w="4420"/>
        <w:gridCol w:w="3100"/>
      </w:tblGrid>
      <w:tr w:rsidR="009752EE" w:rsidRPr="009752EE" w14:paraId="4D3E2990" w14:textId="77777777" w:rsidTr="009752EE">
        <w:trPr>
          <w:trHeight w:val="630"/>
        </w:trPr>
        <w:tc>
          <w:tcPr>
            <w:tcW w:w="4420" w:type="dxa"/>
            <w:tcBorders>
              <w:top w:val="single" w:sz="8" w:space="0" w:color="000080"/>
              <w:left w:val="single" w:sz="8" w:space="0" w:color="000080"/>
              <w:bottom w:val="nil"/>
              <w:right w:val="single" w:sz="8" w:space="0" w:color="000080"/>
            </w:tcBorders>
            <w:shd w:val="clear" w:color="000000" w:fill="000080"/>
            <w:vAlign w:val="center"/>
            <w:hideMark/>
          </w:tcPr>
          <w:p w14:paraId="464ABE94" w14:textId="77777777" w:rsidR="009752EE" w:rsidRPr="009752EE" w:rsidRDefault="009752EE" w:rsidP="009752EE">
            <w:pPr>
              <w:jc w:val="center"/>
              <w:rPr>
                <w:rFonts w:cs="Calibri"/>
                <w:b/>
                <w:bCs/>
                <w:color w:val="FFFFFF"/>
                <w:lang w:val="en-IE" w:eastAsia="en-IE"/>
              </w:rPr>
            </w:pPr>
            <w:r w:rsidRPr="009752EE">
              <w:rPr>
                <w:rFonts w:cs="Calibri"/>
                <w:b/>
                <w:bCs/>
                <w:color w:val="FFFFFF"/>
                <w:lang w:val="en-IE" w:eastAsia="en-IE"/>
              </w:rPr>
              <w:t> </w:t>
            </w:r>
          </w:p>
        </w:tc>
        <w:tc>
          <w:tcPr>
            <w:tcW w:w="3100" w:type="dxa"/>
            <w:tcBorders>
              <w:top w:val="single" w:sz="8" w:space="0" w:color="000080"/>
              <w:left w:val="nil"/>
              <w:bottom w:val="nil"/>
              <w:right w:val="single" w:sz="8" w:space="0" w:color="000080"/>
            </w:tcBorders>
            <w:shd w:val="clear" w:color="000000" w:fill="000080"/>
            <w:vAlign w:val="center"/>
            <w:hideMark/>
          </w:tcPr>
          <w:p w14:paraId="3C7E1D7D" w14:textId="39BDD6D2" w:rsidR="009752EE" w:rsidRPr="009752EE" w:rsidRDefault="009752EE" w:rsidP="009752EE">
            <w:pPr>
              <w:jc w:val="center"/>
              <w:rPr>
                <w:rFonts w:cs="Calibri"/>
                <w:b/>
                <w:bCs/>
                <w:color w:val="FFFFFF"/>
                <w:lang w:val="en-IE" w:eastAsia="en-IE"/>
              </w:rPr>
            </w:pPr>
            <w:r w:rsidRPr="009752EE">
              <w:rPr>
                <w:rFonts w:cs="Calibri"/>
                <w:b/>
                <w:bCs/>
                <w:color w:val="FFFFFF"/>
                <w:lang w:val="en-IE" w:eastAsia="en-IE"/>
              </w:rPr>
              <w:t>Current liabilities @ 3</w:t>
            </w:r>
            <w:r w:rsidR="00262F4C">
              <w:rPr>
                <w:rFonts w:cs="Calibri"/>
                <w:b/>
                <w:bCs/>
                <w:color w:val="FFFFFF"/>
                <w:lang w:val="en-IE" w:eastAsia="en-IE"/>
              </w:rPr>
              <w:t>1</w:t>
            </w:r>
            <w:r w:rsidRPr="009752EE">
              <w:rPr>
                <w:rFonts w:cs="Calibri"/>
                <w:b/>
                <w:bCs/>
                <w:color w:val="FFFFFF"/>
                <w:lang w:val="en-IE" w:eastAsia="en-IE"/>
              </w:rPr>
              <w:t>/3/2021</w:t>
            </w:r>
          </w:p>
        </w:tc>
      </w:tr>
      <w:tr w:rsidR="009752EE" w:rsidRPr="009752EE" w14:paraId="40C92178" w14:textId="77777777" w:rsidTr="009752EE">
        <w:trPr>
          <w:trHeight w:val="309"/>
        </w:trPr>
        <w:tc>
          <w:tcPr>
            <w:tcW w:w="4420" w:type="dxa"/>
            <w:tcBorders>
              <w:top w:val="nil"/>
              <w:left w:val="single" w:sz="8" w:space="0" w:color="000080"/>
              <w:bottom w:val="nil"/>
              <w:right w:val="single" w:sz="8" w:space="0" w:color="000080"/>
            </w:tcBorders>
            <w:shd w:val="clear" w:color="auto" w:fill="auto"/>
            <w:vAlign w:val="center"/>
            <w:hideMark/>
          </w:tcPr>
          <w:p w14:paraId="64CD5B64"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w:t>
            </w:r>
          </w:p>
        </w:tc>
        <w:tc>
          <w:tcPr>
            <w:tcW w:w="3100" w:type="dxa"/>
            <w:tcBorders>
              <w:top w:val="nil"/>
              <w:left w:val="nil"/>
              <w:bottom w:val="nil"/>
              <w:right w:val="single" w:sz="8" w:space="0" w:color="000080"/>
            </w:tcBorders>
            <w:shd w:val="clear" w:color="auto" w:fill="auto"/>
            <w:vAlign w:val="center"/>
            <w:hideMark/>
          </w:tcPr>
          <w:p w14:paraId="3538029D"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€’M</w:t>
            </w:r>
          </w:p>
        </w:tc>
      </w:tr>
      <w:tr w:rsidR="009752EE" w:rsidRPr="009752EE" w14:paraId="7FF553E4" w14:textId="77777777" w:rsidTr="009752EE">
        <w:trPr>
          <w:trHeight w:val="309"/>
        </w:trPr>
        <w:tc>
          <w:tcPr>
            <w:tcW w:w="4420" w:type="dxa"/>
            <w:tcBorders>
              <w:top w:val="nil"/>
              <w:left w:val="single" w:sz="8" w:space="0" w:color="000080"/>
              <w:bottom w:val="nil"/>
              <w:right w:val="single" w:sz="8" w:space="0" w:color="000080"/>
            </w:tcBorders>
            <w:shd w:val="clear" w:color="auto" w:fill="auto"/>
            <w:vAlign w:val="center"/>
            <w:hideMark/>
          </w:tcPr>
          <w:p w14:paraId="7F15C9AA"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Creditors &amp; Accruals</w:t>
            </w:r>
          </w:p>
        </w:tc>
        <w:tc>
          <w:tcPr>
            <w:tcW w:w="3100" w:type="dxa"/>
            <w:tcBorders>
              <w:top w:val="nil"/>
              <w:left w:val="nil"/>
              <w:bottom w:val="nil"/>
              <w:right w:val="single" w:sz="8" w:space="0" w:color="000080"/>
            </w:tcBorders>
            <w:shd w:val="clear" w:color="auto" w:fill="auto"/>
            <w:vAlign w:val="center"/>
            <w:hideMark/>
          </w:tcPr>
          <w:p w14:paraId="01E66D22"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27.7</w:t>
            </w:r>
          </w:p>
        </w:tc>
      </w:tr>
      <w:tr w:rsidR="009752EE" w:rsidRPr="009752EE" w14:paraId="31905E16" w14:textId="77777777" w:rsidTr="009752EE">
        <w:trPr>
          <w:trHeight w:val="600"/>
        </w:trPr>
        <w:tc>
          <w:tcPr>
            <w:tcW w:w="4420" w:type="dxa"/>
            <w:tcBorders>
              <w:top w:val="nil"/>
              <w:left w:val="single" w:sz="8" w:space="0" w:color="000080"/>
              <w:bottom w:val="nil"/>
              <w:right w:val="single" w:sz="8" w:space="0" w:color="000080"/>
            </w:tcBorders>
            <w:shd w:val="clear" w:color="auto" w:fill="auto"/>
            <w:vAlign w:val="center"/>
            <w:hideMark/>
          </w:tcPr>
          <w:p w14:paraId="01A047EC"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Comm. Rates (inc. 2</w:t>
            </w:r>
            <w:r w:rsidRPr="009752EE">
              <w:rPr>
                <w:rFonts w:cs="Calibri"/>
                <w:b/>
                <w:bCs/>
                <w:color w:val="000000"/>
                <w:vertAlign w:val="superscript"/>
                <w:lang w:val="en-IE" w:eastAsia="en-IE"/>
              </w:rPr>
              <w:t>nd</w:t>
            </w:r>
            <w:r w:rsidRPr="009752EE">
              <w:rPr>
                <w:rFonts w:cs="Calibri"/>
                <w:b/>
                <w:bCs/>
                <w:color w:val="000000"/>
                <w:lang w:val="en-IE" w:eastAsia="en-IE"/>
              </w:rPr>
              <w:t xml:space="preserve"> Moiety 2021)</w:t>
            </w:r>
          </w:p>
        </w:tc>
        <w:tc>
          <w:tcPr>
            <w:tcW w:w="3100" w:type="dxa"/>
            <w:tcBorders>
              <w:top w:val="nil"/>
              <w:left w:val="nil"/>
              <w:bottom w:val="nil"/>
              <w:right w:val="single" w:sz="8" w:space="0" w:color="000080"/>
            </w:tcBorders>
            <w:shd w:val="clear" w:color="auto" w:fill="auto"/>
            <w:vAlign w:val="center"/>
            <w:hideMark/>
          </w:tcPr>
          <w:p w14:paraId="7CF3D71D"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98.6</w:t>
            </w:r>
          </w:p>
        </w:tc>
      </w:tr>
      <w:tr w:rsidR="009752EE" w:rsidRPr="009752EE" w14:paraId="06674EDC" w14:textId="77777777" w:rsidTr="009752EE">
        <w:trPr>
          <w:trHeight w:val="309"/>
        </w:trPr>
        <w:tc>
          <w:tcPr>
            <w:tcW w:w="4420" w:type="dxa"/>
            <w:tcBorders>
              <w:top w:val="nil"/>
              <w:left w:val="single" w:sz="8" w:space="0" w:color="000080"/>
              <w:bottom w:val="nil"/>
              <w:right w:val="single" w:sz="8" w:space="0" w:color="000080"/>
            </w:tcBorders>
            <w:shd w:val="clear" w:color="auto" w:fill="auto"/>
            <w:vAlign w:val="center"/>
            <w:hideMark/>
          </w:tcPr>
          <w:p w14:paraId="0A763C40"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Deferred income</w:t>
            </w:r>
          </w:p>
        </w:tc>
        <w:tc>
          <w:tcPr>
            <w:tcW w:w="3100" w:type="dxa"/>
            <w:tcBorders>
              <w:top w:val="nil"/>
              <w:left w:val="nil"/>
              <w:bottom w:val="nil"/>
              <w:right w:val="single" w:sz="8" w:space="0" w:color="000080"/>
            </w:tcBorders>
            <w:shd w:val="clear" w:color="auto" w:fill="auto"/>
            <w:vAlign w:val="center"/>
            <w:hideMark/>
          </w:tcPr>
          <w:p w14:paraId="74F216F3"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27.1</w:t>
            </w:r>
          </w:p>
        </w:tc>
      </w:tr>
      <w:tr w:rsidR="009752EE" w:rsidRPr="009752EE" w14:paraId="2786A28D" w14:textId="77777777" w:rsidTr="009752EE">
        <w:trPr>
          <w:trHeight w:val="309"/>
        </w:trPr>
        <w:tc>
          <w:tcPr>
            <w:tcW w:w="4420" w:type="dxa"/>
            <w:tcBorders>
              <w:top w:val="nil"/>
              <w:left w:val="single" w:sz="8" w:space="0" w:color="000080"/>
              <w:bottom w:val="nil"/>
              <w:right w:val="single" w:sz="8" w:space="0" w:color="000080"/>
            </w:tcBorders>
            <w:shd w:val="clear" w:color="auto" w:fill="auto"/>
            <w:vAlign w:val="center"/>
            <w:hideMark/>
          </w:tcPr>
          <w:p w14:paraId="4448F4A9"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Due within 1 Year</w:t>
            </w:r>
          </w:p>
        </w:tc>
        <w:tc>
          <w:tcPr>
            <w:tcW w:w="3100" w:type="dxa"/>
            <w:tcBorders>
              <w:top w:val="nil"/>
              <w:left w:val="nil"/>
              <w:bottom w:val="nil"/>
              <w:right w:val="single" w:sz="8" w:space="0" w:color="000080"/>
            </w:tcBorders>
            <w:shd w:val="clear" w:color="auto" w:fill="auto"/>
            <w:vAlign w:val="center"/>
            <w:hideMark/>
          </w:tcPr>
          <w:p w14:paraId="3DDECDB6"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9.3</w:t>
            </w:r>
          </w:p>
        </w:tc>
      </w:tr>
      <w:tr w:rsidR="009752EE" w:rsidRPr="009752EE" w14:paraId="7764BA69" w14:textId="77777777" w:rsidTr="009752EE">
        <w:trPr>
          <w:trHeight w:val="309"/>
        </w:trPr>
        <w:tc>
          <w:tcPr>
            <w:tcW w:w="4420" w:type="dxa"/>
            <w:tcBorders>
              <w:top w:val="nil"/>
              <w:left w:val="single" w:sz="8" w:space="0" w:color="000080"/>
              <w:bottom w:val="nil"/>
              <w:right w:val="single" w:sz="8" w:space="0" w:color="000080"/>
            </w:tcBorders>
            <w:shd w:val="clear" w:color="auto" w:fill="auto"/>
            <w:vAlign w:val="center"/>
            <w:hideMark/>
          </w:tcPr>
          <w:p w14:paraId="7316B01F"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 </w:t>
            </w:r>
          </w:p>
        </w:tc>
        <w:tc>
          <w:tcPr>
            <w:tcW w:w="3100" w:type="dxa"/>
            <w:tcBorders>
              <w:top w:val="nil"/>
              <w:left w:val="nil"/>
              <w:bottom w:val="nil"/>
              <w:right w:val="single" w:sz="8" w:space="0" w:color="000080"/>
            </w:tcBorders>
            <w:shd w:val="clear" w:color="auto" w:fill="auto"/>
            <w:vAlign w:val="center"/>
            <w:hideMark/>
          </w:tcPr>
          <w:p w14:paraId="486F783E"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 </w:t>
            </w:r>
          </w:p>
        </w:tc>
      </w:tr>
      <w:tr w:rsidR="009752EE" w:rsidRPr="009752EE" w14:paraId="25346C39" w14:textId="77777777" w:rsidTr="009752EE">
        <w:trPr>
          <w:trHeight w:val="309"/>
        </w:trPr>
        <w:tc>
          <w:tcPr>
            <w:tcW w:w="4420" w:type="dxa"/>
            <w:tcBorders>
              <w:top w:val="single" w:sz="8" w:space="0" w:color="000080"/>
              <w:left w:val="single" w:sz="8" w:space="0" w:color="000080"/>
              <w:bottom w:val="single" w:sz="8" w:space="0" w:color="000080"/>
              <w:right w:val="single" w:sz="8" w:space="0" w:color="000080"/>
            </w:tcBorders>
            <w:shd w:val="clear" w:color="auto" w:fill="auto"/>
            <w:vAlign w:val="center"/>
            <w:hideMark/>
          </w:tcPr>
          <w:p w14:paraId="6E5050D1" w14:textId="77777777" w:rsidR="009752EE" w:rsidRPr="009752EE" w:rsidRDefault="009752EE" w:rsidP="009752EE">
            <w:pPr>
              <w:rPr>
                <w:rFonts w:cs="Calibri"/>
                <w:b/>
                <w:bCs/>
                <w:color w:val="000000"/>
                <w:lang w:val="en-IE" w:eastAsia="en-IE"/>
              </w:rPr>
            </w:pPr>
            <w:r w:rsidRPr="009752EE">
              <w:rPr>
                <w:rFonts w:cs="Calibri"/>
                <w:b/>
                <w:bCs/>
                <w:color w:val="000000"/>
                <w:lang w:val="en-IE" w:eastAsia="en-IE"/>
              </w:rPr>
              <w:t>Total</w:t>
            </w:r>
          </w:p>
        </w:tc>
        <w:tc>
          <w:tcPr>
            <w:tcW w:w="3100" w:type="dxa"/>
            <w:tcBorders>
              <w:top w:val="single" w:sz="8" w:space="0" w:color="000080"/>
              <w:left w:val="nil"/>
              <w:bottom w:val="single" w:sz="8" w:space="0" w:color="000080"/>
              <w:right w:val="single" w:sz="8" w:space="0" w:color="000080"/>
            </w:tcBorders>
            <w:shd w:val="clear" w:color="auto" w:fill="auto"/>
            <w:vAlign w:val="center"/>
            <w:hideMark/>
          </w:tcPr>
          <w:p w14:paraId="1A3959BD" w14:textId="77777777" w:rsidR="009752EE" w:rsidRPr="009752EE" w:rsidRDefault="009752EE" w:rsidP="009752EE">
            <w:pPr>
              <w:jc w:val="center"/>
              <w:rPr>
                <w:rFonts w:cs="Calibri"/>
                <w:b/>
                <w:bCs/>
                <w:color w:val="000000"/>
                <w:lang w:val="en-IE" w:eastAsia="en-IE"/>
              </w:rPr>
            </w:pPr>
            <w:r w:rsidRPr="009752EE">
              <w:rPr>
                <w:rFonts w:cs="Calibri"/>
                <w:b/>
                <w:bCs/>
                <w:color w:val="000000"/>
                <w:lang w:val="en-IE" w:eastAsia="en-IE"/>
              </w:rPr>
              <w:t>162.7</w:t>
            </w:r>
          </w:p>
        </w:tc>
      </w:tr>
    </w:tbl>
    <w:p w14:paraId="6773172A" w14:textId="3D2A9E53" w:rsidR="00505BF6" w:rsidRDefault="00505BF6" w:rsidP="00375793">
      <w:pPr>
        <w:rPr>
          <w:b/>
        </w:rPr>
      </w:pPr>
    </w:p>
    <w:p w14:paraId="3F6CA904" w14:textId="77777777" w:rsidR="00505BF6" w:rsidRDefault="00505BF6" w:rsidP="00375793">
      <w:pPr>
        <w:rPr>
          <w:b/>
        </w:rPr>
      </w:pPr>
    </w:p>
    <w:p w14:paraId="469CD6B8" w14:textId="77777777" w:rsidR="00375793" w:rsidRPr="000F1FBF" w:rsidRDefault="00505BF6" w:rsidP="00375793">
      <w:pPr>
        <w:rPr>
          <w:b/>
        </w:rPr>
      </w:pPr>
      <w:r w:rsidRPr="000F1FBF">
        <w:rPr>
          <w:b/>
        </w:rPr>
        <w:t xml:space="preserve"> </w:t>
      </w:r>
      <w:r w:rsidR="00375793" w:rsidRPr="000F1FBF">
        <w:rPr>
          <w:b/>
        </w:rPr>
        <w:t>2.5 General Revenue Reserve:</w:t>
      </w:r>
    </w:p>
    <w:p w14:paraId="09E629A3" w14:textId="77777777" w:rsidR="00375793" w:rsidRDefault="00375793" w:rsidP="00375793"/>
    <w:p w14:paraId="5DD80F0E" w14:textId="77777777" w:rsidR="003B54F4" w:rsidRDefault="00375793" w:rsidP="00086A9A">
      <w:pPr>
        <w:spacing w:line="360" w:lineRule="auto"/>
        <w:jc w:val="both"/>
        <w:rPr>
          <w:rFonts w:cs="Arial"/>
        </w:rPr>
      </w:pPr>
      <w:r w:rsidRPr="00894771">
        <w:rPr>
          <w:rFonts w:cs="Arial"/>
        </w:rPr>
        <w:t>The general revenue reserve reflects the cumulative revenue account surplus or deficit. South Dublin is presently in surplus from Revenue Account operations over an extended period of time.  A deficit on the revenue account balance would indicate that the council had incurred more expenditure than income earned over a previous period - if a deficit is not addressed the council would ultimately encounter cash</w:t>
      </w:r>
      <w:r w:rsidR="00797BEF">
        <w:rPr>
          <w:rFonts w:cs="Arial"/>
        </w:rPr>
        <w:t xml:space="preserve"> </w:t>
      </w:r>
      <w:r w:rsidRPr="00894771">
        <w:rPr>
          <w:rFonts w:cs="Arial"/>
        </w:rPr>
        <w:t>flow problems</w:t>
      </w:r>
      <w:r w:rsidR="00F94498">
        <w:rPr>
          <w:rFonts w:cs="Arial"/>
        </w:rPr>
        <w:t>,</w:t>
      </w:r>
      <w:r w:rsidRPr="00894771">
        <w:rPr>
          <w:rFonts w:cs="Arial"/>
        </w:rPr>
        <w:t xml:space="preserve"> which would hinder future operations. </w:t>
      </w:r>
      <w:r w:rsidRPr="00894771">
        <w:rPr>
          <w:rFonts w:cs="Arial"/>
        </w:rPr>
        <w:br/>
      </w:r>
    </w:p>
    <w:p w14:paraId="44C678CF" w14:textId="7E406B3A" w:rsidR="00375793" w:rsidRDefault="004D378C" w:rsidP="00FA7BF6">
      <w:pPr>
        <w:spacing w:line="360" w:lineRule="auto"/>
        <w:jc w:val="both"/>
        <w:rPr>
          <w:rFonts w:cs="Arial"/>
        </w:rPr>
      </w:pPr>
      <w:r>
        <w:rPr>
          <w:rFonts w:cs="Arial"/>
        </w:rPr>
        <w:t>The council has a G</w:t>
      </w:r>
      <w:r w:rsidR="00375793" w:rsidRPr="00894771">
        <w:rPr>
          <w:rFonts w:cs="Arial"/>
        </w:rPr>
        <w:t xml:space="preserve">eneral </w:t>
      </w:r>
      <w:r>
        <w:rPr>
          <w:rFonts w:cs="Arial"/>
        </w:rPr>
        <w:t>R</w:t>
      </w:r>
      <w:r w:rsidR="00375793" w:rsidRPr="00894771">
        <w:rPr>
          <w:rFonts w:cs="Arial"/>
        </w:rPr>
        <w:t xml:space="preserve">eserve of </w:t>
      </w:r>
      <w:r w:rsidR="006B5005" w:rsidRPr="0065207C">
        <w:rPr>
          <w:rFonts w:cs="Arial"/>
        </w:rPr>
        <w:t>€</w:t>
      </w:r>
      <w:r w:rsidR="00505BF6">
        <w:rPr>
          <w:rFonts w:cs="Arial"/>
        </w:rPr>
        <w:t>1</w:t>
      </w:r>
      <w:r w:rsidR="00453EB4">
        <w:rPr>
          <w:rFonts w:cs="Arial"/>
        </w:rPr>
        <w:t>7</w:t>
      </w:r>
      <w:r w:rsidR="00505BF6">
        <w:rPr>
          <w:rFonts w:cs="Arial"/>
        </w:rPr>
        <w:t>.</w:t>
      </w:r>
      <w:r w:rsidR="00453EB4">
        <w:rPr>
          <w:rFonts w:cs="Arial"/>
        </w:rPr>
        <w:t>8</w:t>
      </w:r>
      <w:r w:rsidR="00505BF6">
        <w:rPr>
          <w:rFonts w:cs="Arial"/>
        </w:rPr>
        <w:t>m</w:t>
      </w:r>
      <w:r w:rsidR="006B5005">
        <w:rPr>
          <w:rFonts w:cs="Arial"/>
        </w:rPr>
        <w:t xml:space="preserve"> at 30th </w:t>
      </w:r>
      <w:r w:rsidR="00453EB4">
        <w:rPr>
          <w:rFonts w:cs="Arial"/>
        </w:rPr>
        <w:t xml:space="preserve">March </w:t>
      </w:r>
      <w:r w:rsidR="006B5005">
        <w:rPr>
          <w:rFonts w:cs="Arial"/>
        </w:rPr>
        <w:t>20</w:t>
      </w:r>
      <w:r w:rsidR="00412CAA">
        <w:rPr>
          <w:rFonts w:cs="Arial"/>
        </w:rPr>
        <w:t>2</w:t>
      </w:r>
      <w:r w:rsidR="00453EB4">
        <w:rPr>
          <w:rFonts w:cs="Arial"/>
        </w:rPr>
        <w:t>1</w:t>
      </w:r>
      <w:r w:rsidR="00F94498">
        <w:rPr>
          <w:rFonts w:cs="Arial"/>
        </w:rPr>
        <w:t>,</w:t>
      </w:r>
      <w:r w:rsidR="00375793" w:rsidRPr="00894771">
        <w:rPr>
          <w:rFonts w:cs="Arial"/>
        </w:rPr>
        <w:t xml:space="preserve"> which includes a </w:t>
      </w:r>
      <w:r w:rsidR="006B5005" w:rsidRPr="0065207C">
        <w:rPr>
          <w:rFonts w:cs="Arial"/>
        </w:rPr>
        <w:t>€</w:t>
      </w:r>
      <w:r w:rsidR="00453EB4">
        <w:rPr>
          <w:rFonts w:cs="Arial"/>
        </w:rPr>
        <w:t>5.6</w:t>
      </w:r>
      <w:r w:rsidR="00412CAA">
        <w:rPr>
          <w:rFonts w:cs="Arial"/>
        </w:rPr>
        <w:t>m</w:t>
      </w:r>
      <w:r w:rsidR="00375793" w:rsidRPr="00566B10">
        <w:rPr>
          <w:rFonts w:cs="Arial"/>
        </w:rPr>
        <w:t xml:space="preserve"> surplus </w:t>
      </w:r>
      <w:r w:rsidR="006B5005">
        <w:rPr>
          <w:rFonts w:cs="Arial"/>
        </w:rPr>
        <w:t xml:space="preserve">for the period to 30th </w:t>
      </w:r>
      <w:r w:rsidR="00453EB4">
        <w:rPr>
          <w:rFonts w:cs="Arial"/>
        </w:rPr>
        <w:t>March</w:t>
      </w:r>
      <w:r w:rsidR="006B5005">
        <w:rPr>
          <w:rFonts w:cs="Arial"/>
        </w:rPr>
        <w:t xml:space="preserve"> 20</w:t>
      </w:r>
      <w:r w:rsidR="00412CAA">
        <w:rPr>
          <w:rFonts w:cs="Arial"/>
        </w:rPr>
        <w:t>2</w:t>
      </w:r>
      <w:r w:rsidR="00453EB4">
        <w:rPr>
          <w:rFonts w:cs="Arial"/>
        </w:rPr>
        <w:t>1</w:t>
      </w:r>
      <w:r w:rsidR="00566B10">
        <w:rPr>
          <w:rFonts w:cs="Arial"/>
        </w:rPr>
        <w:t xml:space="preserve"> plus</w:t>
      </w:r>
      <w:r w:rsidR="00375793" w:rsidRPr="00894771">
        <w:rPr>
          <w:rFonts w:cs="Arial"/>
        </w:rPr>
        <w:t xml:space="preserve"> the </w:t>
      </w:r>
      <w:r>
        <w:rPr>
          <w:rFonts w:cs="Arial"/>
        </w:rPr>
        <w:t>R</w:t>
      </w:r>
      <w:r w:rsidR="00375793" w:rsidRPr="00894771">
        <w:rPr>
          <w:rFonts w:cs="Arial"/>
        </w:rPr>
        <w:t xml:space="preserve">evenue </w:t>
      </w:r>
      <w:r>
        <w:rPr>
          <w:rFonts w:cs="Arial"/>
        </w:rPr>
        <w:t>R</w:t>
      </w:r>
      <w:r w:rsidR="00375793" w:rsidRPr="00894771">
        <w:rPr>
          <w:rFonts w:cs="Arial"/>
        </w:rPr>
        <w:t xml:space="preserve">eserve of </w:t>
      </w:r>
      <w:r w:rsidR="00566B10" w:rsidRPr="00566B10">
        <w:rPr>
          <w:rFonts w:cs="Arial"/>
        </w:rPr>
        <w:t>€</w:t>
      </w:r>
      <w:r w:rsidR="00566B10" w:rsidRPr="0065207C">
        <w:rPr>
          <w:rFonts w:cs="Arial"/>
        </w:rPr>
        <w:t>12</w:t>
      </w:r>
      <w:r w:rsidR="00C1411C" w:rsidRPr="0065207C">
        <w:rPr>
          <w:rFonts w:cs="Arial"/>
        </w:rPr>
        <w:t>.</w:t>
      </w:r>
      <w:r w:rsidR="00505BF6">
        <w:rPr>
          <w:rFonts w:cs="Arial"/>
        </w:rPr>
        <w:t>2m</w:t>
      </w:r>
      <w:r w:rsidR="00375793" w:rsidRPr="00566B10">
        <w:rPr>
          <w:rFonts w:cs="Arial"/>
        </w:rPr>
        <w:t xml:space="preserve"> reported in the balance sheet to 31st December 20</w:t>
      </w:r>
      <w:r w:rsidR="00453EB4">
        <w:rPr>
          <w:rFonts w:cs="Arial"/>
        </w:rPr>
        <w:t>20</w:t>
      </w:r>
      <w:r w:rsidR="00375793" w:rsidRPr="00566B10">
        <w:rPr>
          <w:rFonts w:cs="Arial"/>
        </w:rPr>
        <w:t>.</w:t>
      </w:r>
      <w:r w:rsidR="00375793" w:rsidRPr="00894771">
        <w:rPr>
          <w:rFonts w:cs="Arial"/>
        </w:rPr>
        <w:t xml:space="preserve">  The surplus to </w:t>
      </w:r>
      <w:r w:rsidR="00375793" w:rsidRPr="00566B10">
        <w:rPr>
          <w:rFonts w:cs="Arial"/>
        </w:rPr>
        <w:t xml:space="preserve">30th </w:t>
      </w:r>
      <w:r w:rsidR="004D288C">
        <w:rPr>
          <w:rFonts w:cs="Arial"/>
        </w:rPr>
        <w:t>March</w:t>
      </w:r>
      <w:r w:rsidR="00375793" w:rsidRPr="00566B10">
        <w:rPr>
          <w:rFonts w:cs="Arial"/>
        </w:rPr>
        <w:t xml:space="preserve"> 20</w:t>
      </w:r>
      <w:r w:rsidR="00412CAA">
        <w:rPr>
          <w:rFonts w:cs="Arial"/>
        </w:rPr>
        <w:t>2</w:t>
      </w:r>
      <w:r w:rsidR="004D288C">
        <w:rPr>
          <w:rFonts w:cs="Arial"/>
        </w:rPr>
        <w:t>1</w:t>
      </w:r>
      <w:r w:rsidR="00375793" w:rsidRPr="00566B10">
        <w:rPr>
          <w:rFonts w:cs="Arial"/>
        </w:rPr>
        <w:t xml:space="preserve"> does not take accoun</w:t>
      </w:r>
      <w:r w:rsidR="00652DBD">
        <w:rPr>
          <w:rFonts w:cs="Arial"/>
        </w:rPr>
        <w:t xml:space="preserve">t of the seasonal nature of operations </w:t>
      </w:r>
      <w:r>
        <w:rPr>
          <w:rFonts w:cs="Arial"/>
        </w:rPr>
        <w:t>&amp;</w:t>
      </w:r>
      <w:r w:rsidR="00375793" w:rsidRPr="00566B10">
        <w:rPr>
          <w:rFonts w:cs="Arial"/>
        </w:rPr>
        <w:t xml:space="preserve"> services</w:t>
      </w:r>
      <w:r w:rsidR="00652DBD">
        <w:rPr>
          <w:rFonts w:cs="Arial"/>
        </w:rPr>
        <w:t xml:space="preserve"> and is not reflective of the likely year end outturn</w:t>
      </w:r>
      <w:r w:rsidR="00375793" w:rsidRPr="00566B10">
        <w:rPr>
          <w:rFonts w:cs="Arial"/>
        </w:rPr>
        <w:t>.</w:t>
      </w:r>
      <w:r w:rsidR="00375793" w:rsidRPr="005B7998">
        <w:rPr>
          <w:rFonts w:cs="Arial"/>
          <w:highlight w:val="yellow"/>
        </w:rPr>
        <w:t xml:space="preserve">  </w:t>
      </w:r>
    </w:p>
    <w:p w14:paraId="0D15662F" w14:textId="77777777" w:rsidR="00566B10" w:rsidRPr="00894771" w:rsidRDefault="00566B10" w:rsidP="00FA7BF6">
      <w:pPr>
        <w:spacing w:line="360" w:lineRule="auto"/>
        <w:jc w:val="both"/>
        <w:rPr>
          <w:rFonts w:cs="Arial"/>
        </w:rPr>
      </w:pPr>
    </w:p>
    <w:p w14:paraId="08FDC968" w14:textId="77777777" w:rsidR="00375793" w:rsidRDefault="00375793" w:rsidP="00FA7BF6">
      <w:pPr>
        <w:spacing w:line="360" w:lineRule="auto"/>
        <w:jc w:val="both"/>
        <w:rPr>
          <w:rFonts w:cs="Arial"/>
        </w:rPr>
      </w:pPr>
      <w:r w:rsidRPr="00894771">
        <w:rPr>
          <w:rFonts w:cs="Arial"/>
        </w:rPr>
        <w:t xml:space="preserve">Since </w:t>
      </w:r>
      <w:smartTag w:uri="urn:schemas-microsoft-com:office:smarttags" w:element="metricconverter">
        <w:smartTagPr>
          <w:attr w:name="ProductID" w:val="2009, in"/>
        </w:smartTagPr>
        <w:r w:rsidRPr="00894771">
          <w:rPr>
            <w:rFonts w:cs="Arial"/>
          </w:rPr>
          <w:t>2009, in</w:t>
        </w:r>
      </w:smartTag>
      <w:r w:rsidRPr="00894771">
        <w:rPr>
          <w:rFonts w:cs="Arial"/>
        </w:rPr>
        <w:t xml:space="preserve"> common with all local authorities, the Council has been subject to the provisions of Circular Fin 03/2009 Control and Monitoring of Local Authority </w:t>
      </w:r>
      <w:r w:rsidRPr="00894771">
        <w:rPr>
          <w:rFonts w:cs="Arial"/>
        </w:rPr>
        <w:lastRenderedPageBreak/>
        <w:t xml:space="preserve">Contribution to General Government Balance. This circular requires local </w:t>
      </w:r>
      <w:r w:rsidRPr="00F86BDE">
        <w:rPr>
          <w:rFonts w:cs="Arial"/>
        </w:rPr>
        <w:t xml:space="preserve">authorities to keep their capital, revenue and bank accounts in balance each year and as a result revenue and capital expenditure can only be incurred by local authorities in any financial year to the extent that corresponding income is received.  </w:t>
      </w:r>
    </w:p>
    <w:p w14:paraId="0B245454" w14:textId="77777777" w:rsidR="00566B10" w:rsidRDefault="00566B10" w:rsidP="00375793">
      <w:pPr>
        <w:spacing w:line="360" w:lineRule="auto"/>
        <w:rPr>
          <w:rFonts w:cs="Arial"/>
        </w:rPr>
      </w:pPr>
    </w:p>
    <w:p w14:paraId="0BC3E12D" w14:textId="77777777" w:rsidR="003B54F4" w:rsidRDefault="003B54F4" w:rsidP="00375793">
      <w:pPr>
        <w:spacing w:line="360" w:lineRule="auto"/>
        <w:rPr>
          <w:rFonts w:cs="Arial"/>
        </w:rPr>
      </w:pPr>
    </w:p>
    <w:p w14:paraId="74A239D6" w14:textId="40D82EC0" w:rsidR="00375793" w:rsidRPr="00CA1B71" w:rsidRDefault="00375793" w:rsidP="00CA1B71">
      <w:pPr>
        <w:spacing w:line="360" w:lineRule="auto"/>
        <w:ind w:left="720"/>
        <w:jc w:val="center"/>
        <w:rPr>
          <w:rFonts w:cs="Arial"/>
          <w:b/>
          <w:color w:val="FF0000"/>
          <w:u w:val="single"/>
        </w:rPr>
      </w:pPr>
      <w:r w:rsidRPr="00CA1B71">
        <w:rPr>
          <w:rFonts w:cs="Arial"/>
          <w:b/>
          <w:color w:val="FF0000"/>
          <w:u w:val="single"/>
        </w:rPr>
        <w:t xml:space="preserve">3. </w:t>
      </w:r>
      <w:r w:rsidR="00CA1B71" w:rsidRPr="00CA1B71">
        <w:rPr>
          <w:b/>
          <w:color w:val="FF0000"/>
          <w:u w:val="single"/>
        </w:rPr>
        <w:t>Estimation of Financial effect</w:t>
      </w:r>
      <w:r w:rsidRPr="00CA1B71">
        <w:rPr>
          <w:rFonts w:cs="Arial"/>
          <w:b/>
          <w:color w:val="FF0000"/>
          <w:u w:val="single"/>
        </w:rPr>
        <w:t>:</w:t>
      </w:r>
    </w:p>
    <w:p w14:paraId="11526A16" w14:textId="77777777" w:rsidR="00412CAA" w:rsidRDefault="00412CAA" w:rsidP="00375793">
      <w:pPr>
        <w:spacing w:line="360" w:lineRule="auto"/>
      </w:pPr>
    </w:p>
    <w:p w14:paraId="0E14D399" w14:textId="79FEE5A9" w:rsidR="00375793" w:rsidRDefault="00375793" w:rsidP="00375793">
      <w:pPr>
        <w:spacing w:line="360" w:lineRule="auto"/>
        <w:rPr>
          <w:rFonts w:cs="Arial"/>
          <w:b/>
          <w:u w:val="single"/>
        </w:rPr>
      </w:pPr>
      <w:r>
        <w:rPr>
          <w:rFonts w:cs="Arial"/>
          <w:b/>
          <w:u w:val="single"/>
        </w:rPr>
        <w:t>Economic i</w:t>
      </w:r>
      <w:r w:rsidRPr="00F93FC7">
        <w:rPr>
          <w:rFonts w:cs="Arial"/>
          <w:b/>
          <w:u w:val="single"/>
        </w:rPr>
        <w:t xml:space="preserve">mpact on </w:t>
      </w:r>
      <w:r>
        <w:rPr>
          <w:rFonts w:cs="Arial"/>
          <w:b/>
          <w:u w:val="single"/>
        </w:rPr>
        <w:t>South Dublin</w:t>
      </w:r>
      <w:r w:rsidRPr="00F93FC7">
        <w:rPr>
          <w:rFonts w:cs="Arial"/>
          <w:b/>
          <w:u w:val="single"/>
        </w:rPr>
        <w:t xml:space="preserve"> if </w:t>
      </w:r>
      <w:r>
        <w:rPr>
          <w:rFonts w:cs="Arial"/>
          <w:b/>
          <w:u w:val="single"/>
        </w:rPr>
        <w:t>the 20</w:t>
      </w:r>
      <w:r w:rsidR="00227BDE">
        <w:rPr>
          <w:rFonts w:cs="Arial"/>
          <w:b/>
          <w:u w:val="single"/>
        </w:rPr>
        <w:t>2</w:t>
      </w:r>
      <w:r w:rsidR="004946D8">
        <w:rPr>
          <w:rFonts w:cs="Arial"/>
          <w:b/>
          <w:u w:val="single"/>
        </w:rPr>
        <w:t>2</w:t>
      </w:r>
      <w:r>
        <w:rPr>
          <w:rFonts w:cs="Arial"/>
          <w:b/>
          <w:u w:val="single"/>
        </w:rPr>
        <w:t xml:space="preserve"> LPT is </w:t>
      </w:r>
      <w:r w:rsidR="00797BEF">
        <w:rPr>
          <w:rFonts w:cs="Arial"/>
          <w:b/>
          <w:u w:val="single"/>
        </w:rPr>
        <w:t>varied:</w:t>
      </w:r>
    </w:p>
    <w:tbl>
      <w:tblPr>
        <w:tblW w:w="8354" w:type="dxa"/>
        <w:tblLook w:val="04A0" w:firstRow="1" w:lastRow="0" w:firstColumn="1" w:lastColumn="0" w:noHBand="0" w:noVBand="1"/>
      </w:tblPr>
      <w:tblGrid>
        <w:gridCol w:w="4952"/>
        <w:gridCol w:w="1842"/>
        <w:gridCol w:w="1560"/>
      </w:tblGrid>
      <w:tr w:rsidR="004946D8" w:rsidRPr="004946D8" w14:paraId="4AA21EB3" w14:textId="77777777" w:rsidTr="004946D8">
        <w:trPr>
          <w:trHeight w:val="876"/>
        </w:trPr>
        <w:tc>
          <w:tcPr>
            <w:tcW w:w="4952" w:type="dxa"/>
            <w:tcBorders>
              <w:top w:val="single" w:sz="8" w:space="0" w:color="000080"/>
              <w:left w:val="single" w:sz="8" w:space="0" w:color="000080"/>
              <w:bottom w:val="single" w:sz="8" w:space="0" w:color="000080"/>
              <w:right w:val="single" w:sz="8" w:space="0" w:color="000080"/>
            </w:tcBorders>
            <w:shd w:val="clear" w:color="000000" w:fill="000080"/>
            <w:noWrap/>
            <w:vAlign w:val="center"/>
            <w:hideMark/>
          </w:tcPr>
          <w:p w14:paraId="53EEFCED" w14:textId="77777777" w:rsidR="004946D8" w:rsidRPr="004946D8" w:rsidRDefault="004946D8" w:rsidP="004946D8">
            <w:pPr>
              <w:rPr>
                <w:rFonts w:ascii="Arial" w:hAnsi="Arial" w:cs="Arial"/>
                <w:b/>
                <w:bCs/>
                <w:i/>
                <w:iCs/>
                <w:color w:val="000000"/>
                <w:sz w:val="18"/>
                <w:szCs w:val="18"/>
                <w:lang w:val="en-IE" w:eastAsia="en-IE"/>
              </w:rPr>
            </w:pPr>
            <w:r w:rsidRPr="004946D8">
              <w:rPr>
                <w:rFonts w:ascii="Arial" w:hAnsi="Arial" w:cs="Arial"/>
                <w:b/>
                <w:bCs/>
                <w:i/>
                <w:iCs/>
                <w:color w:val="000000"/>
                <w:sz w:val="18"/>
                <w:szCs w:val="18"/>
                <w:lang w:val="en-IE" w:eastAsia="en-IE"/>
              </w:rPr>
              <w:t> </w:t>
            </w:r>
          </w:p>
        </w:tc>
        <w:tc>
          <w:tcPr>
            <w:tcW w:w="1842" w:type="dxa"/>
            <w:tcBorders>
              <w:top w:val="single" w:sz="8" w:space="0" w:color="000080"/>
              <w:left w:val="nil"/>
              <w:bottom w:val="single" w:sz="8" w:space="0" w:color="000080"/>
              <w:right w:val="single" w:sz="8" w:space="0" w:color="000080"/>
            </w:tcBorders>
            <w:shd w:val="clear" w:color="000000" w:fill="000080"/>
            <w:vAlign w:val="center"/>
            <w:hideMark/>
          </w:tcPr>
          <w:p w14:paraId="1269E2D2" w14:textId="77777777" w:rsidR="004946D8" w:rsidRPr="004946D8" w:rsidRDefault="004946D8" w:rsidP="004946D8">
            <w:pPr>
              <w:jc w:val="center"/>
              <w:rPr>
                <w:rFonts w:ascii="Arial" w:hAnsi="Arial" w:cs="Arial"/>
                <w:b/>
                <w:bCs/>
                <w:color w:val="FFFFFF"/>
                <w:sz w:val="18"/>
                <w:szCs w:val="18"/>
                <w:lang w:val="en-IE" w:eastAsia="en-IE"/>
              </w:rPr>
            </w:pPr>
            <w:r w:rsidRPr="004946D8">
              <w:rPr>
                <w:rFonts w:ascii="Arial" w:hAnsi="Arial" w:cs="Arial"/>
                <w:b/>
                <w:bCs/>
                <w:color w:val="FFFFFF"/>
                <w:sz w:val="18"/>
                <w:szCs w:val="18"/>
                <w:lang w:val="en-IE" w:eastAsia="en-IE"/>
              </w:rPr>
              <w:t>South Dublin County Council</w:t>
            </w:r>
          </w:p>
        </w:tc>
        <w:tc>
          <w:tcPr>
            <w:tcW w:w="1560" w:type="dxa"/>
            <w:tcBorders>
              <w:top w:val="single" w:sz="8" w:space="0" w:color="000080"/>
              <w:left w:val="nil"/>
              <w:bottom w:val="single" w:sz="8" w:space="0" w:color="000080"/>
              <w:right w:val="single" w:sz="8" w:space="0" w:color="000080"/>
            </w:tcBorders>
            <w:shd w:val="clear" w:color="000000" w:fill="000080"/>
            <w:vAlign w:val="center"/>
            <w:hideMark/>
          </w:tcPr>
          <w:p w14:paraId="032F5A26" w14:textId="77777777" w:rsidR="004946D8" w:rsidRPr="004946D8" w:rsidRDefault="004946D8" w:rsidP="004946D8">
            <w:pPr>
              <w:jc w:val="center"/>
              <w:rPr>
                <w:rFonts w:ascii="Arial" w:hAnsi="Arial" w:cs="Arial"/>
                <w:b/>
                <w:bCs/>
                <w:color w:val="FFFFFF"/>
                <w:sz w:val="18"/>
                <w:szCs w:val="18"/>
                <w:lang w:val="en-IE" w:eastAsia="en-IE"/>
              </w:rPr>
            </w:pPr>
            <w:r w:rsidRPr="004946D8">
              <w:rPr>
                <w:rFonts w:ascii="Arial" w:hAnsi="Arial" w:cs="Arial"/>
                <w:b/>
                <w:bCs/>
                <w:color w:val="FFFFFF"/>
                <w:sz w:val="18"/>
                <w:szCs w:val="18"/>
                <w:lang w:val="en-IE" w:eastAsia="en-IE"/>
              </w:rPr>
              <w:t>Discretionary LPT Allocation 2022</w:t>
            </w:r>
          </w:p>
        </w:tc>
      </w:tr>
      <w:tr w:rsidR="004946D8" w:rsidRPr="004946D8" w14:paraId="61AB8E71"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48808A07" w14:textId="77777777" w:rsidR="004946D8" w:rsidRPr="004946D8" w:rsidRDefault="004946D8" w:rsidP="004946D8">
            <w:pPr>
              <w:rPr>
                <w:rFonts w:ascii="Calibri" w:hAnsi="Calibri" w:cs="Calibri"/>
                <w:color w:val="000000"/>
                <w:sz w:val="22"/>
                <w:szCs w:val="22"/>
                <w:lang w:val="en-IE" w:eastAsia="en-IE"/>
              </w:rPr>
            </w:pPr>
            <w:r w:rsidRPr="004946D8">
              <w:rPr>
                <w:rFonts w:ascii="Calibri" w:hAnsi="Calibri" w:cs="Calibri"/>
                <w:color w:val="000000"/>
                <w:sz w:val="22"/>
                <w:szCs w:val="22"/>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63C0696" w14:textId="77777777" w:rsidR="004946D8" w:rsidRPr="004946D8" w:rsidRDefault="004946D8" w:rsidP="004946D8">
            <w:pPr>
              <w:rPr>
                <w:rFonts w:ascii="Calibri" w:hAnsi="Calibri" w:cs="Calibri"/>
                <w:color w:val="000000"/>
                <w:sz w:val="22"/>
                <w:szCs w:val="22"/>
                <w:lang w:val="en-IE" w:eastAsia="en-IE"/>
              </w:rPr>
            </w:pPr>
            <w:r w:rsidRPr="004946D8">
              <w:rPr>
                <w:rFonts w:ascii="Calibri" w:hAnsi="Calibri" w:cs="Calibri"/>
                <w:color w:val="000000"/>
                <w:sz w:val="22"/>
                <w:szCs w:val="22"/>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47D56C61" w14:textId="77777777" w:rsidR="004946D8" w:rsidRPr="004946D8" w:rsidRDefault="004946D8" w:rsidP="004946D8">
            <w:pPr>
              <w:rPr>
                <w:rFonts w:ascii="Calibri" w:hAnsi="Calibri" w:cs="Calibri"/>
                <w:color w:val="000000"/>
                <w:sz w:val="22"/>
                <w:szCs w:val="22"/>
                <w:lang w:val="en-IE" w:eastAsia="en-IE"/>
              </w:rPr>
            </w:pPr>
            <w:r w:rsidRPr="004946D8">
              <w:rPr>
                <w:rFonts w:ascii="Calibri" w:hAnsi="Calibri" w:cs="Calibri"/>
                <w:color w:val="000000"/>
                <w:sz w:val="22"/>
                <w:szCs w:val="22"/>
                <w:lang w:val="en-IE" w:eastAsia="en-IE"/>
              </w:rPr>
              <w:t> </w:t>
            </w:r>
          </w:p>
        </w:tc>
      </w:tr>
      <w:tr w:rsidR="004946D8" w:rsidRPr="004946D8" w14:paraId="7777761B"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0D8470A7" w14:textId="77777777" w:rsidR="004946D8" w:rsidRPr="004946D8" w:rsidRDefault="004946D8" w:rsidP="004946D8">
            <w:pPr>
              <w:rPr>
                <w:rFonts w:ascii="Arial" w:hAnsi="Arial" w:cs="Arial"/>
                <w:b/>
                <w:bCs/>
                <w:color w:val="000000"/>
                <w:lang w:val="en-IE" w:eastAsia="en-IE"/>
              </w:rPr>
            </w:pPr>
            <w:r w:rsidRPr="004946D8">
              <w:rPr>
                <w:rFonts w:ascii="Arial" w:hAnsi="Arial" w:cs="Arial"/>
                <w:b/>
                <w:bCs/>
                <w:color w:val="000000"/>
                <w:lang w:val="en-IE" w:eastAsia="en-IE"/>
              </w:rPr>
              <w:t>Local Property Tax 2022</w:t>
            </w:r>
          </w:p>
        </w:tc>
        <w:tc>
          <w:tcPr>
            <w:tcW w:w="1842" w:type="dxa"/>
            <w:tcBorders>
              <w:top w:val="nil"/>
              <w:left w:val="nil"/>
              <w:bottom w:val="single" w:sz="8" w:space="0" w:color="000080"/>
              <w:right w:val="single" w:sz="8" w:space="0" w:color="000080"/>
            </w:tcBorders>
            <w:shd w:val="clear" w:color="auto" w:fill="auto"/>
            <w:noWrap/>
            <w:vAlign w:val="center"/>
            <w:hideMark/>
          </w:tcPr>
          <w:p w14:paraId="2CE263DA" w14:textId="77777777" w:rsidR="004946D8" w:rsidRPr="004946D8" w:rsidRDefault="004946D8" w:rsidP="004946D8">
            <w:pPr>
              <w:jc w:val="center"/>
              <w:rPr>
                <w:rFonts w:ascii="Arial" w:hAnsi="Arial" w:cs="Arial"/>
                <w:b/>
                <w:bCs/>
                <w:color w:val="000000"/>
                <w:lang w:val="en-IE" w:eastAsia="en-IE"/>
              </w:rPr>
            </w:pPr>
            <w:r w:rsidRPr="004946D8">
              <w:rPr>
                <w:rFonts w:ascii="Arial" w:hAnsi="Arial" w:cs="Arial"/>
                <w:b/>
                <w:bCs/>
                <w:color w:val="000000"/>
                <w:lang w:val="en-IE" w:eastAsia="en-IE"/>
              </w:rPr>
              <w:t>€31,967,059</w:t>
            </w:r>
          </w:p>
        </w:tc>
        <w:tc>
          <w:tcPr>
            <w:tcW w:w="1560" w:type="dxa"/>
            <w:tcBorders>
              <w:top w:val="nil"/>
              <w:left w:val="nil"/>
              <w:bottom w:val="single" w:sz="8" w:space="0" w:color="000080"/>
              <w:right w:val="single" w:sz="8" w:space="0" w:color="000080"/>
            </w:tcBorders>
            <w:shd w:val="clear" w:color="auto" w:fill="auto"/>
            <w:noWrap/>
            <w:vAlign w:val="center"/>
            <w:hideMark/>
          </w:tcPr>
          <w:p w14:paraId="041D69FB"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429768E3"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3CFAE54A"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03B2EEA"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7983711D"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48E935A1"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459F9E5D"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80% of LPT Retained</w:t>
            </w:r>
          </w:p>
        </w:tc>
        <w:tc>
          <w:tcPr>
            <w:tcW w:w="1842" w:type="dxa"/>
            <w:tcBorders>
              <w:top w:val="nil"/>
              <w:left w:val="nil"/>
              <w:bottom w:val="single" w:sz="8" w:space="0" w:color="000080"/>
              <w:right w:val="single" w:sz="8" w:space="0" w:color="000080"/>
            </w:tcBorders>
            <w:shd w:val="clear" w:color="auto" w:fill="auto"/>
            <w:noWrap/>
            <w:vAlign w:val="center"/>
            <w:hideMark/>
          </w:tcPr>
          <w:p w14:paraId="178B1DB8"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€25,573,647</w:t>
            </w:r>
          </w:p>
        </w:tc>
        <w:tc>
          <w:tcPr>
            <w:tcW w:w="1560" w:type="dxa"/>
            <w:tcBorders>
              <w:top w:val="nil"/>
              <w:left w:val="nil"/>
              <w:bottom w:val="single" w:sz="8" w:space="0" w:color="000080"/>
              <w:right w:val="single" w:sz="8" w:space="0" w:color="000080"/>
            </w:tcBorders>
            <w:shd w:val="clear" w:color="auto" w:fill="auto"/>
            <w:noWrap/>
            <w:vAlign w:val="center"/>
            <w:hideMark/>
          </w:tcPr>
          <w:p w14:paraId="4EFFDDB5"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64DD4A07"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35BB4944"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Reduction to State funding for Housing &amp; Roads Services</w:t>
            </w:r>
          </w:p>
        </w:tc>
        <w:tc>
          <w:tcPr>
            <w:tcW w:w="1842" w:type="dxa"/>
            <w:tcBorders>
              <w:top w:val="nil"/>
              <w:left w:val="nil"/>
              <w:bottom w:val="single" w:sz="8" w:space="0" w:color="000080"/>
              <w:right w:val="single" w:sz="8" w:space="0" w:color="000080"/>
            </w:tcBorders>
            <w:shd w:val="clear" w:color="auto" w:fill="auto"/>
            <w:noWrap/>
            <w:vAlign w:val="center"/>
            <w:hideMark/>
          </w:tcPr>
          <w:p w14:paraId="6CF67F21" w14:textId="77777777" w:rsidR="004946D8" w:rsidRPr="004946D8" w:rsidRDefault="004946D8" w:rsidP="004946D8">
            <w:pPr>
              <w:jc w:val="center"/>
              <w:rPr>
                <w:rFonts w:ascii="Arial" w:hAnsi="Arial" w:cs="Arial"/>
                <w:color w:val="FF0000"/>
                <w:lang w:val="en-IE" w:eastAsia="en-IE"/>
              </w:rPr>
            </w:pPr>
            <w:r w:rsidRPr="004946D8">
              <w:rPr>
                <w:rFonts w:ascii="Arial" w:hAnsi="Arial" w:cs="Arial"/>
                <w:color w:val="FF0000"/>
                <w:lang w:val="en-IE" w:eastAsia="en-IE"/>
              </w:rPr>
              <w:t>-€15,323,973</w:t>
            </w:r>
          </w:p>
        </w:tc>
        <w:tc>
          <w:tcPr>
            <w:tcW w:w="1560" w:type="dxa"/>
            <w:tcBorders>
              <w:top w:val="nil"/>
              <w:left w:val="nil"/>
              <w:bottom w:val="single" w:sz="8" w:space="0" w:color="000080"/>
              <w:right w:val="single" w:sz="8" w:space="0" w:color="000080"/>
            </w:tcBorders>
            <w:shd w:val="clear" w:color="auto" w:fill="auto"/>
            <w:noWrap/>
            <w:vAlign w:val="center"/>
            <w:hideMark/>
          </w:tcPr>
          <w:p w14:paraId="4778157D"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379F725D"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186DE4C8"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Baseline allocation</w:t>
            </w:r>
          </w:p>
        </w:tc>
        <w:tc>
          <w:tcPr>
            <w:tcW w:w="1842" w:type="dxa"/>
            <w:tcBorders>
              <w:top w:val="nil"/>
              <w:left w:val="nil"/>
              <w:bottom w:val="single" w:sz="8" w:space="0" w:color="000080"/>
              <w:right w:val="single" w:sz="8" w:space="0" w:color="000080"/>
            </w:tcBorders>
            <w:shd w:val="clear" w:color="auto" w:fill="auto"/>
            <w:noWrap/>
            <w:vAlign w:val="center"/>
            <w:hideMark/>
          </w:tcPr>
          <w:p w14:paraId="4AEE9842" w14:textId="77777777" w:rsidR="004946D8" w:rsidRPr="004946D8" w:rsidRDefault="004946D8" w:rsidP="004946D8">
            <w:pPr>
              <w:jc w:val="center"/>
              <w:rPr>
                <w:rFonts w:ascii="Arial" w:hAnsi="Arial" w:cs="Arial"/>
                <w:color w:val="FF0000"/>
                <w:u w:val="single"/>
                <w:lang w:val="en-IE" w:eastAsia="en-IE"/>
              </w:rPr>
            </w:pPr>
            <w:r w:rsidRPr="004946D8">
              <w:rPr>
                <w:rFonts w:ascii="Arial" w:hAnsi="Arial" w:cs="Arial"/>
                <w:color w:val="FF0000"/>
                <w:u w:val="single"/>
                <w:lang w:val="en-IE" w:eastAsia="en-IE"/>
              </w:rPr>
              <w:t>-€3,856,262</w:t>
            </w:r>
          </w:p>
        </w:tc>
        <w:tc>
          <w:tcPr>
            <w:tcW w:w="1560" w:type="dxa"/>
            <w:tcBorders>
              <w:top w:val="nil"/>
              <w:left w:val="nil"/>
              <w:bottom w:val="single" w:sz="8" w:space="0" w:color="000080"/>
              <w:right w:val="single" w:sz="8" w:space="0" w:color="000080"/>
            </w:tcBorders>
            <w:shd w:val="clear" w:color="auto" w:fill="auto"/>
            <w:vAlign w:val="center"/>
            <w:hideMark/>
          </w:tcPr>
          <w:p w14:paraId="3E540062"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3EFFBD2C"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7AF32D8D"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5E277D45"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2BFDB46E" w14:textId="77777777" w:rsidR="004946D8" w:rsidRPr="004946D8" w:rsidRDefault="004946D8" w:rsidP="004946D8">
            <w:pPr>
              <w:jc w:val="center"/>
              <w:rPr>
                <w:rFonts w:ascii="Arial" w:hAnsi="Arial" w:cs="Arial"/>
                <w:b/>
                <w:bCs/>
                <w:color w:val="000000"/>
                <w:lang w:val="en-IE" w:eastAsia="en-IE"/>
              </w:rPr>
            </w:pPr>
            <w:r w:rsidRPr="004946D8">
              <w:rPr>
                <w:rFonts w:ascii="Arial" w:hAnsi="Arial" w:cs="Arial"/>
                <w:b/>
                <w:bCs/>
                <w:color w:val="000000"/>
                <w:lang w:val="en-IE" w:eastAsia="en-IE"/>
              </w:rPr>
              <w:t> </w:t>
            </w:r>
          </w:p>
        </w:tc>
      </w:tr>
      <w:tr w:rsidR="004946D8" w:rsidRPr="004946D8" w14:paraId="75481568"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74091952"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Available for local activities &amp; projects if no change to the local property tax for 2022</w:t>
            </w:r>
          </w:p>
        </w:tc>
        <w:tc>
          <w:tcPr>
            <w:tcW w:w="1842" w:type="dxa"/>
            <w:tcBorders>
              <w:top w:val="nil"/>
              <w:left w:val="nil"/>
              <w:bottom w:val="single" w:sz="8" w:space="0" w:color="000080"/>
              <w:right w:val="single" w:sz="8" w:space="0" w:color="000080"/>
            </w:tcBorders>
            <w:shd w:val="clear" w:color="auto" w:fill="auto"/>
            <w:noWrap/>
            <w:vAlign w:val="center"/>
            <w:hideMark/>
          </w:tcPr>
          <w:p w14:paraId="1C1D64EA"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€6,393,412</w:t>
            </w:r>
          </w:p>
        </w:tc>
        <w:tc>
          <w:tcPr>
            <w:tcW w:w="1560" w:type="dxa"/>
            <w:tcBorders>
              <w:top w:val="nil"/>
              <w:left w:val="nil"/>
              <w:bottom w:val="single" w:sz="8" w:space="0" w:color="000080"/>
              <w:right w:val="single" w:sz="8" w:space="0" w:color="000080"/>
            </w:tcBorders>
            <w:shd w:val="clear" w:color="auto" w:fill="auto"/>
            <w:noWrap/>
            <w:vAlign w:val="center"/>
            <w:hideMark/>
          </w:tcPr>
          <w:p w14:paraId="2EB51DE1"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€6,393,412</w:t>
            </w:r>
          </w:p>
        </w:tc>
      </w:tr>
      <w:tr w:rsidR="004946D8" w:rsidRPr="004946D8" w14:paraId="044FEAF6"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696A1A5C"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268224B3"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69C6A25E"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 </w:t>
            </w:r>
          </w:p>
        </w:tc>
      </w:tr>
      <w:tr w:rsidR="004946D8" w:rsidRPr="004946D8" w14:paraId="1A4F2B9C"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08F587AF"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cost of a 5% local adjustment factor reduction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4E62ED69" w14:textId="77777777" w:rsidR="004946D8" w:rsidRPr="004946D8" w:rsidRDefault="004946D8" w:rsidP="004946D8">
            <w:pPr>
              <w:jc w:val="center"/>
              <w:rPr>
                <w:rFonts w:ascii="Arial" w:hAnsi="Arial" w:cs="Arial"/>
                <w:color w:val="FF0000"/>
                <w:lang w:val="en-IE" w:eastAsia="en-IE"/>
              </w:rPr>
            </w:pPr>
            <w:r w:rsidRPr="004946D8">
              <w:rPr>
                <w:rFonts w:ascii="Arial" w:hAnsi="Arial" w:cs="Arial"/>
                <w:color w:val="FF0000"/>
                <w:lang w:val="en-IE" w:eastAsia="en-IE"/>
              </w:rPr>
              <w:t>-€1,598,353</w:t>
            </w:r>
          </w:p>
        </w:tc>
        <w:tc>
          <w:tcPr>
            <w:tcW w:w="1560" w:type="dxa"/>
            <w:tcBorders>
              <w:top w:val="nil"/>
              <w:left w:val="nil"/>
              <w:bottom w:val="single" w:sz="8" w:space="0" w:color="000080"/>
              <w:right w:val="single" w:sz="8" w:space="0" w:color="000080"/>
            </w:tcBorders>
            <w:shd w:val="clear" w:color="auto" w:fill="auto"/>
            <w:noWrap/>
            <w:vAlign w:val="center"/>
            <w:hideMark/>
          </w:tcPr>
          <w:p w14:paraId="443AAEC2"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€4,795,059</w:t>
            </w:r>
          </w:p>
        </w:tc>
      </w:tr>
      <w:tr w:rsidR="004946D8" w:rsidRPr="004946D8" w14:paraId="32463B95"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6A48BF0F"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3D695EB"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5A420853"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 </w:t>
            </w:r>
          </w:p>
        </w:tc>
      </w:tr>
      <w:tr w:rsidR="004946D8" w:rsidRPr="004946D8" w14:paraId="48EC004C"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4B689E64"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cost of a 10% local adjustment factor reduction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07914550" w14:textId="77777777" w:rsidR="004946D8" w:rsidRPr="004946D8" w:rsidRDefault="004946D8" w:rsidP="004946D8">
            <w:pPr>
              <w:jc w:val="center"/>
              <w:rPr>
                <w:rFonts w:ascii="Arial" w:hAnsi="Arial" w:cs="Arial"/>
                <w:color w:val="FF0000"/>
                <w:lang w:val="en-IE" w:eastAsia="en-IE"/>
              </w:rPr>
            </w:pPr>
            <w:r w:rsidRPr="004946D8">
              <w:rPr>
                <w:rFonts w:ascii="Arial" w:hAnsi="Arial" w:cs="Arial"/>
                <w:color w:val="FF0000"/>
                <w:lang w:val="en-IE" w:eastAsia="en-IE"/>
              </w:rPr>
              <w:t>-€3,196,706</w:t>
            </w:r>
          </w:p>
        </w:tc>
        <w:tc>
          <w:tcPr>
            <w:tcW w:w="1560" w:type="dxa"/>
            <w:tcBorders>
              <w:top w:val="nil"/>
              <w:left w:val="nil"/>
              <w:bottom w:val="single" w:sz="8" w:space="0" w:color="000080"/>
              <w:right w:val="single" w:sz="8" w:space="0" w:color="000080"/>
            </w:tcBorders>
            <w:shd w:val="clear" w:color="auto" w:fill="auto"/>
            <w:noWrap/>
            <w:vAlign w:val="center"/>
            <w:hideMark/>
          </w:tcPr>
          <w:p w14:paraId="6B1CBF83"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€3,196,706</w:t>
            </w:r>
          </w:p>
        </w:tc>
      </w:tr>
      <w:tr w:rsidR="004946D8" w:rsidRPr="004946D8" w14:paraId="1B6BBB7E"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20D43941"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8A53DB2"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463C894A"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r>
      <w:tr w:rsidR="004946D8" w:rsidRPr="004946D8" w14:paraId="4361E125"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0F04A1ED"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cost of a 15% local adjustment factor reduction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3FC4A9B6" w14:textId="77777777" w:rsidR="004946D8" w:rsidRPr="004946D8" w:rsidRDefault="004946D8" w:rsidP="004946D8">
            <w:pPr>
              <w:jc w:val="center"/>
              <w:rPr>
                <w:rFonts w:ascii="Arial" w:hAnsi="Arial" w:cs="Arial"/>
                <w:color w:val="FF0000"/>
                <w:lang w:val="en-IE" w:eastAsia="en-IE"/>
              </w:rPr>
            </w:pPr>
            <w:r w:rsidRPr="004946D8">
              <w:rPr>
                <w:rFonts w:ascii="Arial" w:hAnsi="Arial" w:cs="Arial"/>
                <w:color w:val="FF0000"/>
                <w:lang w:val="en-IE" w:eastAsia="en-IE"/>
              </w:rPr>
              <w:t>-€4,795,059</w:t>
            </w:r>
          </w:p>
        </w:tc>
        <w:tc>
          <w:tcPr>
            <w:tcW w:w="1560" w:type="dxa"/>
            <w:tcBorders>
              <w:top w:val="nil"/>
              <w:left w:val="nil"/>
              <w:bottom w:val="single" w:sz="8" w:space="0" w:color="000080"/>
              <w:right w:val="single" w:sz="8" w:space="0" w:color="000080"/>
            </w:tcBorders>
            <w:shd w:val="clear" w:color="auto" w:fill="auto"/>
            <w:noWrap/>
            <w:vAlign w:val="center"/>
            <w:hideMark/>
          </w:tcPr>
          <w:p w14:paraId="76AF6FD3"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€1,598,353</w:t>
            </w:r>
          </w:p>
        </w:tc>
      </w:tr>
      <w:tr w:rsidR="004946D8" w:rsidRPr="004946D8" w14:paraId="765E4434"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1D072D13"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3758E335" w14:textId="77777777" w:rsidR="004946D8" w:rsidRPr="004946D8" w:rsidRDefault="004946D8" w:rsidP="004946D8">
            <w:pPr>
              <w:rPr>
                <w:rFonts w:ascii="Calibri" w:hAnsi="Calibri" w:cs="Calibri"/>
                <w:color w:val="000000"/>
                <w:lang w:val="en-IE" w:eastAsia="en-IE"/>
              </w:rPr>
            </w:pPr>
            <w:r w:rsidRPr="004946D8">
              <w:rPr>
                <w:rFonts w:ascii="Calibri" w:hAnsi="Calibri" w:cs="Calibri"/>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68112FA9"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 </w:t>
            </w:r>
          </w:p>
        </w:tc>
      </w:tr>
      <w:tr w:rsidR="004946D8" w:rsidRPr="004946D8" w14:paraId="4231E421"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196B689E"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additional income from a 5% local adjustment factor increase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48993443" w14:textId="77777777" w:rsidR="004946D8" w:rsidRPr="004946D8" w:rsidRDefault="004946D8" w:rsidP="004946D8">
            <w:pPr>
              <w:jc w:val="center"/>
              <w:rPr>
                <w:rFonts w:ascii="Arial" w:hAnsi="Arial" w:cs="Arial"/>
                <w:color w:val="0000FF"/>
                <w:lang w:val="en-IE" w:eastAsia="en-IE"/>
              </w:rPr>
            </w:pPr>
            <w:r w:rsidRPr="004946D8">
              <w:rPr>
                <w:rFonts w:ascii="Arial" w:hAnsi="Arial" w:cs="Arial"/>
                <w:color w:val="0000FF"/>
                <w:lang w:val="en-IE" w:eastAsia="en-IE"/>
              </w:rPr>
              <w:t>€1,598,353</w:t>
            </w:r>
          </w:p>
        </w:tc>
        <w:tc>
          <w:tcPr>
            <w:tcW w:w="1560" w:type="dxa"/>
            <w:tcBorders>
              <w:top w:val="nil"/>
              <w:left w:val="nil"/>
              <w:bottom w:val="single" w:sz="8" w:space="0" w:color="000080"/>
              <w:right w:val="single" w:sz="8" w:space="0" w:color="000080"/>
            </w:tcBorders>
            <w:shd w:val="clear" w:color="auto" w:fill="auto"/>
            <w:noWrap/>
            <w:vAlign w:val="center"/>
            <w:hideMark/>
          </w:tcPr>
          <w:p w14:paraId="3876D764"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€7,991,765</w:t>
            </w:r>
          </w:p>
        </w:tc>
      </w:tr>
      <w:tr w:rsidR="004946D8" w:rsidRPr="004946D8" w14:paraId="04B01D9A"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0F09A6CD"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050ADAA"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32230629"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 </w:t>
            </w:r>
          </w:p>
        </w:tc>
      </w:tr>
      <w:tr w:rsidR="004946D8" w:rsidRPr="004946D8" w14:paraId="29FD8E73"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736C627A"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additional income from a 10% local adjustment factor increase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200AD1BE" w14:textId="77777777" w:rsidR="004946D8" w:rsidRPr="004946D8" w:rsidRDefault="004946D8" w:rsidP="004946D8">
            <w:pPr>
              <w:jc w:val="center"/>
              <w:rPr>
                <w:rFonts w:ascii="Arial" w:hAnsi="Arial" w:cs="Arial"/>
                <w:color w:val="0000FF"/>
                <w:lang w:val="en-IE" w:eastAsia="en-IE"/>
              </w:rPr>
            </w:pPr>
            <w:r w:rsidRPr="004946D8">
              <w:rPr>
                <w:rFonts w:ascii="Arial" w:hAnsi="Arial" w:cs="Arial"/>
                <w:color w:val="0000FF"/>
                <w:lang w:val="en-IE" w:eastAsia="en-IE"/>
              </w:rPr>
              <w:t>€3,196,706</w:t>
            </w:r>
          </w:p>
        </w:tc>
        <w:tc>
          <w:tcPr>
            <w:tcW w:w="1560" w:type="dxa"/>
            <w:tcBorders>
              <w:top w:val="nil"/>
              <w:left w:val="nil"/>
              <w:bottom w:val="single" w:sz="8" w:space="0" w:color="000080"/>
              <w:right w:val="single" w:sz="8" w:space="0" w:color="000080"/>
            </w:tcBorders>
            <w:shd w:val="clear" w:color="auto" w:fill="auto"/>
            <w:noWrap/>
            <w:vAlign w:val="center"/>
            <w:hideMark/>
          </w:tcPr>
          <w:p w14:paraId="5A1D1D65"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€9,590,118</w:t>
            </w:r>
          </w:p>
        </w:tc>
      </w:tr>
      <w:tr w:rsidR="004946D8" w:rsidRPr="004946D8" w14:paraId="32CC27A4"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7F4E94AF"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842" w:type="dxa"/>
            <w:tcBorders>
              <w:top w:val="nil"/>
              <w:left w:val="nil"/>
              <w:bottom w:val="single" w:sz="8" w:space="0" w:color="000080"/>
              <w:right w:val="single" w:sz="8" w:space="0" w:color="000080"/>
            </w:tcBorders>
            <w:shd w:val="clear" w:color="auto" w:fill="auto"/>
            <w:noWrap/>
            <w:vAlign w:val="center"/>
            <w:hideMark/>
          </w:tcPr>
          <w:p w14:paraId="04AB05A6"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 </w:t>
            </w:r>
          </w:p>
        </w:tc>
        <w:tc>
          <w:tcPr>
            <w:tcW w:w="1560" w:type="dxa"/>
            <w:tcBorders>
              <w:top w:val="nil"/>
              <w:left w:val="nil"/>
              <w:bottom w:val="single" w:sz="8" w:space="0" w:color="000080"/>
              <w:right w:val="single" w:sz="8" w:space="0" w:color="000080"/>
            </w:tcBorders>
            <w:shd w:val="clear" w:color="auto" w:fill="auto"/>
            <w:noWrap/>
            <w:vAlign w:val="center"/>
            <w:hideMark/>
          </w:tcPr>
          <w:p w14:paraId="30045F63"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 </w:t>
            </w:r>
          </w:p>
        </w:tc>
      </w:tr>
      <w:tr w:rsidR="004946D8" w:rsidRPr="004946D8" w14:paraId="769D50E5" w14:textId="77777777" w:rsidTr="004946D8">
        <w:trPr>
          <w:trHeight w:val="300"/>
        </w:trPr>
        <w:tc>
          <w:tcPr>
            <w:tcW w:w="4952" w:type="dxa"/>
            <w:tcBorders>
              <w:top w:val="nil"/>
              <w:left w:val="single" w:sz="8" w:space="0" w:color="000080"/>
              <w:bottom w:val="single" w:sz="8" w:space="0" w:color="000080"/>
              <w:right w:val="single" w:sz="8" w:space="0" w:color="000080"/>
            </w:tcBorders>
            <w:shd w:val="clear" w:color="auto" w:fill="auto"/>
            <w:noWrap/>
            <w:vAlign w:val="center"/>
            <w:hideMark/>
          </w:tcPr>
          <w:p w14:paraId="5D198DC7" w14:textId="77777777" w:rsidR="004946D8" w:rsidRPr="004946D8" w:rsidRDefault="004946D8" w:rsidP="004946D8">
            <w:pPr>
              <w:rPr>
                <w:rFonts w:ascii="Arial" w:hAnsi="Arial" w:cs="Arial"/>
                <w:color w:val="000000"/>
                <w:lang w:val="en-IE" w:eastAsia="en-IE"/>
              </w:rPr>
            </w:pPr>
            <w:r w:rsidRPr="004946D8">
              <w:rPr>
                <w:rFonts w:ascii="Arial" w:hAnsi="Arial" w:cs="Arial"/>
                <w:color w:val="000000"/>
                <w:lang w:val="en-IE" w:eastAsia="en-IE"/>
              </w:rPr>
              <w:t>Projected additional income from a 15% local adjustment factor increase in 2022</w:t>
            </w:r>
          </w:p>
        </w:tc>
        <w:tc>
          <w:tcPr>
            <w:tcW w:w="1842" w:type="dxa"/>
            <w:tcBorders>
              <w:top w:val="nil"/>
              <w:left w:val="nil"/>
              <w:bottom w:val="single" w:sz="8" w:space="0" w:color="000080"/>
              <w:right w:val="single" w:sz="8" w:space="0" w:color="000080"/>
            </w:tcBorders>
            <w:shd w:val="clear" w:color="auto" w:fill="auto"/>
            <w:noWrap/>
            <w:vAlign w:val="center"/>
            <w:hideMark/>
          </w:tcPr>
          <w:p w14:paraId="3860E4E8" w14:textId="77777777" w:rsidR="004946D8" w:rsidRPr="004946D8" w:rsidRDefault="004946D8" w:rsidP="004946D8">
            <w:pPr>
              <w:jc w:val="center"/>
              <w:rPr>
                <w:rFonts w:ascii="Arial" w:hAnsi="Arial" w:cs="Arial"/>
                <w:color w:val="0000FF"/>
                <w:lang w:val="en-IE" w:eastAsia="en-IE"/>
              </w:rPr>
            </w:pPr>
            <w:r w:rsidRPr="004946D8">
              <w:rPr>
                <w:rFonts w:ascii="Arial" w:hAnsi="Arial" w:cs="Arial"/>
                <w:color w:val="0000FF"/>
                <w:lang w:val="en-IE" w:eastAsia="en-IE"/>
              </w:rPr>
              <w:t>€4,795,059</w:t>
            </w:r>
          </w:p>
        </w:tc>
        <w:tc>
          <w:tcPr>
            <w:tcW w:w="1560" w:type="dxa"/>
            <w:tcBorders>
              <w:top w:val="nil"/>
              <w:left w:val="nil"/>
              <w:bottom w:val="single" w:sz="8" w:space="0" w:color="000080"/>
              <w:right w:val="single" w:sz="8" w:space="0" w:color="000080"/>
            </w:tcBorders>
            <w:shd w:val="clear" w:color="auto" w:fill="auto"/>
            <w:noWrap/>
            <w:vAlign w:val="center"/>
            <w:hideMark/>
          </w:tcPr>
          <w:p w14:paraId="783A7B69" w14:textId="77777777" w:rsidR="004946D8" w:rsidRPr="004946D8" w:rsidRDefault="004946D8" w:rsidP="004946D8">
            <w:pPr>
              <w:jc w:val="center"/>
              <w:rPr>
                <w:rFonts w:ascii="Arial" w:hAnsi="Arial" w:cs="Arial"/>
                <w:color w:val="000000"/>
                <w:lang w:val="en-IE" w:eastAsia="en-IE"/>
              </w:rPr>
            </w:pPr>
            <w:r w:rsidRPr="004946D8">
              <w:rPr>
                <w:rFonts w:ascii="Arial" w:hAnsi="Arial" w:cs="Arial"/>
                <w:color w:val="000000"/>
                <w:lang w:val="en-IE" w:eastAsia="en-IE"/>
              </w:rPr>
              <w:t>€11,188,471</w:t>
            </w:r>
          </w:p>
        </w:tc>
      </w:tr>
    </w:tbl>
    <w:p w14:paraId="37764839" w14:textId="250F702A" w:rsidR="00375793" w:rsidRDefault="00375793" w:rsidP="00375793"/>
    <w:p w14:paraId="4FBD79D0" w14:textId="77777777" w:rsidR="005B51FD" w:rsidRDefault="005B51FD" w:rsidP="00F9348B">
      <w:pPr>
        <w:ind w:left="-1260"/>
        <w:jc w:val="both"/>
      </w:pPr>
    </w:p>
    <w:p w14:paraId="32F708DD" w14:textId="2B78B454" w:rsidR="005B51FD" w:rsidRDefault="00375793" w:rsidP="00F42D5F">
      <w:pPr>
        <w:spacing w:line="360" w:lineRule="auto"/>
        <w:jc w:val="both"/>
      </w:pPr>
      <w:r w:rsidRPr="003B54F4">
        <w:t xml:space="preserve">A reduction to the basic rate of LPT must be funded from the discretionary element of the LPT allocation.  The discretionary element of LPT allocated to South Dublin </w:t>
      </w:r>
      <w:r w:rsidR="003B54F4">
        <w:t xml:space="preserve">County Council for </w:t>
      </w:r>
      <w:r w:rsidRPr="003B54F4">
        <w:t>20</w:t>
      </w:r>
      <w:r w:rsidR="004174E5">
        <w:t>2</w:t>
      </w:r>
      <w:r w:rsidR="004946D8">
        <w:t>2</w:t>
      </w:r>
      <w:r w:rsidRPr="003B54F4">
        <w:t xml:space="preserve"> will reduce from €6,</w:t>
      </w:r>
      <w:r w:rsidR="004174E5">
        <w:t>3</w:t>
      </w:r>
      <w:r w:rsidR="004946D8">
        <w:t>9</w:t>
      </w:r>
      <w:r w:rsidR="00AF1B12">
        <w:t>3,</w:t>
      </w:r>
      <w:r w:rsidR="004946D8">
        <w:t>412</w:t>
      </w:r>
      <w:r w:rsidRPr="003B54F4">
        <w:t xml:space="preserve"> to €1</w:t>
      </w:r>
      <w:r w:rsidR="00C02A5F">
        <w:t>,</w:t>
      </w:r>
      <w:r w:rsidR="00C56734">
        <w:t>5</w:t>
      </w:r>
      <w:r w:rsidR="00AF1B12">
        <w:t>9</w:t>
      </w:r>
      <w:r w:rsidR="004946D8">
        <w:t>8</w:t>
      </w:r>
      <w:r w:rsidR="00AF1B12">
        <w:t>,</w:t>
      </w:r>
      <w:r w:rsidR="004946D8">
        <w:t>353</w:t>
      </w:r>
      <w:r w:rsidRPr="003B54F4">
        <w:t xml:space="preserve"> if the maximum reduction is applied.</w:t>
      </w:r>
      <w:r w:rsidR="004D288C">
        <w:t xml:space="preserve"> A reduction in the LPT local factor will reduce the level of funding available to the local authority to provide its services, particularly in the area’s such as Housing services, </w:t>
      </w:r>
      <w:r w:rsidR="00237859">
        <w:t>maintenance</w:t>
      </w:r>
      <w:r w:rsidR="004D288C">
        <w:t xml:space="preserve"> and improvement of the public </w:t>
      </w:r>
      <w:r w:rsidR="004D288C">
        <w:lastRenderedPageBreak/>
        <w:t>realm, improvement</w:t>
      </w:r>
      <w:r w:rsidR="00237859">
        <w:t xml:space="preserve"> &amp; promotion</w:t>
      </w:r>
      <w:r w:rsidR="004D288C">
        <w:t xml:space="preserve"> </w:t>
      </w:r>
      <w:r w:rsidR="00237859">
        <w:t>of</w:t>
      </w:r>
      <w:r w:rsidR="004D288C">
        <w:t xml:space="preserve"> </w:t>
      </w:r>
      <w:r w:rsidR="00237859">
        <w:t xml:space="preserve">the </w:t>
      </w:r>
      <w:r w:rsidR="004D288C">
        <w:t>economic development</w:t>
      </w:r>
      <w:r w:rsidR="00237859">
        <w:t xml:space="preserve"> of the county and community related projects.</w:t>
      </w:r>
      <w:r w:rsidR="004D288C">
        <w:t xml:space="preserve"> On the other hand an increase in the LPT local adjustment factor would allow the Local Authority to accelerate the its services delivery plans, </w:t>
      </w:r>
      <w:r w:rsidR="00237859">
        <w:t>for</w:t>
      </w:r>
      <w:r w:rsidR="004D288C">
        <w:t xml:space="preserve"> the areas referred to above.</w:t>
      </w:r>
    </w:p>
    <w:p w14:paraId="4A1BDA21" w14:textId="77777777" w:rsidR="0092641F" w:rsidRDefault="0092641F" w:rsidP="0092641F">
      <w:pPr>
        <w:ind w:left="-1260"/>
        <w:jc w:val="both"/>
      </w:pPr>
    </w:p>
    <w:p w14:paraId="298C07A5" w14:textId="77777777" w:rsidR="00692727" w:rsidRDefault="00692727" w:rsidP="0092641F">
      <w:pPr>
        <w:ind w:left="-1260"/>
        <w:jc w:val="both"/>
      </w:pPr>
    </w:p>
    <w:p w14:paraId="7C0E0EBE" w14:textId="77777777" w:rsidR="0092641F" w:rsidRPr="00CA1B71" w:rsidRDefault="0092641F" w:rsidP="00CA1B71">
      <w:pPr>
        <w:ind w:left="-1260" w:firstLine="1260"/>
        <w:jc w:val="center"/>
        <w:rPr>
          <w:rFonts w:cs="Helvetica"/>
          <w:b/>
          <w:color w:val="FF0000"/>
          <w:kern w:val="36"/>
          <w:u w:val="single"/>
        </w:rPr>
      </w:pPr>
      <w:r w:rsidRPr="00CA1B71">
        <w:rPr>
          <w:rFonts w:cs="Helvetica"/>
          <w:b/>
          <w:color w:val="FF0000"/>
          <w:kern w:val="36"/>
          <w:u w:val="single"/>
        </w:rPr>
        <w:t>4. Report on Outcome of Public Consultation Process</w:t>
      </w:r>
    </w:p>
    <w:p w14:paraId="42588C01" w14:textId="77777777" w:rsidR="0092641F" w:rsidRPr="005B51FD" w:rsidRDefault="0092641F" w:rsidP="0092641F">
      <w:pPr>
        <w:ind w:left="-1260"/>
        <w:jc w:val="both"/>
      </w:pPr>
    </w:p>
    <w:p w14:paraId="59FFDB4D" w14:textId="36398677" w:rsidR="0092641F" w:rsidRDefault="0092641F" w:rsidP="0092641F">
      <w:pPr>
        <w:autoSpaceDE w:val="0"/>
        <w:autoSpaceDN w:val="0"/>
        <w:adjustRightInd w:val="0"/>
        <w:spacing w:line="360" w:lineRule="auto"/>
        <w:jc w:val="both"/>
        <w:rPr>
          <w:rFonts w:cs="Arial"/>
        </w:rPr>
      </w:pPr>
      <w:r w:rsidRPr="00CA38B0">
        <w:rPr>
          <w:rFonts w:cs="Arial"/>
        </w:rPr>
        <w:t>The Local Property Tax (Local Adjustmen</w:t>
      </w:r>
      <w:r>
        <w:rPr>
          <w:rFonts w:cs="Arial"/>
        </w:rPr>
        <w:t>t Factor) Regulations 2014</w:t>
      </w:r>
      <w:r w:rsidR="004946D8">
        <w:rPr>
          <w:rFonts w:cs="Arial"/>
        </w:rPr>
        <w:t xml:space="preserve"> as amended by the </w:t>
      </w:r>
      <w:r w:rsidR="004946D8" w:rsidRPr="00CA38B0">
        <w:rPr>
          <w:rFonts w:cs="Arial"/>
        </w:rPr>
        <w:t>Local Property Tax (Local Adjustmen</w:t>
      </w:r>
      <w:r w:rsidR="004946D8">
        <w:rPr>
          <w:rFonts w:cs="Arial"/>
        </w:rPr>
        <w:t>t Factor)</w:t>
      </w:r>
      <w:r w:rsidR="00CA254D">
        <w:rPr>
          <w:rFonts w:cs="Arial"/>
        </w:rPr>
        <w:t xml:space="preserve"> </w:t>
      </w:r>
      <w:r w:rsidR="004946D8">
        <w:rPr>
          <w:rFonts w:cs="Arial"/>
        </w:rPr>
        <w:t xml:space="preserve">(Amendment) Regulations 2021 </w:t>
      </w:r>
      <w:r>
        <w:rPr>
          <w:rFonts w:cs="Arial"/>
        </w:rPr>
        <w:t xml:space="preserve"> made </w:t>
      </w:r>
      <w:r w:rsidRPr="00CA38B0">
        <w:rPr>
          <w:rFonts w:cs="Arial"/>
        </w:rPr>
        <w:t xml:space="preserve">provision for a minimum consultation period of </w:t>
      </w:r>
      <w:r w:rsidR="004946D8">
        <w:rPr>
          <w:rFonts w:cs="Arial"/>
        </w:rPr>
        <w:t>14</w:t>
      </w:r>
      <w:r w:rsidRPr="00CA38B0">
        <w:rPr>
          <w:rFonts w:cs="Arial"/>
        </w:rPr>
        <w:t xml:space="preserve"> days by a local authority with the public in its administrative area. The consultation process was initiated to facilitate members of the public</w:t>
      </w:r>
      <w:r>
        <w:rPr>
          <w:rFonts w:cs="Arial"/>
        </w:rPr>
        <w:t xml:space="preserve"> to</w:t>
      </w:r>
      <w:r w:rsidRPr="00CA38B0">
        <w:rPr>
          <w:rFonts w:cs="Arial"/>
        </w:rPr>
        <w:t xml:space="preserve"> make known their views about the potential impact of varying the LPT on individuals, businesses and local authority services.</w:t>
      </w:r>
    </w:p>
    <w:p w14:paraId="33DF9866" w14:textId="77777777" w:rsidR="00257C9C" w:rsidRPr="00CA38B0" w:rsidRDefault="00257C9C" w:rsidP="0092641F">
      <w:pPr>
        <w:autoSpaceDE w:val="0"/>
        <w:autoSpaceDN w:val="0"/>
        <w:adjustRightInd w:val="0"/>
        <w:spacing w:line="360" w:lineRule="auto"/>
        <w:jc w:val="both"/>
        <w:rPr>
          <w:rFonts w:cs="Arial"/>
        </w:rPr>
      </w:pPr>
    </w:p>
    <w:p w14:paraId="08C9DF05" w14:textId="0C32901B" w:rsidR="0092641F" w:rsidRPr="00CA38B0" w:rsidRDefault="0092641F" w:rsidP="0092641F">
      <w:pPr>
        <w:autoSpaceDE w:val="0"/>
        <w:autoSpaceDN w:val="0"/>
        <w:adjustRightInd w:val="0"/>
        <w:spacing w:line="360" w:lineRule="auto"/>
        <w:jc w:val="both"/>
        <w:rPr>
          <w:rFonts w:cs="Arial"/>
        </w:rPr>
      </w:pPr>
      <w:r w:rsidRPr="00CA38B0">
        <w:rPr>
          <w:rFonts w:cs="Arial"/>
        </w:rPr>
        <w:t>This Council commenced the publ</w:t>
      </w:r>
      <w:r>
        <w:rPr>
          <w:rFonts w:cs="Arial"/>
        </w:rPr>
        <w:t xml:space="preserve">ic consultation process on the </w:t>
      </w:r>
      <w:r w:rsidR="00CA254D">
        <w:rPr>
          <w:rFonts w:cs="Arial"/>
        </w:rPr>
        <w:t>15</w:t>
      </w:r>
      <w:r w:rsidR="00CA254D" w:rsidRPr="00CA254D">
        <w:rPr>
          <w:rFonts w:cs="Arial"/>
          <w:vertAlign w:val="superscript"/>
        </w:rPr>
        <w:t>th</w:t>
      </w:r>
      <w:r w:rsidR="00CA254D">
        <w:rPr>
          <w:rFonts w:cs="Arial"/>
        </w:rPr>
        <w:t xml:space="preserve"> June 2021 </w:t>
      </w:r>
      <w:r w:rsidRPr="00CA38B0">
        <w:rPr>
          <w:rFonts w:cs="Arial"/>
        </w:rPr>
        <w:t xml:space="preserve">by the placing of a notice in the local and national newspapers and on the </w:t>
      </w:r>
      <w:r w:rsidR="00730A4C" w:rsidRPr="00CA38B0">
        <w:rPr>
          <w:rFonts w:cs="Arial"/>
        </w:rPr>
        <w:t>Council’s,</w:t>
      </w:r>
      <w:r w:rsidRPr="00CA38B0">
        <w:rPr>
          <w:rFonts w:cs="Arial"/>
        </w:rPr>
        <w:t xml:space="preserve"> website inviting submissions from the </w:t>
      </w:r>
      <w:r>
        <w:rPr>
          <w:rFonts w:cs="Arial"/>
        </w:rPr>
        <w:t xml:space="preserve">public with a closing date of </w:t>
      </w:r>
      <w:r w:rsidR="00CA254D">
        <w:rPr>
          <w:rFonts w:cs="Arial"/>
        </w:rPr>
        <w:t>30</w:t>
      </w:r>
      <w:r w:rsidR="00CA254D" w:rsidRPr="00CA254D">
        <w:rPr>
          <w:rFonts w:cs="Arial"/>
          <w:vertAlign w:val="superscript"/>
        </w:rPr>
        <w:t>th</w:t>
      </w:r>
      <w:r w:rsidR="00CA254D">
        <w:rPr>
          <w:rFonts w:cs="Arial"/>
        </w:rPr>
        <w:t xml:space="preserve"> June</w:t>
      </w:r>
      <w:r>
        <w:rPr>
          <w:rFonts w:cs="Arial"/>
        </w:rPr>
        <w:t xml:space="preserve"> 20</w:t>
      </w:r>
      <w:r w:rsidR="00AF1B12">
        <w:rPr>
          <w:rFonts w:cs="Arial"/>
        </w:rPr>
        <w:t>2</w:t>
      </w:r>
      <w:r w:rsidR="00CA254D">
        <w:rPr>
          <w:rFonts w:cs="Arial"/>
        </w:rPr>
        <w:t>1</w:t>
      </w:r>
      <w:r w:rsidRPr="00CA38B0">
        <w:rPr>
          <w:rFonts w:cs="Arial"/>
        </w:rPr>
        <w:t xml:space="preserve"> for receipt of submissions. An online submissions facility was provided on the Council’s website, and alerts were posted on Twitter and Facebook.</w:t>
      </w:r>
    </w:p>
    <w:p w14:paraId="437D662F" w14:textId="77777777" w:rsidR="0092641F" w:rsidRDefault="0092641F" w:rsidP="0092641F">
      <w:pPr>
        <w:jc w:val="both"/>
        <w:rPr>
          <w:rFonts w:cs="Arial"/>
        </w:rPr>
      </w:pPr>
      <w:r w:rsidRPr="00CA38B0">
        <w:rPr>
          <w:rFonts w:cs="Arial"/>
        </w:rPr>
        <w:t>A copy of the notice published is set out below:</w:t>
      </w:r>
    </w:p>
    <w:p w14:paraId="3CC5E8B9" w14:textId="499DFBFD" w:rsidR="0092641F" w:rsidRPr="00CA38B0" w:rsidRDefault="0092641F" w:rsidP="0092641F">
      <w:pPr>
        <w:jc w:val="both"/>
        <w:rPr>
          <w:rFonts w:cs="Arial"/>
        </w:rPr>
      </w:pPr>
    </w:p>
    <w:p w14:paraId="0F7DDE45" w14:textId="77777777" w:rsidR="0092641F" w:rsidRPr="00CA38B0" w:rsidRDefault="0092641F" w:rsidP="0092641F">
      <w:pPr>
        <w:rPr>
          <w:rFonts w:cs="Arial"/>
        </w:rPr>
      </w:pPr>
    </w:p>
    <w:p w14:paraId="1A252E99" w14:textId="77777777" w:rsidR="000C386A" w:rsidRDefault="000C386A" w:rsidP="0092641F">
      <w:pPr>
        <w:autoSpaceDE w:val="0"/>
        <w:autoSpaceDN w:val="0"/>
        <w:adjustRightInd w:val="0"/>
        <w:rPr>
          <w:rFonts w:cs="Arial"/>
          <w:b/>
        </w:rPr>
      </w:pPr>
    </w:p>
    <w:p w14:paraId="1F795B8E" w14:textId="77777777" w:rsidR="00790DCD" w:rsidRPr="00CA38B0" w:rsidRDefault="00790DCD" w:rsidP="00790DCD">
      <w:pPr>
        <w:autoSpaceDE w:val="0"/>
        <w:autoSpaceDN w:val="0"/>
        <w:adjustRightInd w:val="0"/>
        <w:rPr>
          <w:rFonts w:cs="Arial"/>
          <w:b/>
        </w:rPr>
      </w:pPr>
      <w:r w:rsidRPr="00CA38B0">
        <w:rPr>
          <w:rFonts w:cs="Arial"/>
          <w:b/>
        </w:rPr>
        <w:t>Submissions:</w:t>
      </w:r>
    </w:p>
    <w:p w14:paraId="0DBA245D" w14:textId="0CAC4FBC" w:rsidR="00790DCD" w:rsidRPr="00CA38B0" w:rsidRDefault="00790DCD" w:rsidP="00790DCD">
      <w:pPr>
        <w:autoSpaceDE w:val="0"/>
        <w:autoSpaceDN w:val="0"/>
        <w:adjustRightInd w:val="0"/>
        <w:spacing w:line="360" w:lineRule="auto"/>
        <w:rPr>
          <w:rFonts w:cs="Arial"/>
        </w:rPr>
      </w:pPr>
      <w:r>
        <w:rPr>
          <w:rFonts w:cs="Arial"/>
        </w:rPr>
        <w:t xml:space="preserve">A total of </w:t>
      </w:r>
      <w:r w:rsidR="001609CF">
        <w:rPr>
          <w:rFonts w:cs="Arial"/>
        </w:rPr>
        <w:t xml:space="preserve">15 </w:t>
      </w:r>
      <w:r w:rsidRPr="00CA38B0">
        <w:rPr>
          <w:rFonts w:cs="Arial"/>
        </w:rPr>
        <w:t>submissions were received by the closing date.</w:t>
      </w:r>
    </w:p>
    <w:p w14:paraId="3911CC17" w14:textId="166F383A" w:rsidR="00790DCD" w:rsidRDefault="00790DCD" w:rsidP="00790DCD">
      <w:pPr>
        <w:spacing w:line="360" w:lineRule="auto"/>
        <w:rPr>
          <w:rFonts w:cs="Arial"/>
        </w:rPr>
      </w:pPr>
      <w:r w:rsidRPr="00CA38B0">
        <w:rPr>
          <w:rFonts w:cs="Arial"/>
        </w:rPr>
        <w:t>The submissions are summarised as follows:</w:t>
      </w:r>
    </w:p>
    <w:p w14:paraId="43CCC95C" w14:textId="2255A26B" w:rsidR="001609CF" w:rsidRDefault="001609CF" w:rsidP="00790DCD">
      <w:pPr>
        <w:spacing w:line="360" w:lineRule="auto"/>
        <w:rPr>
          <w:rFonts w:cs="Arial"/>
        </w:rPr>
      </w:pPr>
    </w:p>
    <w:tbl>
      <w:tblPr>
        <w:tblW w:w="8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5"/>
        <w:gridCol w:w="2156"/>
        <w:gridCol w:w="1648"/>
        <w:gridCol w:w="1855"/>
      </w:tblGrid>
      <w:tr w:rsidR="001609CF" w:rsidRPr="006512BA" w14:paraId="179CF7E7" w14:textId="77777777" w:rsidTr="001609CF">
        <w:trPr>
          <w:trHeight w:val="300"/>
        </w:trPr>
        <w:tc>
          <w:tcPr>
            <w:tcW w:w="960" w:type="dxa"/>
            <w:shd w:val="clear" w:color="auto" w:fill="002E8A"/>
            <w:noWrap/>
            <w:hideMark/>
          </w:tcPr>
          <w:p w14:paraId="47D7DD02" w14:textId="77777777" w:rsidR="001609CF" w:rsidRPr="006512BA" w:rsidRDefault="001609CF" w:rsidP="001609CF">
            <w:pPr>
              <w:ind w:left="-108"/>
              <w:rPr>
                <w:b/>
                <w:bCs/>
              </w:rPr>
            </w:pPr>
            <w:r w:rsidRPr="006512BA">
              <w:rPr>
                <w:b/>
                <w:bCs/>
              </w:rPr>
              <w:t>Ref</w:t>
            </w:r>
          </w:p>
        </w:tc>
        <w:tc>
          <w:tcPr>
            <w:tcW w:w="1415" w:type="dxa"/>
            <w:shd w:val="clear" w:color="auto" w:fill="002E8A"/>
            <w:noWrap/>
            <w:hideMark/>
          </w:tcPr>
          <w:p w14:paraId="3F466D18" w14:textId="77777777" w:rsidR="001609CF" w:rsidRPr="006512BA" w:rsidRDefault="001609CF" w:rsidP="001609CF">
            <w:pPr>
              <w:ind w:left="-108"/>
              <w:rPr>
                <w:b/>
                <w:bCs/>
              </w:rPr>
            </w:pPr>
            <w:r w:rsidRPr="006512BA">
              <w:rPr>
                <w:b/>
                <w:bCs/>
              </w:rPr>
              <w:t>Received</w:t>
            </w:r>
          </w:p>
        </w:tc>
        <w:tc>
          <w:tcPr>
            <w:tcW w:w="2156" w:type="dxa"/>
            <w:shd w:val="clear" w:color="auto" w:fill="002E8A"/>
            <w:noWrap/>
            <w:hideMark/>
          </w:tcPr>
          <w:p w14:paraId="0BD4039E" w14:textId="77777777" w:rsidR="001609CF" w:rsidRPr="006512BA" w:rsidRDefault="001609CF" w:rsidP="001609CF">
            <w:pPr>
              <w:ind w:left="-108"/>
              <w:rPr>
                <w:b/>
                <w:bCs/>
              </w:rPr>
            </w:pPr>
            <w:r w:rsidRPr="006512BA">
              <w:rPr>
                <w:b/>
                <w:bCs/>
              </w:rPr>
              <w:t>Method</w:t>
            </w:r>
          </w:p>
        </w:tc>
        <w:tc>
          <w:tcPr>
            <w:tcW w:w="1648" w:type="dxa"/>
            <w:shd w:val="clear" w:color="auto" w:fill="002E8A"/>
            <w:noWrap/>
            <w:hideMark/>
          </w:tcPr>
          <w:p w14:paraId="5F9B8C54" w14:textId="77777777" w:rsidR="001609CF" w:rsidRPr="006512BA" w:rsidRDefault="001609CF" w:rsidP="001609CF">
            <w:pPr>
              <w:ind w:left="-108"/>
              <w:rPr>
                <w:b/>
                <w:bCs/>
              </w:rPr>
            </w:pPr>
            <w:r w:rsidRPr="006512BA">
              <w:rPr>
                <w:b/>
                <w:bCs/>
              </w:rPr>
              <w:t>Location</w:t>
            </w:r>
          </w:p>
        </w:tc>
        <w:tc>
          <w:tcPr>
            <w:tcW w:w="1855" w:type="dxa"/>
            <w:shd w:val="clear" w:color="auto" w:fill="002E8A"/>
            <w:noWrap/>
            <w:hideMark/>
          </w:tcPr>
          <w:p w14:paraId="6D635ABD" w14:textId="77777777" w:rsidR="001609CF" w:rsidRPr="006512BA" w:rsidRDefault="001609CF" w:rsidP="001609CF">
            <w:pPr>
              <w:ind w:left="-108"/>
              <w:rPr>
                <w:b/>
                <w:bCs/>
              </w:rPr>
            </w:pPr>
            <w:r w:rsidRPr="006512BA">
              <w:rPr>
                <w:b/>
                <w:bCs/>
              </w:rPr>
              <w:t>Submission</w:t>
            </w:r>
          </w:p>
        </w:tc>
      </w:tr>
      <w:tr w:rsidR="005638FC" w:rsidRPr="00F43C16" w14:paraId="1B521D12" w14:textId="77777777" w:rsidTr="001609CF">
        <w:trPr>
          <w:trHeight w:val="300"/>
        </w:trPr>
        <w:tc>
          <w:tcPr>
            <w:tcW w:w="960" w:type="dxa"/>
            <w:shd w:val="clear" w:color="auto" w:fill="auto"/>
            <w:noWrap/>
            <w:hideMark/>
          </w:tcPr>
          <w:p w14:paraId="7BDF1A7A" w14:textId="77777777" w:rsidR="005638FC" w:rsidRPr="00F43C16" w:rsidRDefault="005638FC" w:rsidP="005638FC">
            <w:pPr>
              <w:rPr>
                <w:rFonts w:cs="Times New Roman"/>
                <w:color w:val="000000"/>
                <w:lang w:eastAsia="en-IE"/>
              </w:rPr>
            </w:pPr>
            <w:r w:rsidRPr="00F43C16">
              <w:rPr>
                <w:rFonts w:cs="Times New Roman"/>
                <w:color w:val="000000"/>
                <w:lang w:eastAsia="en-IE"/>
              </w:rPr>
              <w:t>LPT01</w:t>
            </w:r>
          </w:p>
        </w:tc>
        <w:tc>
          <w:tcPr>
            <w:tcW w:w="1415" w:type="dxa"/>
            <w:shd w:val="clear" w:color="auto" w:fill="auto"/>
            <w:noWrap/>
          </w:tcPr>
          <w:p w14:paraId="3907B80D" w14:textId="685A92E2" w:rsidR="005638FC" w:rsidRPr="00F43C16" w:rsidRDefault="005638FC" w:rsidP="005638FC">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782C9CC4" w14:textId="6F7C8CBD" w:rsidR="005638FC" w:rsidRPr="00F43C16" w:rsidRDefault="005638FC" w:rsidP="005638FC">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6287076F" w14:textId="25E6AD0F" w:rsidR="005638FC" w:rsidRPr="00F43C16" w:rsidRDefault="005638FC" w:rsidP="005638FC">
            <w:pPr>
              <w:rPr>
                <w:rFonts w:cs="Times New Roman"/>
                <w:color w:val="000000"/>
                <w:lang w:eastAsia="en-IE"/>
              </w:rPr>
            </w:pPr>
            <w:r>
              <w:rPr>
                <w:rFonts w:cs="Times New Roman"/>
                <w:color w:val="000000"/>
                <w:lang w:eastAsia="en-IE"/>
              </w:rPr>
              <w:t>Palmerstown</w:t>
            </w:r>
          </w:p>
        </w:tc>
        <w:tc>
          <w:tcPr>
            <w:tcW w:w="1855" w:type="dxa"/>
            <w:shd w:val="clear" w:color="auto" w:fill="auto"/>
            <w:noWrap/>
          </w:tcPr>
          <w:p w14:paraId="71350D74" w14:textId="7C1F91C7" w:rsidR="005638FC" w:rsidRPr="00F43C16" w:rsidRDefault="005638FC" w:rsidP="005638FC">
            <w:pPr>
              <w:rPr>
                <w:rFonts w:cs="Times New Roman"/>
                <w:color w:val="000000"/>
                <w:lang w:eastAsia="en-IE"/>
              </w:rPr>
            </w:pPr>
            <w:r>
              <w:rPr>
                <w:rFonts w:cs="Times New Roman"/>
                <w:color w:val="000000"/>
                <w:lang w:eastAsia="en-IE"/>
              </w:rPr>
              <w:t>Reduce by 15%</w:t>
            </w:r>
          </w:p>
        </w:tc>
      </w:tr>
      <w:tr w:rsidR="000E3E99" w:rsidRPr="00F43C16" w14:paraId="6FB76718" w14:textId="77777777" w:rsidTr="001609CF">
        <w:trPr>
          <w:trHeight w:val="300"/>
        </w:trPr>
        <w:tc>
          <w:tcPr>
            <w:tcW w:w="960" w:type="dxa"/>
            <w:shd w:val="clear" w:color="auto" w:fill="auto"/>
            <w:noWrap/>
          </w:tcPr>
          <w:p w14:paraId="3831EDD1" w14:textId="77777777" w:rsidR="000E3E99" w:rsidRPr="00F43C16" w:rsidRDefault="000E3E99" w:rsidP="000E3E99">
            <w:pPr>
              <w:rPr>
                <w:rFonts w:cs="Times New Roman"/>
                <w:color w:val="000000"/>
                <w:lang w:eastAsia="en-IE"/>
              </w:rPr>
            </w:pPr>
            <w:r>
              <w:rPr>
                <w:rFonts w:cs="Times New Roman"/>
                <w:color w:val="000000"/>
                <w:lang w:eastAsia="en-IE"/>
              </w:rPr>
              <w:t>LPT02</w:t>
            </w:r>
          </w:p>
        </w:tc>
        <w:tc>
          <w:tcPr>
            <w:tcW w:w="1415" w:type="dxa"/>
            <w:shd w:val="clear" w:color="auto" w:fill="auto"/>
            <w:noWrap/>
          </w:tcPr>
          <w:p w14:paraId="6E7D4031" w14:textId="6FC2713B"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56148CC3" w14:textId="4E0160AD"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6D690382" w14:textId="08736750" w:rsidR="000E3E99" w:rsidRPr="00F43C16" w:rsidRDefault="000E3E99" w:rsidP="000E3E99">
            <w:pPr>
              <w:rPr>
                <w:rFonts w:cs="Times New Roman"/>
                <w:color w:val="000000"/>
                <w:lang w:eastAsia="en-IE"/>
              </w:rPr>
            </w:pPr>
            <w:r>
              <w:rPr>
                <w:rFonts w:cs="Times New Roman"/>
                <w:color w:val="000000"/>
                <w:lang w:eastAsia="en-IE"/>
              </w:rPr>
              <w:t>Palmerstown</w:t>
            </w:r>
          </w:p>
        </w:tc>
        <w:tc>
          <w:tcPr>
            <w:tcW w:w="1855" w:type="dxa"/>
            <w:shd w:val="clear" w:color="auto" w:fill="auto"/>
            <w:noWrap/>
          </w:tcPr>
          <w:p w14:paraId="70B876ED" w14:textId="6EB859AC"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16D255EE" w14:textId="77777777" w:rsidTr="001609CF">
        <w:trPr>
          <w:trHeight w:val="300"/>
        </w:trPr>
        <w:tc>
          <w:tcPr>
            <w:tcW w:w="960" w:type="dxa"/>
            <w:shd w:val="clear" w:color="auto" w:fill="auto"/>
            <w:noWrap/>
          </w:tcPr>
          <w:p w14:paraId="69FAED71" w14:textId="77777777" w:rsidR="000E3E99" w:rsidRPr="00F43C16" w:rsidRDefault="000E3E99" w:rsidP="000E3E99">
            <w:pPr>
              <w:rPr>
                <w:rFonts w:cs="Times New Roman"/>
                <w:color w:val="000000"/>
                <w:lang w:eastAsia="en-IE"/>
              </w:rPr>
            </w:pPr>
            <w:r>
              <w:rPr>
                <w:rFonts w:cs="Times New Roman"/>
                <w:color w:val="000000"/>
                <w:lang w:eastAsia="en-IE"/>
              </w:rPr>
              <w:t>LPT03</w:t>
            </w:r>
          </w:p>
        </w:tc>
        <w:tc>
          <w:tcPr>
            <w:tcW w:w="1415" w:type="dxa"/>
            <w:shd w:val="clear" w:color="auto" w:fill="auto"/>
            <w:noWrap/>
          </w:tcPr>
          <w:p w14:paraId="5A73ED47" w14:textId="5B2733AA"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2C62A5D8" w14:textId="7474EA46"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5F811C45" w14:textId="24422E53" w:rsidR="000E3E99" w:rsidRPr="00F43C16" w:rsidRDefault="000E3E99" w:rsidP="000E3E99">
            <w:pPr>
              <w:rPr>
                <w:rFonts w:cs="Times New Roman"/>
                <w:color w:val="000000"/>
                <w:lang w:eastAsia="en-IE"/>
              </w:rPr>
            </w:pPr>
            <w:r>
              <w:rPr>
                <w:rFonts w:cs="Times New Roman"/>
                <w:color w:val="000000"/>
                <w:lang w:eastAsia="en-IE"/>
              </w:rPr>
              <w:t>Palmerstown</w:t>
            </w:r>
          </w:p>
        </w:tc>
        <w:tc>
          <w:tcPr>
            <w:tcW w:w="1855" w:type="dxa"/>
            <w:shd w:val="clear" w:color="auto" w:fill="auto"/>
            <w:noWrap/>
          </w:tcPr>
          <w:p w14:paraId="772663DF" w14:textId="15D517A9"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1FD97932" w14:textId="77777777" w:rsidTr="001609CF">
        <w:trPr>
          <w:trHeight w:val="300"/>
        </w:trPr>
        <w:tc>
          <w:tcPr>
            <w:tcW w:w="960" w:type="dxa"/>
            <w:shd w:val="clear" w:color="auto" w:fill="auto"/>
            <w:noWrap/>
          </w:tcPr>
          <w:p w14:paraId="1E373EF0" w14:textId="77777777" w:rsidR="000E3E99" w:rsidRPr="00F43C16" w:rsidRDefault="000E3E99" w:rsidP="000E3E99">
            <w:pPr>
              <w:rPr>
                <w:rFonts w:cs="Times New Roman"/>
                <w:color w:val="000000"/>
                <w:lang w:eastAsia="en-IE"/>
              </w:rPr>
            </w:pPr>
            <w:r>
              <w:rPr>
                <w:rFonts w:cs="Times New Roman"/>
                <w:color w:val="000000"/>
                <w:lang w:eastAsia="en-IE"/>
              </w:rPr>
              <w:t>LPT04</w:t>
            </w:r>
          </w:p>
        </w:tc>
        <w:tc>
          <w:tcPr>
            <w:tcW w:w="1415" w:type="dxa"/>
            <w:shd w:val="clear" w:color="auto" w:fill="auto"/>
            <w:noWrap/>
          </w:tcPr>
          <w:p w14:paraId="48764EDC" w14:textId="5B1E63CF"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7DBC274F" w14:textId="03C7ADE8"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363CF64A" w14:textId="4D227F0E" w:rsidR="000E3E99" w:rsidRPr="00F43C16" w:rsidRDefault="000E3E99" w:rsidP="000E3E99">
            <w:pPr>
              <w:rPr>
                <w:rFonts w:cs="Times New Roman"/>
                <w:color w:val="000000"/>
                <w:lang w:eastAsia="en-IE"/>
              </w:rPr>
            </w:pPr>
            <w:r>
              <w:rPr>
                <w:rFonts w:cs="Times New Roman"/>
                <w:color w:val="000000"/>
                <w:lang w:eastAsia="en-IE"/>
              </w:rPr>
              <w:t>Palmerstown</w:t>
            </w:r>
          </w:p>
        </w:tc>
        <w:tc>
          <w:tcPr>
            <w:tcW w:w="1855" w:type="dxa"/>
            <w:shd w:val="clear" w:color="auto" w:fill="auto"/>
            <w:noWrap/>
          </w:tcPr>
          <w:p w14:paraId="5BC140A2" w14:textId="4A74C978"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66197BC7" w14:textId="77777777" w:rsidTr="001609CF">
        <w:trPr>
          <w:trHeight w:val="300"/>
        </w:trPr>
        <w:tc>
          <w:tcPr>
            <w:tcW w:w="960" w:type="dxa"/>
            <w:shd w:val="clear" w:color="auto" w:fill="auto"/>
            <w:noWrap/>
          </w:tcPr>
          <w:p w14:paraId="750B2DAE" w14:textId="77777777" w:rsidR="000E3E99" w:rsidRPr="00F43C16" w:rsidRDefault="000E3E99" w:rsidP="000E3E99">
            <w:pPr>
              <w:rPr>
                <w:rFonts w:cs="Times New Roman"/>
                <w:color w:val="000000"/>
                <w:lang w:eastAsia="en-IE"/>
              </w:rPr>
            </w:pPr>
            <w:r>
              <w:rPr>
                <w:rFonts w:cs="Times New Roman"/>
                <w:color w:val="000000"/>
                <w:lang w:eastAsia="en-IE"/>
              </w:rPr>
              <w:t>LPT05</w:t>
            </w:r>
          </w:p>
        </w:tc>
        <w:tc>
          <w:tcPr>
            <w:tcW w:w="1415" w:type="dxa"/>
            <w:shd w:val="clear" w:color="auto" w:fill="auto"/>
            <w:noWrap/>
          </w:tcPr>
          <w:p w14:paraId="48E46718" w14:textId="64CBB630" w:rsidR="000E3E99" w:rsidRPr="00F43C16" w:rsidRDefault="000E3E99" w:rsidP="000E3E99">
            <w:pPr>
              <w:jc w:val="right"/>
              <w:rPr>
                <w:rFonts w:cs="Times New Roman"/>
                <w:color w:val="000000"/>
                <w:lang w:eastAsia="en-IE"/>
              </w:rPr>
            </w:pPr>
            <w:r>
              <w:rPr>
                <w:rFonts w:cs="Times New Roman"/>
                <w:color w:val="000000"/>
                <w:lang w:eastAsia="en-IE"/>
              </w:rPr>
              <w:t>16.06.21</w:t>
            </w:r>
          </w:p>
        </w:tc>
        <w:tc>
          <w:tcPr>
            <w:tcW w:w="2156" w:type="dxa"/>
            <w:shd w:val="clear" w:color="auto" w:fill="auto"/>
            <w:noWrap/>
          </w:tcPr>
          <w:p w14:paraId="7D53D95C" w14:textId="6F3D9EAB"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14C68FDE" w14:textId="3CF2AE4D" w:rsidR="000E3E99" w:rsidRPr="00F43C16" w:rsidRDefault="000E3E99" w:rsidP="000E3E99">
            <w:pPr>
              <w:rPr>
                <w:rFonts w:cs="Times New Roman"/>
                <w:color w:val="000000"/>
                <w:lang w:eastAsia="en-IE"/>
              </w:rPr>
            </w:pPr>
            <w:r>
              <w:rPr>
                <w:rFonts w:cs="Times New Roman"/>
                <w:color w:val="000000"/>
                <w:lang w:eastAsia="en-IE"/>
              </w:rPr>
              <w:t>Lucan</w:t>
            </w:r>
          </w:p>
        </w:tc>
        <w:tc>
          <w:tcPr>
            <w:tcW w:w="1855" w:type="dxa"/>
            <w:shd w:val="clear" w:color="auto" w:fill="auto"/>
            <w:noWrap/>
          </w:tcPr>
          <w:p w14:paraId="2089EB6D" w14:textId="5306530A"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710E0AB8" w14:textId="77777777" w:rsidTr="001609CF">
        <w:trPr>
          <w:trHeight w:val="300"/>
        </w:trPr>
        <w:tc>
          <w:tcPr>
            <w:tcW w:w="960" w:type="dxa"/>
            <w:shd w:val="clear" w:color="auto" w:fill="auto"/>
            <w:noWrap/>
          </w:tcPr>
          <w:p w14:paraId="7AAE708F" w14:textId="77777777" w:rsidR="000E3E99" w:rsidRPr="00F43C16" w:rsidRDefault="000E3E99" w:rsidP="000E3E99">
            <w:pPr>
              <w:rPr>
                <w:rFonts w:cs="Times New Roman"/>
                <w:color w:val="000000"/>
                <w:lang w:eastAsia="en-IE"/>
              </w:rPr>
            </w:pPr>
            <w:r>
              <w:rPr>
                <w:rFonts w:cs="Times New Roman"/>
                <w:color w:val="000000"/>
                <w:lang w:eastAsia="en-IE"/>
              </w:rPr>
              <w:t>LPT06</w:t>
            </w:r>
          </w:p>
        </w:tc>
        <w:tc>
          <w:tcPr>
            <w:tcW w:w="1415" w:type="dxa"/>
            <w:shd w:val="clear" w:color="auto" w:fill="auto"/>
            <w:noWrap/>
          </w:tcPr>
          <w:p w14:paraId="1121140A" w14:textId="72CA7491" w:rsidR="000E3E99" w:rsidRPr="00F43C16" w:rsidRDefault="000E3E99" w:rsidP="000E3E99">
            <w:pPr>
              <w:jc w:val="right"/>
              <w:rPr>
                <w:rFonts w:cs="Times New Roman"/>
                <w:color w:val="000000"/>
                <w:lang w:eastAsia="en-IE"/>
              </w:rPr>
            </w:pPr>
            <w:r>
              <w:rPr>
                <w:rFonts w:cs="Times New Roman"/>
                <w:color w:val="000000"/>
                <w:lang w:eastAsia="en-IE"/>
              </w:rPr>
              <w:t>17.06.21</w:t>
            </w:r>
          </w:p>
        </w:tc>
        <w:tc>
          <w:tcPr>
            <w:tcW w:w="2156" w:type="dxa"/>
            <w:shd w:val="clear" w:color="auto" w:fill="auto"/>
            <w:noWrap/>
          </w:tcPr>
          <w:p w14:paraId="3D0A814D" w14:textId="6398B441"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570F2D41" w14:textId="52B17280" w:rsidR="000E3E99" w:rsidRPr="00F43C16" w:rsidRDefault="000E3E99" w:rsidP="000E3E99">
            <w:pPr>
              <w:rPr>
                <w:rFonts w:cs="Times New Roman"/>
                <w:color w:val="000000"/>
                <w:lang w:eastAsia="en-IE"/>
              </w:rPr>
            </w:pPr>
            <w:r>
              <w:rPr>
                <w:rFonts w:cs="Times New Roman"/>
                <w:color w:val="000000"/>
                <w:lang w:eastAsia="en-IE"/>
              </w:rPr>
              <w:t>Lucan</w:t>
            </w:r>
          </w:p>
        </w:tc>
        <w:tc>
          <w:tcPr>
            <w:tcW w:w="1855" w:type="dxa"/>
            <w:shd w:val="clear" w:color="auto" w:fill="auto"/>
            <w:noWrap/>
          </w:tcPr>
          <w:p w14:paraId="7C47FEFC" w14:textId="7CB2ECE9"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758C955F" w14:textId="77777777" w:rsidTr="001609CF">
        <w:trPr>
          <w:trHeight w:val="300"/>
        </w:trPr>
        <w:tc>
          <w:tcPr>
            <w:tcW w:w="960" w:type="dxa"/>
            <w:shd w:val="clear" w:color="auto" w:fill="auto"/>
            <w:noWrap/>
          </w:tcPr>
          <w:p w14:paraId="42BE3ABE" w14:textId="77777777" w:rsidR="000E3E99" w:rsidRDefault="000E3E99" w:rsidP="000E3E99">
            <w:pPr>
              <w:rPr>
                <w:rFonts w:cs="Times New Roman"/>
                <w:color w:val="000000"/>
                <w:lang w:eastAsia="en-IE"/>
              </w:rPr>
            </w:pPr>
            <w:r w:rsidRPr="00752403">
              <w:t>LPT0</w:t>
            </w:r>
            <w:r>
              <w:t>7</w:t>
            </w:r>
          </w:p>
        </w:tc>
        <w:tc>
          <w:tcPr>
            <w:tcW w:w="1415" w:type="dxa"/>
            <w:shd w:val="clear" w:color="auto" w:fill="auto"/>
            <w:noWrap/>
          </w:tcPr>
          <w:p w14:paraId="16E05548" w14:textId="6829AAE4" w:rsidR="000E3E99" w:rsidRPr="00F43C16" w:rsidRDefault="000E3E99" w:rsidP="000E3E99">
            <w:pPr>
              <w:jc w:val="right"/>
              <w:rPr>
                <w:rFonts w:cs="Times New Roman"/>
                <w:color w:val="000000"/>
                <w:lang w:eastAsia="en-IE"/>
              </w:rPr>
            </w:pPr>
            <w:r>
              <w:rPr>
                <w:rFonts w:cs="Times New Roman"/>
                <w:color w:val="000000"/>
                <w:lang w:eastAsia="en-IE"/>
              </w:rPr>
              <w:t>22.06.21</w:t>
            </w:r>
          </w:p>
        </w:tc>
        <w:tc>
          <w:tcPr>
            <w:tcW w:w="2156" w:type="dxa"/>
            <w:shd w:val="clear" w:color="auto" w:fill="auto"/>
            <w:noWrap/>
          </w:tcPr>
          <w:p w14:paraId="37345EDC" w14:textId="596370CD"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6F27DE22" w14:textId="7CA538EF" w:rsidR="000E3E99" w:rsidRPr="00F43C16" w:rsidRDefault="000E3E99" w:rsidP="000E3E99">
            <w:pPr>
              <w:rPr>
                <w:rFonts w:cs="Times New Roman"/>
                <w:color w:val="000000"/>
                <w:lang w:eastAsia="en-IE"/>
              </w:rPr>
            </w:pPr>
            <w:r>
              <w:rPr>
                <w:rFonts w:cs="Times New Roman"/>
                <w:color w:val="000000"/>
                <w:lang w:eastAsia="en-IE"/>
              </w:rPr>
              <w:t>Greenhills</w:t>
            </w:r>
          </w:p>
        </w:tc>
        <w:tc>
          <w:tcPr>
            <w:tcW w:w="1855" w:type="dxa"/>
            <w:shd w:val="clear" w:color="auto" w:fill="auto"/>
            <w:noWrap/>
          </w:tcPr>
          <w:p w14:paraId="6781B1BD" w14:textId="28F88B56" w:rsidR="000E3E99" w:rsidRPr="00F43C16" w:rsidRDefault="000E3E99" w:rsidP="000E3E99">
            <w:pPr>
              <w:rPr>
                <w:rFonts w:cs="Times New Roman"/>
                <w:color w:val="000000"/>
                <w:lang w:eastAsia="en-IE"/>
              </w:rPr>
            </w:pPr>
            <w:r>
              <w:rPr>
                <w:rFonts w:cs="Times New Roman"/>
                <w:color w:val="000000"/>
                <w:lang w:eastAsia="en-IE"/>
              </w:rPr>
              <w:t>Reduce</w:t>
            </w:r>
          </w:p>
        </w:tc>
      </w:tr>
      <w:tr w:rsidR="000E3E99" w:rsidRPr="00F43C16" w14:paraId="502BCDF1" w14:textId="77777777" w:rsidTr="001609CF">
        <w:trPr>
          <w:trHeight w:val="300"/>
        </w:trPr>
        <w:tc>
          <w:tcPr>
            <w:tcW w:w="960" w:type="dxa"/>
            <w:shd w:val="clear" w:color="auto" w:fill="auto"/>
            <w:noWrap/>
          </w:tcPr>
          <w:p w14:paraId="2D4B4510" w14:textId="77777777" w:rsidR="000E3E99" w:rsidRDefault="000E3E99" w:rsidP="000E3E99">
            <w:pPr>
              <w:rPr>
                <w:rFonts w:cs="Times New Roman"/>
                <w:color w:val="000000"/>
                <w:lang w:eastAsia="en-IE"/>
              </w:rPr>
            </w:pPr>
            <w:r w:rsidRPr="00752403">
              <w:t>LPT0</w:t>
            </w:r>
            <w:r>
              <w:t>8</w:t>
            </w:r>
          </w:p>
        </w:tc>
        <w:tc>
          <w:tcPr>
            <w:tcW w:w="1415" w:type="dxa"/>
            <w:shd w:val="clear" w:color="auto" w:fill="auto"/>
            <w:noWrap/>
          </w:tcPr>
          <w:p w14:paraId="3BA551DA" w14:textId="46175560" w:rsidR="000E3E99" w:rsidRPr="00F43C16" w:rsidRDefault="000E3E99" w:rsidP="000E3E99">
            <w:pPr>
              <w:jc w:val="right"/>
              <w:rPr>
                <w:rFonts w:cs="Times New Roman"/>
                <w:color w:val="000000"/>
                <w:lang w:eastAsia="en-IE"/>
              </w:rPr>
            </w:pPr>
            <w:r>
              <w:rPr>
                <w:rFonts w:cs="Times New Roman"/>
                <w:color w:val="000000"/>
                <w:lang w:eastAsia="en-IE"/>
              </w:rPr>
              <w:t>28.06.21</w:t>
            </w:r>
          </w:p>
        </w:tc>
        <w:tc>
          <w:tcPr>
            <w:tcW w:w="2156" w:type="dxa"/>
            <w:shd w:val="clear" w:color="auto" w:fill="auto"/>
            <w:noWrap/>
          </w:tcPr>
          <w:p w14:paraId="5041E645" w14:textId="36186F59"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0B2BC940" w14:textId="0C23EBA0" w:rsidR="000E3E99" w:rsidRPr="00F43C16" w:rsidRDefault="000E3E99" w:rsidP="000E3E99">
            <w:pPr>
              <w:rPr>
                <w:rFonts w:cs="Times New Roman"/>
                <w:color w:val="000000"/>
                <w:lang w:eastAsia="en-IE"/>
              </w:rPr>
            </w:pPr>
            <w:r>
              <w:rPr>
                <w:rFonts w:cs="Times New Roman"/>
                <w:color w:val="000000"/>
                <w:lang w:eastAsia="en-IE"/>
              </w:rPr>
              <w:t>Rathfar</w:t>
            </w:r>
            <w:r w:rsidR="00A46BB1">
              <w:rPr>
                <w:rFonts w:cs="Times New Roman"/>
                <w:color w:val="000000"/>
                <w:lang w:eastAsia="en-IE"/>
              </w:rPr>
              <w:t>n</w:t>
            </w:r>
            <w:r>
              <w:rPr>
                <w:rFonts w:cs="Times New Roman"/>
                <w:color w:val="000000"/>
                <w:lang w:eastAsia="en-IE"/>
              </w:rPr>
              <w:t>ham</w:t>
            </w:r>
          </w:p>
        </w:tc>
        <w:tc>
          <w:tcPr>
            <w:tcW w:w="1855" w:type="dxa"/>
            <w:shd w:val="clear" w:color="auto" w:fill="auto"/>
            <w:noWrap/>
          </w:tcPr>
          <w:p w14:paraId="29D44A1C" w14:textId="0960D1AB"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765D746E" w14:textId="77777777" w:rsidTr="001609CF">
        <w:trPr>
          <w:trHeight w:val="300"/>
        </w:trPr>
        <w:tc>
          <w:tcPr>
            <w:tcW w:w="960" w:type="dxa"/>
            <w:shd w:val="clear" w:color="auto" w:fill="auto"/>
            <w:noWrap/>
          </w:tcPr>
          <w:p w14:paraId="3B88721D" w14:textId="77777777" w:rsidR="000E3E99" w:rsidRDefault="000E3E99" w:rsidP="000E3E99">
            <w:pPr>
              <w:rPr>
                <w:rFonts w:cs="Times New Roman"/>
                <w:color w:val="000000"/>
                <w:lang w:eastAsia="en-IE"/>
              </w:rPr>
            </w:pPr>
            <w:r w:rsidRPr="00F43C16">
              <w:rPr>
                <w:rFonts w:cs="Times New Roman"/>
                <w:color w:val="000000"/>
                <w:lang w:eastAsia="en-IE"/>
              </w:rPr>
              <w:t>LPT0</w:t>
            </w:r>
            <w:r>
              <w:rPr>
                <w:rFonts w:cs="Times New Roman"/>
                <w:color w:val="000000"/>
                <w:lang w:eastAsia="en-IE"/>
              </w:rPr>
              <w:t>9</w:t>
            </w:r>
          </w:p>
        </w:tc>
        <w:tc>
          <w:tcPr>
            <w:tcW w:w="1415" w:type="dxa"/>
            <w:shd w:val="clear" w:color="auto" w:fill="auto"/>
            <w:noWrap/>
          </w:tcPr>
          <w:p w14:paraId="7C8E9B06" w14:textId="5DCB52CC" w:rsidR="000E3E99" w:rsidRPr="00F43C16" w:rsidRDefault="000E3E99" w:rsidP="000E3E99">
            <w:pPr>
              <w:jc w:val="right"/>
              <w:rPr>
                <w:rFonts w:cs="Times New Roman"/>
                <w:color w:val="000000"/>
                <w:lang w:eastAsia="en-IE"/>
              </w:rPr>
            </w:pPr>
            <w:r>
              <w:rPr>
                <w:rFonts w:cs="Times New Roman"/>
                <w:color w:val="000000"/>
                <w:lang w:eastAsia="en-IE"/>
              </w:rPr>
              <w:t>30.06.21</w:t>
            </w:r>
          </w:p>
        </w:tc>
        <w:tc>
          <w:tcPr>
            <w:tcW w:w="2156" w:type="dxa"/>
            <w:shd w:val="clear" w:color="auto" w:fill="auto"/>
            <w:noWrap/>
          </w:tcPr>
          <w:p w14:paraId="05DE22E1" w14:textId="632738F0" w:rsidR="000E3E99" w:rsidRPr="00F43C16" w:rsidRDefault="000E3E99" w:rsidP="000E3E99">
            <w:pPr>
              <w:rPr>
                <w:rFonts w:cs="Times New Roman"/>
                <w:color w:val="000000"/>
                <w:lang w:eastAsia="en-IE"/>
              </w:rPr>
            </w:pPr>
            <w:r>
              <w:rPr>
                <w:rFonts w:cs="Times New Roman"/>
                <w:color w:val="000000"/>
                <w:lang w:eastAsia="en-IE"/>
              </w:rPr>
              <w:t>Online Portal</w:t>
            </w:r>
          </w:p>
        </w:tc>
        <w:tc>
          <w:tcPr>
            <w:tcW w:w="1648" w:type="dxa"/>
            <w:shd w:val="clear" w:color="auto" w:fill="auto"/>
            <w:noWrap/>
          </w:tcPr>
          <w:p w14:paraId="35ECC238" w14:textId="252013E0" w:rsidR="000E3E99" w:rsidRPr="00F43C16" w:rsidRDefault="000E3E99" w:rsidP="000E3E99">
            <w:pPr>
              <w:rPr>
                <w:rFonts w:cs="Times New Roman"/>
                <w:color w:val="000000"/>
                <w:lang w:eastAsia="en-IE"/>
              </w:rPr>
            </w:pPr>
            <w:r>
              <w:rPr>
                <w:rFonts w:cs="Times New Roman"/>
                <w:color w:val="000000"/>
                <w:lang w:eastAsia="en-IE"/>
              </w:rPr>
              <w:t>Saggart</w:t>
            </w:r>
          </w:p>
        </w:tc>
        <w:tc>
          <w:tcPr>
            <w:tcW w:w="1855" w:type="dxa"/>
            <w:shd w:val="clear" w:color="auto" w:fill="auto"/>
            <w:noWrap/>
          </w:tcPr>
          <w:p w14:paraId="56E3A5D3" w14:textId="50279565"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0C409C4F" w14:textId="77777777" w:rsidTr="001609CF">
        <w:trPr>
          <w:trHeight w:val="300"/>
        </w:trPr>
        <w:tc>
          <w:tcPr>
            <w:tcW w:w="960" w:type="dxa"/>
            <w:shd w:val="clear" w:color="auto" w:fill="auto"/>
            <w:noWrap/>
          </w:tcPr>
          <w:p w14:paraId="7A48858F" w14:textId="77777777" w:rsidR="000E3E99" w:rsidRDefault="000E3E99" w:rsidP="000E3E99">
            <w:pPr>
              <w:rPr>
                <w:rFonts w:cs="Times New Roman"/>
                <w:color w:val="000000"/>
                <w:lang w:eastAsia="en-IE"/>
              </w:rPr>
            </w:pPr>
            <w:r>
              <w:rPr>
                <w:rFonts w:cs="Times New Roman"/>
                <w:color w:val="000000"/>
                <w:lang w:eastAsia="en-IE"/>
              </w:rPr>
              <w:t>LPT10</w:t>
            </w:r>
          </w:p>
        </w:tc>
        <w:tc>
          <w:tcPr>
            <w:tcW w:w="1415" w:type="dxa"/>
            <w:shd w:val="clear" w:color="auto" w:fill="auto"/>
            <w:noWrap/>
          </w:tcPr>
          <w:p w14:paraId="4B38CAD7" w14:textId="6FBF4F37"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5CCA78BD" w14:textId="143550E9" w:rsidR="000E3E99" w:rsidRPr="00F43C16"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5E86D44F" w14:textId="2AF07EC6" w:rsidR="000E3E99" w:rsidRPr="00F43C16" w:rsidRDefault="000E3E99" w:rsidP="000E3E99">
            <w:pPr>
              <w:rPr>
                <w:rFonts w:cs="Times New Roman"/>
                <w:color w:val="000000"/>
                <w:lang w:eastAsia="en-IE"/>
              </w:rPr>
            </w:pPr>
          </w:p>
        </w:tc>
        <w:tc>
          <w:tcPr>
            <w:tcW w:w="1855" w:type="dxa"/>
            <w:shd w:val="clear" w:color="auto" w:fill="auto"/>
            <w:noWrap/>
          </w:tcPr>
          <w:p w14:paraId="758BB8E2" w14:textId="6150B6AD"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7BA9C056" w14:textId="77777777" w:rsidTr="001609CF">
        <w:trPr>
          <w:trHeight w:val="300"/>
        </w:trPr>
        <w:tc>
          <w:tcPr>
            <w:tcW w:w="960" w:type="dxa"/>
            <w:shd w:val="clear" w:color="auto" w:fill="auto"/>
            <w:noWrap/>
          </w:tcPr>
          <w:p w14:paraId="25B92CE3" w14:textId="77777777" w:rsidR="000E3E99" w:rsidRDefault="000E3E99" w:rsidP="000E3E99">
            <w:pPr>
              <w:rPr>
                <w:rFonts w:cs="Times New Roman"/>
                <w:color w:val="000000"/>
                <w:lang w:eastAsia="en-IE"/>
              </w:rPr>
            </w:pPr>
            <w:r>
              <w:rPr>
                <w:rFonts w:cs="Times New Roman"/>
                <w:color w:val="000000"/>
                <w:lang w:eastAsia="en-IE"/>
              </w:rPr>
              <w:t>LPT11</w:t>
            </w:r>
          </w:p>
        </w:tc>
        <w:tc>
          <w:tcPr>
            <w:tcW w:w="1415" w:type="dxa"/>
            <w:shd w:val="clear" w:color="auto" w:fill="auto"/>
            <w:noWrap/>
          </w:tcPr>
          <w:p w14:paraId="4BFBBE0E" w14:textId="11348F5F"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13B704C4" w14:textId="1B0B73C8" w:rsidR="000E3E99" w:rsidRPr="00F43C16"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6F3E9955" w14:textId="4C359A4D" w:rsidR="000E3E99" w:rsidRPr="00F43C16" w:rsidRDefault="000E3E99" w:rsidP="000E3E99">
            <w:pPr>
              <w:rPr>
                <w:rFonts w:cs="Times New Roman"/>
                <w:color w:val="000000"/>
                <w:lang w:eastAsia="en-IE"/>
              </w:rPr>
            </w:pPr>
          </w:p>
        </w:tc>
        <w:tc>
          <w:tcPr>
            <w:tcW w:w="1855" w:type="dxa"/>
            <w:shd w:val="clear" w:color="auto" w:fill="auto"/>
            <w:noWrap/>
          </w:tcPr>
          <w:p w14:paraId="4F8D52AE" w14:textId="1C540085" w:rsidR="000E3E99" w:rsidRPr="00F43C16" w:rsidRDefault="000E3E99" w:rsidP="000E3E99">
            <w:pPr>
              <w:rPr>
                <w:rFonts w:cs="Times New Roman"/>
                <w:color w:val="000000"/>
                <w:lang w:eastAsia="en-IE"/>
              </w:rPr>
            </w:pPr>
            <w:r>
              <w:rPr>
                <w:rFonts w:cs="Times New Roman"/>
                <w:color w:val="000000"/>
                <w:lang w:eastAsia="en-IE"/>
              </w:rPr>
              <w:t>Reduce</w:t>
            </w:r>
          </w:p>
        </w:tc>
      </w:tr>
      <w:tr w:rsidR="000E3E99" w:rsidRPr="00F43C16" w14:paraId="21BFEE0F" w14:textId="77777777" w:rsidTr="001609CF">
        <w:trPr>
          <w:trHeight w:val="300"/>
        </w:trPr>
        <w:tc>
          <w:tcPr>
            <w:tcW w:w="960" w:type="dxa"/>
            <w:shd w:val="clear" w:color="auto" w:fill="auto"/>
            <w:noWrap/>
          </w:tcPr>
          <w:p w14:paraId="3A44AF5C" w14:textId="77777777" w:rsidR="000E3E99" w:rsidRDefault="000E3E99" w:rsidP="000E3E99">
            <w:pPr>
              <w:rPr>
                <w:rFonts w:cs="Times New Roman"/>
                <w:color w:val="000000"/>
                <w:lang w:eastAsia="en-IE"/>
              </w:rPr>
            </w:pPr>
            <w:r>
              <w:rPr>
                <w:rFonts w:cs="Times New Roman"/>
                <w:color w:val="000000"/>
                <w:lang w:eastAsia="en-IE"/>
              </w:rPr>
              <w:t>LPT12</w:t>
            </w:r>
          </w:p>
        </w:tc>
        <w:tc>
          <w:tcPr>
            <w:tcW w:w="1415" w:type="dxa"/>
            <w:shd w:val="clear" w:color="auto" w:fill="auto"/>
            <w:noWrap/>
          </w:tcPr>
          <w:p w14:paraId="780829AB" w14:textId="211B1EDF" w:rsidR="000E3E99" w:rsidRPr="00F43C16" w:rsidRDefault="000E3E99" w:rsidP="000E3E99">
            <w:pPr>
              <w:jc w:val="right"/>
              <w:rPr>
                <w:rFonts w:cs="Times New Roman"/>
                <w:color w:val="000000"/>
                <w:lang w:eastAsia="en-IE"/>
              </w:rPr>
            </w:pPr>
            <w:r>
              <w:rPr>
                <w:rFonts w:cs="Times New Roman"/>
                <w:color w:val="000000"/>
                <w:lang w:eastAsia="en-IE"/>
              </w:rPr>
              <w:t>15.06.21</w:t>
            </w:r>
          </w:p>
        </w:tc>
        <w:tc>
          <w:tcPr>
            <w:tcW w:w="2156" w:type="dxa"/>
            <w:shd w:val="clear" w:color="auto" w:fill="auto"/>
            <w:noWrap/>
          </w:tcPr>
          <w:p w14:paraId="6C338FBC" w14:textId="2F27F777" w:rsidR="000E3E99" w:rsidRPr="00F43C16"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111E2100" w14:textId="77777777" w:rsidR="000E3E99" w:rsidRPr="00F43C16" w:rsidRDefault="000E3E99" w:rsidP="000E3E99">
            <w:pPr>
              <w:rPr>
                <w:rFonts w:cs="Times New Roman"/>
                <w:color w:val="000000"/>
                <w:lang w:eastAsia="en-IE"/>
              </w:rPr>
            </w:pPr>
          </w:p>
        </w:tc>
        <w:tc>
          <w:tcPr>
            <w:tcW w:w="1855" w:type="dxa"/>
            <w:shd w:val="clear" w:color="auto" w:fill="auto"/>
            <w:noWrap/>
          </w:tcPr>
          <w:p w14:paraId="4BE4C0A9" w14:textId="3F4EFB76"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rsidRPr="00F43C16" w14:paraId="30AB7E91" w14:textId="77777777" w:rsidTr="001609CF">
        <w:trPr>
          <w:trHeight w:val="300"/>
        </w:trPr>
        <w:tc>
          <w:tcPr>
            <w:tcW w:w="960" w:type="dxa"/>
            <w:shd w:val="clear" w:color="auto" w:fill="auto"/>
            <w:noWrap/>
          </w:tcPr>
          <w:p w14:paraId="5B1C870B" w14:textId="77777777" w:rsidR="000E3E99" w:rsidRDefault="000E3E99" w:rsidP="000E3E99">
            <w:pPr>
              <w:rPr>
                <w:rFonts w:cs="Times New Roman"/>
                <w:color w:val="000000"/>
                <w:lang w:eastAsia="en-IE"/>
              </w:rPr>
            </w:pPr>
            <w:r>
              <w:rPr>
                <w:rFonts w:cs="Times New Roman"/>
                <w:color w:val="000000"/>
                <w:lang w:eastAsia="en-IE"/>
              </w:rPr>
              <w:t>LPT13</w:t>
            </w:r>
          </w:p>
        </w:tc>
        <w:tc>
          <w:tcPr>
            <w:tcW w:w="1415" w:type="dxa"/>
            <w:shd w:val="clear" w:color="auto" w:fill="auto"/>
            <w:noWrap/>
          </w:tcPr>
          <w:p w14:paraId="7075A9C7" w14:textId="6FC42105" w:rsidR="000E3E99" w:rsidRPr="00F43C16" w:rsidRDefault="000E3E99" w:rsidP="000E3E99">
            <w:pPr>
              <w:jc w:val="right"/>
              <w:rPr>
                <w:rFonts w:cs="Times New Roman"/>
                <w:color w:val="000000"/>
                <w:lang w:eastAsia="en-IE"/>
              </w:rPr>
            </w:pPr>
            <w:r>
              <w:rPr>
                <w:rFonts w:cs="Times New Roman"/>
                <w:color w:val="000000"/>
                <w:lang w:eastAsia="en-IE"/>
              </w:rPr>
              <w:t>28.06.21</w:t>
            </w:r>
          </w:p>
        </w:tc>
        <w:tc>
          <w:tcPr>
            <w:tcW w:w="2156" w:type="dxa"/>
            <w:shd w:val="clear" w:color="auto" w:fill="auto"/>
            <w:noWrap/>
          </w:tcPr>
          <w:p w14:paraId="6CFF3000" w14:textId="7BEFC0D1" w:rsidR="000E3E99" w:rsidRPr="00F43C16"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14E161D2" w14:textId="3405142A" w:rsidR="000E3E99" w:rsidRPr="00F43C16" w:rsidRDefault="000E3E99" w:rsidP="000E3E99">
            <w:pPr>
              <w:rPr>
                <w:rFonts w:cs="Times New Roman"/>
                <w:color w:val="000000"/>
                <w:lang w:eastAsia="en-IE"/>
              </w:rPr>
            </w:pPr>
          </w:p>
        </w:tc>
        <w:tc>
          <w:tcPr>
            <w:tcW w:w="1855" w:type="dxa"/>
            <w:shd w:val="clear" w:color="auto" w:fill="auto"/>
            <w:noWrap/>
          </w:tcPr>
          <w:p w14:paraId="25726578" w14:textId="3421F4C8" w:rsidR="000E3E99" w:rsidRPr="00F43C16" w:rsidRDefault="000E3E99" w:rsidP="000E3E99">
            <w:pPr>
              <w:rPr>
                <w:rFonts w:cs="Times New Roman"/>
                <w:color w:val="000000"/>
                <w:lang w:eastAsia="en-IE"/>
              </w:rPr>
            </w:pPr>
            <w:r>
              <w:rPr>
                <w:rFonts w:cs="Times New Roman"/>
                <w:color w:val="000000"/>
                <w:lang w:eastAsia="en-IE"/>
              </w:rPr>
              <w:t>No Change</w:t>
            </w:r>
          </w:p>
        </w:tc>
      </w:tr>
      <w:tr w:rsidR="000E3E99" w:rsidRPr="00F43C16" w14:paraId="083ED2A2" w14:textId="77777777" w:rsidTr="001609CF">
        <w:trPr>
          <w:trHeight w:val="300"/>
        </w:trPr>
        <w:tc>
          <w:tcPr>
            <w:tcW w:w="960" w:type="dxa"/>
            <w:shd w:val="clear" w:color="auto" w:fill="auto"/>
            <w:noWrap/>
          </w:tcPr>
          <w:p w14:paraId="3E234F93" w14:textId="77777777" w:rsidR="000E3E99" w:rsidRDefault="000E3E99" w:rsidP="000E3E99">
            <w:pPr>
              <w:rPr>
                <w:rFonts w:cs="Times New Roman"/>
                <w:color w:val="000000"/>
                <w:lang w:eastAsia="en-IE"/>
              </w:rPr>
            </w:pPr>
            <w:r>
              <w:rPr>
                <w:rFonts w:cs="Times New Roman"/>
                <w:color w:val="000000"/>
                <w:lang w:eastAsia="en-IE"/>
              </w:rPr>
              <w:t>LPT14</w:t>
            </w:r>
          </w:p>
        </w:tc>
        <w:tc>
          <w:tcPr>
            <w:tcW w:w="1415" w:type="dxa"/>
            <w:shd w:val="clear" w:color="auto" w:fill="auto"/>
            <w:noWrap/>
          </w:tcPr>
          <w:p w14:paraId="6BB09E81" w14:textId="7E6CC3E0" w:rsidR="000E3E99" w:rsidRPr="00F43C16" w:rsidRDefault="000E3E99" w:rsidP="000E3E99">
            <w:pPr>
              <w:jc w:val="right"/>
              <w:rPr>
                <w:rFonts w:cs="Times New Roman"/>
                <w:color w:val="000000"/>
                <w:lang w:eastAsia="en-IE"/>
              </w:rPr>
            </w:pPr>
            <w:r>
              <w:rPr>
                <w:rFonts w:cs="Times New Roman"/>
                <w:color w:val="000000"/>
                <w:lang w:eastAsia="en-IE"/>
              </w:rPr>
              <w:t>30.06.21</w:t>
            </w:r>
          </w:p>
        </w:tc>
        <w:tc>
          <w:tcPr>
            <w:tcW w:w="2156" w:type="dxa"/>
            <w:shd w:val="clear" w:color="auto" w:fill="auto"/>
            <w:noWrap/>
          </w:tcPr>
          <w:p w14:paraId="71BDAE7A" w14:textId="42073939" w:rsidR="000E3E99" w:rsidRPr="00F43C16"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14DB62A7" w14:textId="77777777" w:rsidR="000E3E99" w:rsidRPr="00F43C16" w:rsidRDefault="000E3E99" w:rsidP="000E3E99">
            <w:pPr>
              <w:rPr>
                <w:rFonts w:cs="Times New Roman"/>
                <w:color w:val="000000"/>
                <w:lang w:eastAsia="en-IE"/>
              </w:rPr>
            </w:pPr>
          </w:p>
        </w:tc>
        <w:tc>
          <w:tcPr>
            <w:tcW w:w="1855" w:type="dxa"/>
            <w:shd w:val="clear" w:color="auto" w:fill="auto"/>
            <w:noWrap/>
          </w:tcPr>
          <w:p w14:paraId="3F645C89" w14:textId="652BF741" w:rsidR="000E3E99" w:rsidRPr="00F43C16" w:rsidRDefault="000E3E99" w:rsidP="000E3E99">
            <w:pPr>
              <w:rPr>
                <w:rFonts w:cs="Times New Roman"/>
                <w:color w:val="000000"/>
                <w:lang w:eastAsia="en-IE"/>
              </w:rPr>
            </w:pPr>
            <w:r>
              <w:rPr>
                <w:rFonts w:cs="Times New Roman"/>
                <w:color w:val="000000"/>
                <w:lang w:eastAsia="en-IE"/>
              </w:rPr>
              <w:t>Reduce by 15%</w:t>
            </w:r>
          </w:p>
        </w:tc>
      </w:tr>
      <w:tr w:rsidR="000E3E99" w14:paraId="47C490DE" w14:textId="77777777" w:rsidTr="001609CF">
        <w:trPr>
          <w:trHeight w:val="300"/>
        </w:trPr>
        <w:tc>
          <w:tcPr>
            <w:tcW w:w="960" w:type="dxa"/>
            <w:shd w:val="clear" w:color="auto" w:fill="auto"/>
            <w:noWrap/>
          </w:tcPr>
          <w:p w14:paraId="6D2342AD" w14:textId="77777777" w:rsidR="000E3E99" w:rsidRDefault="000E3E99" w:rsidP="000E3E99">
            <w:pPr>
              <w:rPr>
                <w:rFonts w:cs="Times New Roman"/>
                <w:color w:val="000000"/>
                <w:lang w:eastAsia="en-IE"/>
              </w:rPr>
            </w:pPr>
            <w:r>
              <w:rPr>
                <w:rFonts w:cs="Times New Roman"/>
                <w:color w:val="000000"/>
                <w:lang w:eastAsia="en-IE"/>
              </w:rPr>
              <w:t>LPT15</w:t>
            </w:r>
          </w:p>
        </w:tc>
        <w:tc>
          <w:tcPr>
            <w:tcW w:w="1415" w:type="dxa"/>
            <w:shd w:val="clear" w:color="auto" w:fill="auto"/>
            <w:noWrap/>
          </w:tcPr>
          <w:p w14:paraId="7CC1DF07" w14:textId="381671DB" w:rsidR="000E3E99" w:rsidRDefault="000E3E99" w:rsidP="000E3E99">
            <w:pPr>
              <w:jc w:val="right"/>
              <w:rPr>
                <w:rFonts w:cs="Times New Roman"/>
                <w:color w:val="000000"/>
                <w:lang w:eastAsia="en-IE"/>
              </w:rPr>
            </w:pPr>
            <w:r>
              <w:rPr>
                <w:rFonts w:cs="Times New Roman"/>
                <w:color w:val="000000"/>
                <w:lang w:eastAsia="en-IE"/>
              </w:rPr>
              <w:t>30.06.21</w:t>
            </w:r>
          </w:p>
        </w:tc>
        <w:tc>
          <w:tcPr>
            <w:tcW w:w="2156" w:type="dxa"/>
            <w:shd w:val="clear" w:color="auto" w:fill="auto"/>
            <w:noWrap/>
          </w:tcPr>
          <w:p w14:paraId="34961D3C" w14:textId="543E45AF" w:rsidR="000E3E99" w:rsidRDefault="000E3E99" w:rsidP="000E3E99">
            <w:pPr>
              <w:rPr>
                <w:rFonts w:cs="Times New Roman"/>
                <w:color w:val="000000"/>
                <w:lang w:eastAsia="en-IE"/>
              </w:rPr>
            </w:pPr>
            <w:r>
              <w:rPr>
                <w:rFonts w:cs="Times New Roman"/>
                <w:color w:val="000000"/>
                <w:lang w:eastAsia="en-IE"/>
              </w:rPr>
              <w:t>Email</w:t>
            </w:r>
          </w:p>
        </w:tc>
        <w:tc>
          <w:tcPr>
            <w:tcW w:w="1648" w:type="dxa"/>
            <w:shd w:val="clear" w:color="auto" w:fill="auto"/>
            <w:noWrap/>
          </w:tcPr>
          <w:p w14:paraId="7DEC4CDA" w14:textId="6AD05400" w:rsidR="000E3E99" w:rsidRPr="00F43C16" w:rsidRDefault="000E3E99" w:rsidP="000E3E99">
            <w:pPr>
              <w:rPr>
                <w:rFonts w:cs="Times New Roman"/>
                <w:color w:val="000000"/>
                <w:lang w:eastAsia="en-IE"/>
              </w:rPr>
            </w:pPr>
            <w:r>
              <w:rPr>
                <w:rFonts w:cs="Times New Roman"/>
                <w:color w:val="000000"/>
                <w:lang w:eastAsia="en-IE"/>
              </w:rPr>
              <w:t>Adamstown</w:t>
            </w:r>
          </w:p>
        </w:tc>
        <w:tc>
          <w:tcPr>
            <w:tcW w:w="1855" w:type="dxa"/>
            <w:shd w:val="clear" w:color="auto" w:fill="auto"/>
            <w:noWrap/>
          </w:tcPr>
          <w:p w14:paraId="6D4D4107" w14:textId="6AF8721A" w:rsidR="000E3E99" w:rsidRDefault="000E3E99" w:rsidP="000E3E99">
            <w:pPr>
              <w:rPr>
                <w:rFonts w:cs="Times New Roman"/>
                <w:color w:val="000000"/>
                <w:lang w:eastAsia="en-IE"/>
              </w:rPr>
            </w:pPr>
            <w:r>
              <w:rPr>
                <w:rFonts w:cs="Times New Roman"/>
                <w:color w:val="000000"/>
                <w:lang w:eastAsia="en-IE"/>
              </w:rPr>
              <w:t>Reduce by 15%</w:t>
            </w:r>
          </w:p>
        </w:tc>
      </w:tr>
    </w:tbl>
    <w:p w14:paraId="4A44AE19" w14:textId="77777777" w:rsidR="001609CF" w:rsidRDefault="001609CF" w:rsidP="00790DCD">
      <w:pPr>
        <w:spacing w:line="360" w:lineRule="auto"/>
        <w:rPr>
          <w:rFonts w:cs="Arial"/>
        </w:rPr>
      </w:pPr>
    </w:p>
    <w:p w14:paraId="6806A70C" w14:textId="587E03D8" w:rsidR="00717D33" w:rsidRDefault="00717D33"/>
    <w:tbl>
      <w:tblPr>
        <w:tblStyle w:val="TableGrid"/>
        <w:tblW w:w="10491" w:type="dxa"/>
        <w:tblInd w:w="-998" w:type="dxa"/>
        <w:tblLayout w:type="fixed"/>
        <w:tblLook w:val="04A0" w:firstRow="1" w:lastRow="0" w:firstColumn="1" w:lastColumn="0" w:noHBand="0" w:noVBand="1"/>
      </w:tblPr>
      <w:tblGrid>
        <w:gridCol w:w="1277"/>
        <w:gridCol w:w="1417"/>
        <w:gridCol w:w="1134"/>
        <w:gridCol w:w="1560"/>
        <w:gridCol w:w="1701"/>
        <w:gridCol w:w="3402"/>
      </w:tblGrid>
      <w:tr w:rsidR="00AE2DE2" w:rsidRPr="00A22289" w14:paraId="5A596D4C" w14:textId="77777777" w:rsidTr="00AE2DE2">
        <w:trPr>
          <w:trHeight w:val="352"/>
        </w:trPr>
        <w:tc>
          <w:tcPr>
            <w:tcW w:w="1277" w:type="dxa"/>
          </w:tcPr>
          <w:p w14:paraId="1549D39E" w14:textId="3FB5F8FB" w:rsidR="00AE2DE2" w:rsidRPr="0031187F" w:rsidRDefault="00AE2DE2" w:rsidP="00AE2DE2">
            <w:pPr>
              <w:rPr>
                <w:rFonts w:cs="Times New Roman"/>
                <w:color w:val="000000"/>
              </w:rPr>
            </w:pPr>
            <w:r w:rsidRPr="00227048">
              <w:rPr>
                <w:b/>
              </w:rPr>
              <w:t>Ref</w:t>
            </w:r>
          </w:p>
        </w:tc>
        <w:tc>
          <w:tcPr>
            <w:tcW w:w="1417" w:type="dxa"/>
          </w:tcPr>
          <w:p w14:paraId="4C48198F" w14:textId="7D5F4D14" w:rsidR="00AE2DE2" w:rsidRDefault="00AE2DE2" w:rsidP="00AE2DE2">
            <w:pPr>
              <w:rPr>
                <w:rFonts w:cs="Times New Roman"/>
                <w:color w:val="000000"/>
              </w:rPr>
            </w:pPr>
            <w:r w:rsidRPr="00227048">
              <w:rPr>
                <w:b/>
              </w:rPr>
              <w:t>Date</w:t>
            </w:r>
          </w:p>
        </w:tc>
        <w:tc>
          <w:tcPr>
            <w:tcW w:w="1134" w:type="dxa"/>
          </w:tcPr>
          <w:p w14:paraId="05094F88" w14:textId="32840E88" w:rsidR="00AE2DE2" w:rsidRDefault="00AE2DE2" w:rsidP="00AE2DE2">
            <w:pPr>
              <w:rPr>
                <w:rFonts w:cs="Times New Roman"/>
                <w:color w:val="000000"/>
              </w:rPr>
            </w:pPr>
            <w:r w:rsidRPr="00227048">
              <w:rPr>
                <w:b/>
              </w:rPr>
              <w:t>Method</w:t>
            </w:r>
          </w:p>
        </w:tc>
        <w:tc>
          <w:tcPr>
            <w:tcW w:w="1560" w:type="dxa"/>
          </w:tcPr>
          <w:p w14:paraId="513CB9F2" w14:textId="6C80A447" w:rsidR="00AE2DE2" w:rsidRDefault="00AE2DE2" w:rsidP="00AE2DE2">
            <w:r w:rsidRPr="00227048">
              <w:rPr>
                <w:b/>
              </w:rPr>
              <w:t>Location</w:t>
            </w:r>
          </w:p>
        </w:tc>
        <w:tc>
          <w:tcPr>
            <w:tcW w:w="1701" w:type="dxa"/>
          </w:tcPr>
          <w:p w14:paraId="21B652D5" w14:textId="42002DC3" w:rsidR="00AE2DE2" w:rsidRDefault="00AE2DE2" w:rsidP="00AE2DE2">
            <w:r w:rsidRPr="00227048">
              <w:rPr>
                <w:b/>
              </w:rPr>
              <w:t>Submission</w:t>
            </w:r>
          </w:p>
        </w:tc>
        <w:tc>
          <w:tcPr>
            <w:tcW w:w="3402" w:type="dxa"/>
          </w:tcPr>
          <w:p w14:paraId="6A9467A7" w14:textId="66D58142" w:rsidR="00AE2DE2" w:rsidRDefault="00AE2DE2" w:rsidP="00AE2DE2">
            <w:pPr>
              <w:rPr>
                <w:rFonts w:eastAsiaTheme="minorHAnsi" w:cstheme="minorBidi"/>
                <w:lang w:val="en-IE"/>
              </w:rPr>
            </w:pPr>
            <w:r w:rsidRPr="00227048">
              <w:rPr>
                <w:b/>
              </w:rPr>
              <w:t>Text</w:t>
            </w:r>
          </w:p>
        </w:tc>
      </w:tr>
      <w:tr w:rsidR="005638FC" w:rsidRPr="00A22289" w14:paraId="20C0A298" w14:textId="77777777" w:rsidTr="002046A6">
        <w:trPr>
          <w:trHeight w:val="1405"/>
        </w:trPr>
        <w:tc>
          <w:tcPr>
            <w:tcW w:w="1277" w:type="dxa"/>
          </w:tcPr>
          <w:p w14:paraId="66469450" w14:textId="3BBE9F9D" w:rsidR="005638FC" w:rsidRPr="0031187F" w:rsidRDefault="005638FC" w:rsidP="005638FC">
            <w:r>
              <w:t>LPT01</w:t>
            </w:r>
          </w:p>
        </w:tc>
        <w:tc>
          <w:tcPr>
            <w:tcW w:w="1417" w:type="dxa"/>
          </w:tcPr>
          <w:p w14:paraId="3CB4ABC3" w14:textId="52559520" w:rsidR="005638FC" w:rsidRPr="0031187F" w:rsidRDefault="005638FC" w:rsidP="005638FC">
            <w:r>
              <w:t>15.06.21</w:t>
            </w:r>
          </w:p>
        </w:tc>
        <w:tc>
          <w:tcPr>
            <w:tcW w:w="1134" w:type="dxa"/>
          </w:tcPr>
          <w:p w14:paraId="7A2E247D" w14:textId="491C9F68" w:rsidR="005638FC" w:rsidRPr="0031187F" w:rsidRDefault="005638FC" w:rsidP="005638FC">
            <w:r>
              <w:t>Online Portal</w:t>
            </w:r>
          </w:p>
        </w:tc>
        <w:tc>
          <w:tcPr>
            <w:tcW w:w="1560" w:type="dxa"/>
          </w:tcPr>
          <w:p w14:paraId="573AC8A5" w14:textId="50C6EA2B" w:rsidR="005638FC" w:rsidRPr="0031187F" w:rsidRDefault="005638FC" w:rsidP="005638FC">
            <w:r>
              <w:t>Palmerstown</w:t>
            </w:r>
          </w:p>
        </w:tc>
        <w:tc>
          <w:tcPr>
            <w:tcW w:w="1701" w:type="dxa"/>
          </w:tcPr>
          <w:p w14:paraId="053037E3" w14:textId="07A71EE2" w:rsidR="005638FC" w:rsidRPr="0031187F" w:rsidRDefault="005638FC" w:rsidP="005638FC">
            <w:r>
              <w:rPr>
                <w:rFonts w:cs="Times New Roman"/>
                <w:color w:val="000000"/>
              </w:rPr>
              <w:t>Reduce by 15%</w:t>
            </w:r>
          </w:p>
        </w:tc>
        <w:tc>
          <w:tcPr>
            <w:tcW w:w="3402" w:type="dxa"/>
          </w:tcPr>
          <w:p w14:paraId="51B0C28E" w14:textId="77777777" w:rsidR="005638FC" w:rsidRDefault="005638FC" w:rsidP="005638FC">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Leave property tax as it is, families are struggling enough as a result of job losses etc due to covid, this is not the right time to increase the tax</w:t>
            </w:r>
          </w:p>
          <w:p w14:paraId="25DCC00E" w14:textId="4B10FB62" w:rsidR="005638FC" w:rsidRPr="0031187F" w:rsidRDefault="005638FC" w:rsidP="005638FC">
            <w:pPr>
              <w:rPr>
                <w:rFonts w:eastAsiaTheme="minorHAnsi" w:cstheme="minorBidi"/>
                <w:lang w:val="en-IE"/>
              </w:rPr>
            </w:pPr>
          </w:p>
        </w:tc>
      </w:tr>
      <w:tr w:rsidR="000E3E99" w:rsidRPr="00A22289" w14:paraId="011CBC9D" w14:textId="77777777" w:rsidTr="002046A6">
        <w:trPr>
          <w:trHeight w:val="2403"/>
        </w:trPr>
        <w:tc>
          <w:tcPr>
            <w:tcW w:w="1277" w:type="dxa"/>
          </w:tcPr>
          <w:p w14:paraId="192A5BF7" w14:textId="51472FD2" w:rsidR="000E3E99" w:rsidRPr="0031187F" w:rsidRDefault="000E3E99" w:rsidP="000E3E99">
            <w:r>
              <w:t>LPT02</w:t>
            </w:r>
          </w:p>
        </w:tc>
        <w:tc>
          <w:tcPr>
            <w:tcW w:w="1417" w:type="dxa"/>
          </w:tcPr>
          <w:p w14:paraId="0916D5CC" w14:textId="2F0E265F" w:rsidR="000E3E99" w:rsidRPr="0031187F" w:rsidRDefault="000E3E99" w:rsidP="000E3E99">
            <w:r>
              <w:t>15.06.21</w:t>
            </w:r>
          </w:p>
        </w:tc>
        <w:tc>
          <w:tcPr>
            <w:tcW w:w="1134" w:type="dxa"/>
          </w:tcPr>
          <w:p w14:paraId="4C149607" w14:textId="7EBD98C9" w:rsidR="000E3E99" w:rsidRPr="0031187F" w:rsidRDefault="000E3E99" w:rsidP="000E3E99">
            <w:r>
              <w:t>Online Portal</w:t>
            </w:r>
          </w:p>
        </w:tc>
        <w:tc>
          <w:tcPr>
            <w:tcW w:w="1560" w:type="dxa"/>
          </w:tcPr>
          <w:p w14:paraId="4CCC56BF" w14:textId="4CE69706" w:rsidR="000E3E99" w:rsidRPr="0031187F" w:rsidRDefault="000E3E99" w:rsidP="000E3E99">
            <w:r>
              <w:t>Palmerstown</w:t>
            </w:r>
          </w:p>
        </w:tc>
        <w:tc>
          <w:tcPr>
            <w:tcW w:w="1701" w:type="dxa"/>
          </w:tcPr>
          <w:p w14:paraId="5628ACCF" w14:textId="14F24189" w:rsidR="000E3E99" w:rsidRPr="0031187F" w:rsidRDefault="000E3E99" w:rsidP="000E3E99">
            <w:r>
              <w:rPr>
                <w:rFonts w:cs="Times New Roman"/>
                <w:color w:val="000000"/>
              </w:rPr>
              <w:t>Reduce by 15%</w:t>
            </w:r>
          </w:p>
        </w:tc>
        <w:tc>
          <w:tcPr>
            <w:tcW w:w="3402" w:type="dxa"/>
          </w:tcPr>
          <w:p w14:paraId="306095B5"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I do not feel at this time an increase in the property tax is a good idea as some people are really struggling.in the .SDCC area with many laid off for a long time and barely keeping afloat with their payouts and expenses</w:t>
            </w:r>
          </w:p>
          <w:p w14:paraId="717A6FB7" w14:textId="04DD0562" w:rsidR="000E3E99" w:rsidRPr="0031187F" w:rsidRDefault="000E3E99" w:rsidP="000E3E99">
            <w:pPr>
              <w:rPr>
                <w:rFonts w:eastAsiaTheme="minorHAnsi" w:cstheme="minorBidi"/>
                <w:lang w:val="en-IE"/>
              </w:rPr>
            </w:pPr>
          </w:p>
        </w:tc>
      </w:tr>
      <w:tr w:rsidR="000E3E99" w:rsidRPr="00A22289" w14:paraId="183DE039" w14:textId="77777777" w:rsidTr="002046A6">
        <w:tc>
          <w:tcPr>
            <w:tcW w:w="1277" w:type="dxa"/>
          </w:tcPr>
          <w:p w14:paraId="467C93B3" w14:textId="24429EEE" w:rsidR="000E3E99" w:rsidRPr="0031187F" w:rsidRDefault="000E3E99" w:rsidP="000E3E99">
            <w:r>
              <w:t>LPT03</w:t>
            </w:r>
          </w:p>
        </w:tc>
        <w:tc>
          <w:tcPr>
            <w:tcW w:w="1417" w:type="dxa"/>
          </w:tcPr>
          <w:p w14:paraId="343B0A81" w14:textId="7866EBFD" w:rsidR="000E3E99" w:rsidRPr="0031187F" w:rsidRDefault="000E3E99" w:rsidP="000E3E99">
            <w:r>
              <w:t>15.06.21</w:t>
            </w:r>
          </w:p>
        </w:tc>
        <w:tc>
          <w:tcPr>
            <w:tcW w:w="1134" w:type="dxa"/>
          </w:tcPr>
          <w:p w14:paraId="580EB8F3" w14:textId="7042F3A5" w:rsidR="000E3E99" w:rsidRPr="0031187F" w:rsidRDefault="000E3E99" w:rsidP="000E3E99">
            <w:r>
              <w:t>Online Portal</w:t>
            </w:r>
          </w:p>
        </w:tc>
        <w:tc>
          <w:tcPr>
            <w:tcW w:w="1560" w:type="dxa"/>
          </w:tcPr>
          <w:p w14:paraId="47DA240F" w14:textId="5A82C654" w:rsidR="000E3E99" w:rsidRPr="0031187F" w:rsidRDefault="000E3E99" w:rsidP="000E3E99">
            <w:r>
              <w:t>Palmerstown</w:t>
            </w:r>
          </w:p>
        </w:tc>
        <w:tc>
          <w:tcPr>
            <w:tcW w:w="1701" w:type="dxa"/>
          </w:tcPr>
          <w:p w14:paraId="16A62EDD" w14:textId="65EA892F" w:rsidR="000E3E99" w:rsidRPr="0031187F" w:rsidRDefault="000E3E99" w:rsidP="000E3E99">
            <w:r>
              <w:rPr>
                <w:rFonts w:cs="Times New Roman"/>
                <w:color w:val="000000"/>
              </w:rPr>
              <w:t>Reduce by 15%</w:t>
            </w:r>
          </w:p>
        </w:tc>
        <w:tc>
          <w:tcPr>
            <w:tcW w:w="3402" w:type="dxa"/>
          </w:tcPr>
          <w:p w14:paraId="0878F10A"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I think the smart thing would be to leave the LPT where it is at due to the ongoing pandemic situation.</w:t>
            </w:r>
            <w:r w:rsidRPr="00D35D39">
              <w:rPr>
                <w:rFonts w:ascii="Open Sans" w:hAnsi="Open Sans" w:cs="Open Sans"/>
                <w:color w:val="454545"/>
                <w:sz w:val="24"/>
                <w:szCs w:val="24"/>
              </w:rPr>
              <w:br/>
              <w:t>A clearer breakdown of exactly what services the LPT is used for would be helpful (on the letter received perhaps) and a flat rate per area may be the way to go instead of an individual household basis.</w:t>
            </w:r>
            <w:r w:rsidRPr="00D35D39">
              <w:rPr>
                <w:rFonts w:ascii="Open Sans" w:hAnsi="Open Sans" w:cs="Open Sans"/>
                <w:color w:val="454545"/>
                <w:sz w:val="24"/>
                <w:szCs w:val="24"/>
              </w:rPr>
              <w:br/>
              <w:t>If more services were available, for example dedicated dog waste bins or government run free recycling centres like in the UK then, sure, I'd have no problem with an increase to this tax. Cheers</w:t>
            </w:r>
          </w:p>
          <w:p w14:paraId="634CE6C4" w14:textId="6370A9B3" w:rsidR="000E3E99" w:rsidRPr="0031187F" w:rsidRDefault="000E3E99" w:rsidP="000E3E99">
            <w:pPr>
              <w:rPr>
                <w:rFonts w:eastAsiaTheme="minorHAnsi" w:cstheme="minorBidi"/>
                <w:lang w:val="en-IE"/>
              </w:rPr>
            </w:pPr>
          </w:p>
        </w:tc>
      </w:tr>
      <w:tr w:rsidR="000E3E99" w:rsidRPr="00A22289" w14:paraId="50E0DABB" w14:textId="77777777" w:rsidTr="002046A6">
        <w:tc>
          <w:tcPr>
            <w:tcW w:w="1277" w:type="dxa"/>
          </w:tcPr>
          <w:p w14:paraId="3B940181" w14:textId="29CDFD88" w:rsidR="000E3E99" w:rsidRPr="0031187F" w:rsidRDefault="000E3E99" w:rsidP="000E3E99">
            <w:r>
              <w:t>LPT04</w:t>
            </w:r>
          </w:p>
        </w:tc>
        <w:tc>
          <w:tcPr>
            <w:tcW w:w="1417" w:type="dxa"/>
          </w:tcPr>
          <w:p w14:paraId="380A893B" w14:textId="14C79AD9" w:rsidR="000E3E99" w:rsidRDefault="000E3E99" w:rsidP="000E3E99">
            <w:pPr>
              <w:rPr>
                <w:rFonts w:cs="Times New Roman"/>
                <w:color w:val="000000"/>
              </w:rPr>
            </w:pPr>
            <w:r>
              <w:rPr>
                <w:rFonts w:cs="Times New Roman"/>
                <w:color w:val="000000"/>
              </w:rPr>
              <w:t>15.06.21</w:t>
            </w:r>
          </w:p>
        </w:tc>
        <w:tc>
          <w:tcPr>
            <w:tcW w:w="1134" w:type="dxa"/>
          </w:tcPr>
          <w:p w14:paraId="073F6E56" w14:textId="09CEABAA" w:rsidR="000E3E99" w:rsidRDefault="000E3E99" w:rsidP="000E3E99">
            <w:pPr>
              <w:rPr>
                <w:rFonts w:cs="Times New Roman"/>
                <w:color w:val="000000"/>
              </w:rPr>
            </w:pPr>
            <w:r>
              <w:rPr>
                <w:rFonts w:cs="Times New Roman"/>
                <w:color w:val="000000"/>
              </w:rPr>
              <w:t>Online Portal</w:t>
            </w:r>
          </w:p>
        </w:tc>
        <w:tc>
          <w:tcPr>
            <w:tcW w:w="1560" w:type="dxa"/>
          </w:tcPr>
          <w:p w14:paraId="27787AD0" w14:textId="1BA96E30" w:rsidR="000E3E99" w:rsidRDefault="000E3E99" w:rsidP="000E3E99">
            <w:pPr>
              <w:rPr>
                <w:rFonts w:cs="Times New Roman"/>
                <w:color w:val="000000"/>
              </w:rPr>
            </w:pPr>
            <w:r>
              <w:rPr>
                <w:rFonts w:cs="Times New Roman"/>
                <w:color w:val="000000"/>
              </w:rPr>
              <w:t>Palmerstown</w:t>
            </w:r>
          </w:p>
        </w:tc>
        <w:tc>
          <w:tcPr>
            <w:tcW w:w="1701" w:type="dxa"/>
          </w:tcPr>
          <w:p w14:paraId="540C3F6C" w14:textId="5BC88B44" w:rsidR="000E3E99" w:rsidRDefault="000E3E99" w:rsidP="000E3E99">
            <w:pPr>
              <w:rPr>
                <w:rFonts w:cs="Times New Roman"/>
                <w:color w:val="000000"/>
              </w:rPr>
            </w:pPr>
            <w:r>
              <w:rPr>
                <w:rFonts w:cs="Times New Roman"/>
                <w:color w:val="000000"/>
              </w:rPr>
              <w:t>Reduce by 15%</w:t>
            </w:r>
          </w:p>
        </w:tc>
        <w:tc>
          <w:tcPr>
            <w:tcW w:w="3402" w:type="dxa"/>
          </w:tcPr>
          <w:p w14:paraId="48FD0C76"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 xml:space="preserve">I think any form of increase in the property tax is unfair and ill timed given the current climate. I fail to see where the current funds from this tax go and would like details of </w:t>
            </w:r>
            <w:r w:rsidRPr="00D35D39">
              <w:rPr>
                <w:rFonts w:ascii="Open Sans" w:hAnsi="Open Sans" w:cs="Open Sans"/>
                <w:color w:val="454545"/>
                <w:sz w:val="24"/>
                <w:szCs w:val="24"/>
              </w:rPr>
              <w:lastRenderedPageBreak/>
              <w:t>where any increase in charges would be spent. We have been requesting more litter bins in the area and specifically dog waste bins as this is a huge issue. This has been ongoing for two years with no resolution and yet there is suggestion of an increase. We quite frankly would be unable to pay any increase and I know alot of our neighbours will be in the same situation.</w:t>
            </w:r>
          </w:p>
          <w:p w14:paraId="74EA0579" w14:textId="77777777" w:rsidR="000E3E99" w:rsidRDefault="000E3E99" w:rsidP="000E3E99"/>
        </w:tc>
      </w:tr>
      <w:tr w:rsidR="000E3E99" w:rsidRPr="00A22289" w14:paraId="20D5129A" w14:textId="77777777" w:rsidTr="002046A6">
        <w:tc>
          <w:tcPr>
            <w:tcW w:w="1277" w:type="dxa"/>
          </w:tcPr>
          <w:p w14:paraId="593FCE8B" w14:textId="487F9427" w:rsidR="000E3E99" w:rsidRDefault="000E3E99" w:rsidP="000E3E99">
            <w:r>
              <w:lastRenderedPageBreak/>
              <w:t>LPT05</w:t>
            </w:r>
          </w:p>
        </w:tc>
        <w:tc>
          <w:tcPr>
            <w:tcW w:w="1417" w:type="dxa"/>
          </w:tcPr>
          <w:p w14:paraId="7FE38322" w14:textId="6CA4F374" w:rsidR="000E3E99" w:rsidRDefault="000E3E99" w:rsidP="000E3E99">
            <w:pPr>
              <w:rPr>
                <w:rFonts w:cs="Times New Roman"/>
                <w:color w:val="000000"/>
              </w:rPr>
            </w:pPr>
            <w:r>
              <w:rPr>
                <w:rFonts w:cs="Times New Roman"/>
                <w:color w:val="000000"/>
              </w:rPr>
              <w:t>16.06.21</w:t>
            </w:r>
          </w:p>
        </w:tc>
        <w:tc>
          <w:tcPr>
            <w:tcW w:w="1134" w:type="dxa"/>
          </w:tcPr>
          <w:p w14:paraId="562AAAFB" w14:textId="49D61833" w:rsidR="000E3E99" w:rsidRDefault="000E3E99" w:rsidP="000E3E99">
            <w:pPr>
              <w:rPr>
                <w:rFonts w:cs="Times New Roman"/>
                <w:color w:val="000000"/>
              </w:rPr>
            </w:pPr>
            <w:r>
              <w:rPr>
                <w:rFonts w:cs="Times New Roman"/>
                <w:color w:val="000000"/>
              </w:rPr>
              <w:t>Online Portal</w:t>
            </w:r>
          </w:p>
        </w:tc>
        <w:tc>
          <w:tcPr>
            <w:tcW w:w="1560" w:type="dxa"/>
          </w:tcPr>
          <w:p w14:paraId="3DEE544C" w14:textId="2F80022B" w:rsidR="000E3E99" w:rsidRDefault="000E3E99" w:rsidP="000E3E99">
            <w:pPr>
              <w:rPr>
                <w:rFonts w:cs="Times New Roman"/>
                <w:color w:val="000000"/>
              </w:rPr>
            </w:pPr>
            <w:r>
              <w:rPr>
                <w:rFonts w:cs="Times New Roman"/>
                <w:color w:val="000000"/>
              </w:rPr>
              <w:t>Lucan</w:t>
            </w:r>
          </w:p>
        </w:tc>
        <w:tc>
          <w:tcPr>
            <w:tcW w:w="1701" w:type="dxa"/>
          </w:tcPr>
          <w:p w14:paraId="7B24BDC6" w14:textId="75EAFF1E" w:rsidR="000E3E99" w:rsidRDefault="000E3E99" w:rsidP="000E3E99">
            <w:pPr>
              <w:rPr>
                <w:rFonts w:cs="Times New Roman"/>
                <w:color w:val="000000"/>
              </w:rPr>
            </w:pPr>
            <w:r>
              <w:rPr>
                <w:rFonts w:cs="Times New Roman"/>
                <w:color w:val="000000"/>
              </w:rPr>
              <w:t>Reduce by 15%</w:t>
            </w:r>
          </w:p>
        </w:tc>
        <w:tc>
          <w:tcPr>
            <w:tcW w:w="3402" w:type="dxa"/>
          </w:tcPr>
          <w:p w14:paraId="1832FD92"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I do not think houses should have an increase aafter the year with covid and also people are on lower incomes and less well off the people which will be affected most by an increase. Start to tax people who have never paid since homes built in 2013.</w:t>
            </w:r>
          </w:p>
          <w:p w14:paraId="4B9150C9" w14:textId="77777777" w:rsidR="000E3E99" w:rsidRDefault="000E3E99" w:rsidP="000E3E99"/>
        </w:tc>
      </w:tr>
      <w:tr w:rsidR="000E3E99" w:rsidRPr="00A22289" w14:paraId="1FB6362B" w14:textId="77777777" w:rsidTr="002046A6">
        <w:tc>
          <w:tcPr>
            <w:tcW w:w="1277" w:type="dxa"/>
          </w:tcPr>
          <w:p w14:paraId="2578A710" w14:textId="5E748658" w:rsidR="000E3E99" w:rsidRDefault="000E3E99" w:rsidP="000E3E99">
            <w:r>
              <w:t>LPT06</w:t>
            </w:r>
          </w:p>
        </w:tc>
        <w:tc>
          <w:tcPr>
            <w:tcW w:w="1417" w:type="dxa"/>
          </w:tcPr>
          <w:p w14:paraId="20ADDAFE" w14:textId="316E4763" w:rsidR="000E3E99" w:rsidRDefault="000E3E99" w:rsidP="000E3E99">
            <w:pPr>
              <w:rPr>
                <w:rFonts w:cs="Times New Roman"/>
                <w:color w:val="000000"/>
              </w:rPr>
            </w:pPr>
            <w:r>
              <w:rPr>
                <w:rFonts w:cs="Times New Roman"/>
                <w:color w:val="000000"/>
              </w:rPr>
              <w:t>17.06.21</w:t>
            </w:r>
          </w:p>
        </w:tc>
        <w:tc>
          <w:tcPr>
            <w:tcW w:w="1134" w:type="dxa"/>
          </w:tcPr>
          <w:p w14:paraId="48B7155E" w14:textId="771861C1" w:rsidR="000E3E99" w:rsidRDefault="000E3E99" w:rsidP="000E3E99">
            <w:pPr>
              <w:rPr>
                <w:rFonts w:cs="Times New Roman"/>
                <w:color w:val="000000"/>
              </w:rPr>
            </w:pPr>
            <w:r>
              <w:rPr>
                <w:rFonts w:cs="Times New Roman"/>
                <w:color w:val="000000"/>
              </w:rPr>
              <w:t>Online Portal</w:t>
            </w:r>
          </w:p>
        </w:tc>
        <w:tc>
          <w:tcPr>
            <w:tcW w:w="1560" w:type="dxa"/>
          </w:tcPr>
          <w:p w14:paraId="32BBA1D9" w14:textId="37595299" w:rsidR="000E3E99" w:rsidRDefault="000E3E99" w:rsidP="000E3E99">
            <w:pPr>
              <w:rPr>
                <w:rFonts w:cs="Times New Roman"/>
                <w:color w:val="000000"/>
              </w:rPr>
            </w:pPr>
            <w:r>
              <w:rPr>
                <w:rFonts w:cs="Times New Roman"/>
                <w:color w:val="000000"/>
              </w:rPr>
              <w:t>Lucan</w:t>
            </w:r>
          </w:p>
        </w:tc>
        <w:tc>
          <w:tcPr>
            <w:tcW w:w="1701" w:type="dxa"/>
          </w:tcPr>
          <w:p w14:paraId="633CCE7B" w14:textId="31F147F1" w:rsidR="000E3E99" w:rsidRDefault="000E3E99" w:rsidP="000E3E99">
            <w:pPr>
              <w:rPr>
                <w:rFonts w:cs="Times New Roman"/>
                <w:color w:val="000000"/>
              </w:rPr>
            </w:pPr>
            <w:r>
              <w:rPr>
                <w:rFonts w:cs="Times New Roman"/>
                <w:color w:val="000000"/>
              </w:rPr>
              <w:t>Reduce by 15%</w:t>
            </w:r>
          </w:p>
        </w:tc>
        <w:tc>
          <w:tcPr>
            <w:tcW w:w="3402" w:type="dxa"/>
          </w:tcPr>
          <w:p w14:paraId="5C62C19E"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Please continue to adjust downwards the rate of Local Property Tax, especially given the incoming new bands and increase in value of houses (especially new) across the Council. Minimizing the cost to householders is helpful when so many have been out of work or on minimal support for so long Thanks for your consideration.</w:t>
            </w:r>
          </w:p>
          <w:p w14:paraId="2ECA3DEB" w14:textId="49F559BE" w:rsidR="000E3E99" w:rsidRDefault="000E3E99" w:rsidP="000E3E99"/>
        </w:tc>
      </w:tr>
      <w:tr w:rsidR="000E3E99" w:rsidRPr="00A22289" w14:paraId="6D3E7E03" w14:textId="77777777" w:rsidTr="002046A6">
        <w:tc>
          <w:tcPr>
            <w:tcW w:w="1277" w:type="dxa"/>
          </w:tcPr>
          <w:p w14:paraId="77A6921B" w14:textId="28557CA2" w:rsidR="000E3E99" w:rsidRDefault="000E3E99" w:rsidP="000E3E99">
            <w:r>
              <w:t>LPT07</w:t>
            </w:r>
          </w:p>
        </w:tc>
        <w:tc>
          <w:tcPr>
            <w:tcW w:w="1417" w:type="dxa"/>
          </w:tcPr>
          <w:p w14:paraId="4C4020A6" w14:textId="16BCCB83" w:rsidR="000E3E99" w:rsidRDefault="000E3E99" w:rsidP="000E3E99">
            <w:pPr>
              <w:rPr>
                <w:rFonts w:cs="Times New Roman"/>
                <w:color w:val="000000"/>
              </w:rPr>
            </w:pPr>
            <w:r>
              <w:rPr>
                <w:rFonts w:cs="Times New Roman"/>
                <w:color w:val="000000"/>
              </w:rPr>
              <w:t>22.06.21</w:t>
            </w:r>
          </w:p>
        </w:tc>
        <w:tc>
          <w:tcPr>
            <w:tcW w:w="1134" w:type="dxa"/>
          </w:tcPr>
          <w:p w14:paraId="53317079" w14:textId="1D40F36D" w:rsidR="000E3E99" w:rsidRDefault="000E3E99" w:rsidP="000E3E99">
            <w:pPr>
              <w:rPr>
                <w:rFonts w:cs="Times New Roman"/>
                <w:color w:val="000000"/>
              </w:rPr>
            </w:pPr>
            <w:r>
              <w:rPr>
                <w:rFonts w:cs="Times New Roman"/>
                <w:color w:val="000000"/>
              </w:rPr>
              <w:t>Online Portal</w:t>
            </w:r>
          </w:p>
        </w:tc>
        <w:tc>
          <w:tcPr>
            <w:tcW w:w="1560" w:type="dxa"/>
          </w:tcPr>
          <w:p w14:paraId="2AB4A893" w14:textId="032A014A" w:rsidR="000E3E99" w:rsidRDefault="000E3E99" w:rsidP="000E3E99">
            <w:pPr>
              <w:rPr>
                <w:rFonts w:cs="Times New Roman"/>
                <w:color w:val="000000"/>
              </w:rPr>
            </w:pPr>
            <w:r>
              <w:rPr>
                <w:rFonts w:cs="Times New Roman"/>
                <w:color w:val="000000"/>
              </w:rPr>
              <w:t>Greenhills</w:t>
            </w:r>
          </w:p>
        </w:tc>
        <w:tc>
          <w:tcPr>
            <w:tcW w:w="1701" w:type="dxa"/>
          </w:tcPr>
          <w:p w14:paraId="6FB3E857" w14:textId="7F27FF45" w:rsidR="000E3E99" w:rsidRDefault="000E3E99" w:rsidP="000E3E99">
            <w:pPr>
              <w:rPr>
                <w:rFonts w:cs="Times New Roman"/>
                <w:color w:val="000000"/>
              </w:rPr>
            </w:pPr>
            <w:r>
              <w:rPr>
                <w:rFonts w:cs="Times New Roman"/>
                <w:color w:val="000000"/>
              </w:rPr>
              <w:t>Reduce by 15%</w:t>
            </w:r>
          </w:p>
        </w:tc>
        <w:tc>
          <w:tcPr>
            <w:tcW w:w="3402" w:type="dxa"/>
          </w:tcPr>
          <w:p w14:paraId="63E542BF" w14:textId="07CCDEC0" w:rsidR="000E3E99" w:rsidRPr="00D35D3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 xml:space="preserve">Many in our communities are struggling to meet financial commitments, a reduction in line with the current -15% would be welcome. Increasing the LPT at this time could put people in serious difficulty. </w:t>
            </w:r>
            <w:r w:rsidRPr="00D35D39">
              <w:rPr>
                <w:rFonts w:ascii="Open Sans" w:hAnsi="Open Sans" w:cs="Open Sans"/>
                <w:color w:val="454545"/>
                <w:sz w:val="24"/>
                <w:szCs w:val="24"/>
              </w:rPr>
              <w:lastRenderedPageBreak/>
              <w:t>Dublin house prices are the highest in the country per sq meter. Perhaps LPT should also take size of property into account.</w:t>
            </w:r>
          </w:p>
        </w:tc>
      </w:tr>
      <w:tr w:rsidR="000E3E99" w:rsidRPr="00A22289" w14:paraId="5021BD1C" w14:textId="77777777" w:rsidTr="002046A6">
        <w:tc>
          <w:tcPr>
            <w:tcW w:w="1277" w:type="dxa"/>
          </w:tcPr>
          <w:p w14:paraId="1AD812D7" w14:textId="4379DD0D" w:rsidR="000E3E99" w:rsidRDefault="000E3E99" w:rsidP="000E3E99">
            <w:r>
              <w:lastRenderedPageBreak/>
              <w:t>LPT08</w:t>
            </w:r>
          </w:p>
        </w:tc>
        <w:tc>
          <w:tcPr>
            <w:tcW w:w="1417" w:type="dxa"/>
          </w:tcPr>
          <w:p w14:paraId="6E5785B0" w14:textId="58CB8685" w:rsidR="000E3E99" w:rsidRDefault="000E3E99" w:rsidP="000E3E99">
            <w:pPr>
              <w:rPr>
                <w:rFonts w:cs="Times New Roman"/>
                <w:color w:val="000000"/>
              </w:rPr>
            </w:pPr>
            <w:r>
              <w:rPr>
                <w:rFonts w:cs="Times New Roman"/>
                <w:color w:val="000000"/>
              </w:rPr>
              <w:t>28.06.21</w:t>
            </w:r>
          </w:p>
        </w:tc>
        <w:tc>
          <w:tcPr>
            <w:tcW w:w="1134" w:type="dxa"/>
          </w:tcPr>
          <w:p w14:paraId="2EB0AAFF" w14:textId="3AF594C9" w:rsidR="000E3E99" w:rsidRDefault="000E3E99" w:rsidP="000E3E99">
            <w:pPr>
              <w:rPr>
                <w:rFonts w:cs="Times New Roman"/>
                <w:color w:val="000000"/>
              </w:rPr>
            </w:pPr>
            <w:r>
              <w:rPr>
                <w:rFonts w:cs="Times New Roman"/>
                <w:color w:val="000000"/>
              </w:rPr>
              <w:t>Online Portal</w:t>
            </w:r>
          </w:p>
        </w:tc>
        <w:tc>
          <w:tcPr>
            <w:tcW w:w="1560" w:type="dxa"/>
          </w:tcPr>
          <w:p w14:paraId="4A9CCE6E" w14:textId="1104902E" w:rsidR="000E3E99" w:rsidRDefault="000E3E99" w:rsidP="000E3E99">
            <w:pPr>
              <w:rPr>
                <w:rFonts w:cs="Times New Roman"/>
                <w:color w:val="000000"/>
              </w:rPr>
            </w:pPr>
            <w:r>
              <w:rPr>
                <w:rFonts w:cs="Times New Roman"/>
                <w:color w:val="000000"/>
              </w:rPr>
              <w:t>Rathfarnham</w:t>
            </w:r>
          </w:p>
        </w:tc>
        <w:tc>
          <w:tcPr>
            <w:tcW w:w="1701" w:type="dxa"/>
          </w:tcPr>
          <w:p w14:paraId="7CA82AF9" w14:textId="243276DD" w:rsidR="000E3E99" w:rsidRDefault="000E3E99" w:rsidP="000E3E99">
            <w:pPr>
              <w:rPr>
                <w:rFonts w:cs="Times New Roman"/>
                <w:color w:val="000000"/>
              </w:rPr>
            </w:pPr>
            <w:r>
              <w:rPr>
                <w:rFonts w:cs="Times New Roman"/>
                <w:color w:val="000000"/>
              </w:rPr>
              <w:t>Reduce by 15%</w:t>
            </w:r>
          </w:p>
        </w:tc>
        <w:tc>
          <w:tcPr>
            <w:tcW w:w="3402" w:type="dxa"/>
          </w:tcPr>
          <w:p w14:paraId="2EE5189F" w14:textId="77777777" w:rsidR="000E3E9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The LPT adjustment factor should remain the same at -15% due to the impact that the pandemic and associated lockdown has had on individuals' personal finances.</w:t>
            </w:r>
          </w:p>
          <w:p w14:paraId="5A858A91" w14:textId="77777777" w:rsidR="000E3E99" w:rsidRPr="00D35D39" w:rsidRDefault="000E3E99" w:rsidP="000E3E99">
            <w:pPr>
              <w:shd w:val="clear" w:color="auto" w:fill="FFFFFF"/>
              <w:rPr>
                <w:rFonts w:ascii="Open Sans" w:hAnsi="Open Sans" w:cs="Open Sans"/>
                <w:color w:val="454545"/>
                <w:sz w:val="24"/>
                <w:szCs w:val="24"/>
              </w:rPr>
            </w:pPr>
          </w:p>
        </w:tc>
      </w:tr>
      <w:tr w:rsidR="000E3E99" w:rsidRPr="00A22289" w14:paraId="7A19E321" w14:textId="77777777" w:rsidTr="002046A6">
        <w:tc>
          <w:tcPr>
            <w:tcW w:w="1277" w:type="dxa"/>
          </w:tcPr>
          <w:p w14:paraId="05E8B5A6" w14:textId="31A83FEE" w:rsidR="000E3E99" w:rsidRDefault="000E3E99" w:rsidP="000E3E99">
            <w:r>
              <w:t>LPT09</w:t>
            </w:r>
          </w:p>
        </w:tc>
        <w:tc>
          <w:tcPr>
            <w:tcW w:w="1417" w:type="dxa"/>
          </w:tcPr>
          <w:p w14:paraId="4B8D626B" w14:textId="0D892C2A" w:rsidR="000E3E99" w:rsidRDefault="000E3E99" w:rsidP="000E3E99">
            <w:pPr>
              <w:rPr>
                <w:rFonts w:cs="Times New Roman"/>
                <w:color w:val="000000"/>
              </w:rPr>
            </w:pPr>
            <w:r>
              <w:rPr>
                <w:rFonts w:cs="Times New Roman"/>
                <w:color w:val="000000"/>
              </w:rPr>
              <w:t>30.06.21</w:t>
            </w:r>
          </w:p>
        </w:tc>
        <w:tc>
          <w:tcPr>
            <w:tcW w:w="1134" w:type="dxa"/>
          </w:tcPr>
          <w:p w14:paraId="0A0576CB" w14:textId="7AFB0CCC" w:rsidR="000E3E99" w:rsidRDefault="000E3E99" w:rsidP="000E3E99">
            <w:pPr>
              <w:rPr>
                <w:rFonts w:cs="Times New Roman"/>
                <w:color w:val="000000"/>
              </w:rPr>
            </w:pPr>
            <w:r>
              <w:rPr>
                <w:rFonts w:cs="Times New Roman"/>
                <w:color w:val="000000"/>
              </w:rPr>
              <w:t>Online Portal</w:t>
            </w:r>
          </w:p>
        </w:tc>
        <w:tc>
          <w:tcPr>
            <w:tcW w:w="1560" w:type="dxa"/>
          </w:tcPr>
          <w:p w14:paraId="0EAB0E02" w14:textId="6A100317" w:rsidR="000E3E99" w:rsidRDefault="000E3E99" w:rsidP="000E3E99">
            <w:pPr>
              <w:rPr>
                <w:rFonts w:cs="Times New Roman"/>
                <w:color w:val="000000"/>
              </w:rPr>
            </w:pPr>
            <w:r>
              <w:rPr>
                <w:rFonts w:cs="Times New Roman"/>
                <w:color w:val="000000"/>
              </w:rPr>
              <w:t>Saggart</w:t>
            </w:r>
          </w:p>
        </w:tc>
        <w:tc>
          <w:tcPr>
            <w:tcW w:w="1701" w:type="dxa"/>
          </w:tcPr>
          <w:p w14:paraId="53452869" w14:textId="05D54933" w:rsidR="000E3E99" w:rsidRDefault="000E3E99" w:rsidP="000E3E99">
            <w:pPr>
              <w:rPr>
                <w:rFonts w:cs="Times New Roman"/>
                <w:color w:val="000000"/>
              </w:rPr>
            </w:pPr>
            <w:r>
              <w:rPr>
                <w:rFonts w:cs="Times New Roman"/>
                <w:color w:val="000000"/>
              </w:rPr>
              <w:t>Reduce by 15%</w:t>
            </w:r>
          </w:p>
        </w:tc>
        <w:tc>
          <w:tcPr>
            <w:tcW w:w="3402" w:type="dxa"/>
          </w:tcPr>
          <w:p w14:paraId="1F2C1B23" w14:textId="33A66918" w:rsidR="000E3E99" w:rsidRPr="00D35D39" w:rsidRDefault="000E3E99" w:rsidP="000E3E99">
            <w:pPr>
              <w:shd w:val="clear" w:color="auto" w:fill="FFFFFF"/>
              <w:rPr>
                <w:rFonts w:ascii="Open Sans" w:hAnsi="Open Sans" w:cs="Open Sans"/>
                <w:color w:val="454545"/>
                <w:sz w:val="24"/>
                <w:szCs w:val="24"/>
              </w:rPr>
            </w:pPr>
            <w:r w:rsidRPr="00D35D39">
              <w:rPr>
                <w:rFonts w:ascii="Open Sans" w:hAnsi="Open Sans" w:cs="Open Sans"/>
                <w:color w:val="454545"/>
                <w:sz w:val="24"/>
                <w:szCs w:val="24"/>
              </w:rPr>
              <w:t>The LPT should be set at the adjustment rate of -15%. New build houses will be included in next year's LPT rates for the first time. This will generate a significant amount of LPT income for SDCC given the scale of building in the county since 2013. This will be a new charge for homeowners, which they will need to adjust to. It should therefore be kept at its lowest rate</w:t>
            </w:r>
          </w:p>
        </w:tc>
      </w:tr>
      <w:tr w:rsidR="000E3E99" w:rsidRPr="00A22289" w14:paraId="3DE89B23" w14:textId="77777777" w:rsidTr="002046A6">
        <w:tc>
          <w:tcPr>
            <w:tcW w:w="1277" w:type="dxa"/>
          </w:tcPr>
          <w:p w14:paraId="045FAEB9" w14:textId="5A4E7DFE" w:rsidR="000E3E99" w:rsidRDefault="000E3E99" w:rsidP="000E3E99">
            <w:r>
              <w:t>LPT10</w:t>
            </w:r>
          </w:p>
        </w:tc>
        <w:tc>
          <w:tcPr>
            <w:tcW w:w="1417" w:type="dxa"/>
          </w:tcPr>
          <w:p w14:paraId="65BE9C3D" w14:textId="20338A67" w:rsidR="000E3E99" w:rsidRDefault="000E3E99" w:rsidP="000E3E99">
            <w:pPr>
              <w:rPr>
                <w:rFonts w:cs="Times New Roman"/>
                <w:color w:val="000000"/>
              </w:rPr>
            </w:pPr>
            <w:r>
              <w:rPr>
                <w:rFonts w:cs="Times New Roman"/>
                <w:color w:val="000000"/>
              </w:rPr>
              <w:t>15.06.21</w:t>
            </w:r>
          </w:p>
        </w:tc>
        <w:tc>
          <w:tcPr>
            <w:tcW w:w="1134" w:type="dxa"/>
          </w:tcPr>
          <w:p w14:paraId="5C7CB05E" w14:textId="25B6EB28" w:rsidR="000E3E99" w:rsidRDefault="000E3E99" w:rsidP="000E3E99">
            <w:pPr>
              <w:rPr>
                <w:rFonts w:cs="Times New Roman"/>
                <w:color w:val="000000"/>
              </w:rPr>
            </w:pPr>
            <w:r>
              <w:rPr>
                <w:rFonts w:cs="Times New Roman"/>
                <w:color w:val="000000"/>
              </w:rPr>
              <w:t>Email</w:t>
            </w:r>
          </w:p>
        </w:tc>
        <w:tc>
          <w:tcPr>
            <w:tcW w:w="1560" w:type="dxa"/>
          </w:tcPr>
          <w:p w14:paraId="3686E8AE" w14:textId="77777777" w:rsidR="000E3E99" w:rsidRDefault="000E3E99" w:rsidP="000E3E99">
            <w:pPr>
              <w:rPr>
                <w:rFonts w:cs="Times New Roman"/>
                <w:color w:val="000000"/>
              </w:rPr>
            </w:pPr>
          </w:p>
        </w:tc>
        <w:tc>
          <w:tcPr>
            <w:tcW w:w="1701" w:type="dxa"/>
          </w:tcPr>
          <w:p w14:paraId="70992F94" w14:textId="21864DFC" w:rsidR="000E3E99" w:rsidRDefault="000E3E99" w:rsidP="000E3E99">
            <w:pPr>
              <w:rPr>
                <w:rFonts w:cs="Times New Roman"/>
                <w:color w:val="000000"/>
              </w:rPr>
            </w:pPr>
            <w:r>
              <w:rPr>
                <w:rFonts w:cs="Times New Roman"/>
                <w:color w:val="000000"/>
              </w:rPr>
              <w:t>Reduce by 15%</w:t>
            </w:r>
          </w:p>
        </w:tc>
        <w:tc>
          <w:tcPr>
            <w:tcW w:w="3402" w:type="dxa"/>
          </w:tcPr>
          <w:p w14:paraId="4F5965EC"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I refer to above public advertisement. </w:t>
            </w:r>
          </w:p>
          <w:p w14:paraId="33A7E534"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Given the hardship of Covid pandemic to local community and the revaluation of properties, I suggest that the council would seek to reduce the charge by the maximum 15 per cent. </w:t>
            </w:r>
          </w:p>
          <w:p w14:paraId="4B10C6E5"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The council continues to deliver amazing services to the community and should be lauded. Well done to all the staff and elected members. It’s a joy to live in the council area. </w:t>
            </w:r>
          </w:p>
          <w:p w14:paraId="3FC32ED6" w14:textId="77777777" w:rsidR="000E3E99" w:rsidRPr="00D35D39" w:rsidRDefault="000E3E99" w:rsidP="000E3E99">
            <w:pPr>
              <w:shd w:val="clear" w:color="auto" w:fill="FFFFFF"/>
              <w:rPr>
                <w:rFonts w:ascii="Open Sans" w:hAnsi="Open Sans" w:cs="Open Sans"/>
                <w:color w:val="454545"/>
                <w:sz w:val="24"/>
                <w:szCs w:val="24"/>
              </w:rPr>
            </w:pPr>
          </w:p>
        </w:tc>
      </w:tr>
      <w:tr w:rsidR="000E3E99" w:rsidRPr="00A22289" w14:paraId="02E57DAA" w14:textId="77777777" w:rsidTr="002046A6">
        <w:tc>
          <w:tcPr>
            <w:tcW w:w="1277" w:type="dxa"/>
          </w:tcPr>
          <w:p w14:paraId="118CD973" w14:textId="7416706A" w:rsidR="000E3E99" w:rsidRDefault="000E3E99" w:rsidP="000E3E99">
            <w:r>
              <w:t>LPT11</w:t>
            </w:r>
          </w:p>
        </w:tc>
        <w:tc>
          <w:tcPr>
            <w:tcW w:w="1417" w:type="dxa"/>
          </w:tcPr>
          <w:p w14:paraId="637ED57C" w14:textId="03CF4DC6" w:rsidR="000E3E99" w:rsidRDefault="000E3E99" w:rsidP="000E3E99">
            <w:pPr>
              <w:rPr>
                <w:rFonts w:cs="Times New Roman"/>
                <w:color w:val="000000"/>
              </w:rPr>
            </w:pPr>
            <w:r>
              <w:rPr>
                <w:rFonts w:cs="Times New Roman"/>
                <w:color w:val="000000"/>
              </w:rPr>
              <w:t>15.06.21</w:t>
            </w:r>
          </w:p>
        </w:tc>
        <w:tc>
          <w:tcPr>
            <w:tcW w:w="1134" w:type="dxa"/>
          </w:tcPr>
          <w:p w14:paraId="13D0E58B" w14:textId="170DBD72" w:rsidR="000E3E99" w:rsidRDefault="000E3E99" w:rsidP="000E3E99">
            <w:pPr>
              <w:rPr>
                <w:rFonts w:cs="Times New Roman"/>
                <w:color w:val="000000"/>
              </w:rPr>
            </w:pPr>
            <w:r>
              <w:rPr>
                <w:rFonts w:cs="Times New Roman"/>
                <w:color w:val="000000"/>
              </w:rPr>
              <w:t>Email</w:t>
            </w:r>
          </w:p>
        </w:tc>
        <w:tc>
          <w:tcPr>
            <w:tcW w:w="1560" w:type="dxa"/>
          </w:tcPr>
          <w:p w14:paraId="5002C3C3" w14:textId="77777777" w:rsidR="000E3E99" w:rsidRDefault="000E3E99" w:rsidP="000E3E99">
            <w:pPr>
              <w:rPr>
                <w:rFonts w:cs="Times New Roman"/>
                <w:color w:val="000000"/>
              </w:rPr>
            </w:pPr>
          </w:p>
        </w:tc>
        <w:tc>
          <w:tcPr>
            <w:tcW w:w="1701" w:type="dxa"/>
          </w:tcPr>
          <w:p w14:paraId="151CE782" w14:textId="3A5C3FDD" w:rsidR="000E3E99" w:rsidRDefault="000E3E99" w:rsidP="000E3E99">
            <w:pPr>
              <w:rPr>
                <w:rFonts w:cs="Times New Roman"/>
                <w:color w:val="000000"/>
              </w:rPr>
            </w:pPr>
            <w:r>
              <w:rPr>
                <w:rFonts w:cs="Times New Roman"/>
                <w:color w:val="000000"/>
              </w:rPr>
              <w:t>Reduce</w:t>
            </w:r>
          </w:p>
        </w:tc>
        <w:tc>
          <w:tcPr>
            <w:tcW w:w="3402" w:type="dxa"/>
          </w:tcPr>
          <w:p w14:paraId="3B45EF25" w14:textId="397C2D8E" w:rsidR="000E3E99"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Please vote to lower the lpt</w:t>
            </w:r>
          </w:p>
          <w:p w14:paraId="6BEC64FE" w14:textId="77777777" w:rsidR="000E3E99" w:rsidRPr="00550FFE" w:rsidRDefault="000E3E99" w:rsidP="000E3E99">
            <w:pPr>
              <w:rPr>
                <w:rFonts w:ascii="Open Sans" w:hAnsi="Open Sans" w:cs="Open Sans"/>
                <w:color w:val="454545"/>
                <w:sz w:val="24"/>
                <w:szCs w:val="24"/>
              </w:rPr>
            </w:pPr>
          </w:p>
          <w:p w14:paraId="10EA2DA3" w14:textId="77777777" w:rsidR="000E3E99" w:rsidRPr="00550FFE" w:rsidRDefault="000E3E99" w:rsidP="000E3E99">
            <w:pPr>
              <w:rPr>
                <w:rFonts w:ascii="Open Sans" w:hAnsi="Open Sans" w:cs="Open Sans"/>
                <w:color w:val="454545"/>
                <w:sz w:val="24"/>
                <w:szCs w:val="24"/>
              </w:rPr>
            </w:pPr>
          </w:p>
        </w:tc>
      </w:tr>
      <w:tr w:rsidR="000E3E99" w:rsidRPr="00A22289" w14:paraId="0FF10EF0" w14:textId="77777777" w:rsidTr="002046A6">
        <w:tc>
          <w:tcPr>
            <w:tcW w:w="1277" w:type="dxa"/>
          </w:tcPr>
          <w:p w14:paraId="36D30909" w14:textId="62727A9D" w:rsidR="000E3E99" w:rsidRDefault="000E3E99" w:rsidP="000E3E99">
            <w:r>
              <w:lastRenderedPageBreak/>
              <w:t>LPT12</w:t>
            </w:r>
          </w:p>
        </w:tc>
        <w:tc>
          <w:tcPr>
            <w:tcW w:w="1417" w:type="dxa"/>
          </w:tcPr>
          <w:p w14:paraId="590E6347" w14:textId="22F23A9A" w:rsidR="000E3E99" w:rsidRDefault="000E3E99" w:rsidP="000E3E99">
            <w:pPr>
              <w:rPr>
                <w:rFonts w:cs="Times New Roman"/>
                <w:color w:val="000000"/>
              </w:rPr>
            </w:pPr>
            <w:r>
              <w:rPr>
                <w:rFonts w:cs="Times New Roman"/>
                <w:color w:val="000000"/>
              </w:rPr>
              <w:t>15.06.21</w:t>
            </w:r>
          </w:p>
        </w:tc>
        <w:tc>
          <w:tcPr>
            <w:tcW w:w="1134" w:type="dxa"/>
          </w:tcPr>
          <w:p w14:paraId="18037FCD" w14:textId="5A09D330" w:rsidR="000E3E99" w:rsidRDefault="000E3E99" w:rsidP="000E3E99">
            <w:pPr>
              <w:rPr>
                <w:rFonts w:cs="Times New Roman"/>
                <w:color w:val="000000"/>
              </w:rPr>
            </w:pPr>
            <w:r>
              <w:rPr>
                <w:rFonts w:cs="Times New Roman"/>
                <w:color w:val="000000"/>
              </w:rPr>
              <w:t>Email</w:t>
            </w:r>
          </w:p>
        </w:tc>
        <w:tc>
          <w:tcPr>
            <w:tcW w:w="1560" w:type="dxa"/>
          </w:tcPr>
          <w:p w14:paraId="594A8941" w14:textId="77777777" w:rsidR="000E3E99" w:rsidRDefault="000E3E99" w:rsidP="000E3E99">
            <w:pPr>
              <w:rPr>
                <w:rFonts w:cs="Times New Roman"/>
                <w:color w:val="000000"/>
              </w:rPr>
            </w:pPr>
          </w:p>
        </w:tc>
        <w:tc>
          <w:tcPr>
            <w:tcW w:w="1701" w:type="dxa"/>
          </w:tcPr>
          <w:p w14:paraId="1B805BC8" w14:textId="60B0D9E9" w:rsidR="000E3E99" w:rsidRDefault="000E3E99" w:rsidP="000E3E99">
            <w:pPr>
              <w:rPr>
                <w:rFonts w:cs="Times New Roman"/>
                <w:color w:val="000000"/>
              </w:rPr>
            </w:pPr>
            <w:r>
              <w:rPr>
                <w:rFonts w:cs="Times New Roman"/>
                <w:color w:val="000000"/>
              </w:rPr>
              <w:t>Reduce by 15%</w:t>
            </w:r>
          </w:p>
        </w:tc>
        <w:tc>
          <w:tcPr>
            <w:tcW w:w="3402" w:type="dxa"/>
          </w:tcPr>
          <w:p w14:paraId="289555DB"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 xml:space="preserve">Dear Manager </w:t>
            </w:r>
          </w:p>
          <w:p w14:paraId="040B74CD"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 xml:space="preserve">I wish to make a submission against the raising of the Local Property Tax , I continue to maintain that this is an unfair and unjust Tax and again I lobby and campaign that this unfair tax is kept at the 15% reduction allowed to elected representatives , we cannot again hit people that are struggling to live and meet the increasing demands of trying to meet the ever rising cost of living in Dublin especially in light of Covid 19 </w:t>
            </w:r>
          </w:p>
          <w:p w14:paraId="468C7F77" w14:textId="77777777" w:rsidR="000E3E99" w:rsidRPr="00550FFE" w:rsidRDefault="000E3E99" w:rsidP="000E3E99">
            <w:pPr>
              <w:autoSpaceDE w:val="0"/>
              <w:autoSpaceDN w:val="0"/>
              <w:rPr>
                <w:rFonts w:ascii="Open Sans" w:hAnsi="Open Sans" w:cs="Open Sans"/>
                <w:color w:val="454545"/>
                <w:sz w:val="24"/>
                <w:szCs w:val="24"/>
              </w:rPr>
            </w:pPr>
            <w:r w:rsidRPr="00550FFE">
              <w:rPr>
                <w:rFonts w:ascii="Open Sans" w:hAnsi="Open Sans" w:cs="Open Sans"/>
                <w:color w:val="454545"/>
                <w:sz w:val="24"/>
                <w:szCs w:val="24"/>
              </w:rPr>
              <w:t xml:space="preserve">Go raibh maith agat, </w:t>
            </w:r>
          </w:p>
          <w:p w14:paraId="264DC0FA" w14:textId="77777777" w:rsidR="000E3E99" w:rsidRPr="00550FFE" w:rsidRDefault="000E3E99" w:rsidP="000E3E99">
            <w:pPr>
              <w:rPr>
                <w:rFonts w:ascii="Open Sans" w:hAnsi="Open Sans" w:cs="Open Sans"/>
                <w:color w:val="454545"/>
                <w:sz w:val="24"/>
                <w:szCs w:val="24"/>
              </w:rPr>
            </w:pPr>
          </w:p>
        </w:tc>
      </w:tr>
      <w:tr w:rsidR="000E3E99" w:rsidRPr="00A22289" w14:paraId="3EC93551" w14:textId="77777777" w:rsidTr="002046A6">
        <w:tc>
          <w:tcPr>
            <w:tcW w:w="1277" w:type="dxa"/>
          </w:tcPr>
          <w:p w14:paraId="56920B96" w14:textId="72446BAD" w:rsidR="000E3E99" w:rsidRDefault="000E3E99" w:rsidP="000E3E99">
            <w:r>
              <w:t>LPT13</w:t>
            </w:r>
          </w:p>
        </w:tc>
        <w:tc>
          <w:tcPr>
            <w:tcW w:w="1417" w:type="dxa"/>
          </w:tcPr>
          <w:p w14:paraId="3BD3513C" w14:textId="3C410D9F" w:rsidR="000E3E99" w:rsidRDefault="000E3E99" w:rsidP="000E3E99">
            <w:pPr>
              <w:rPr>
                <w:rFonts w:cs="Times New Roman"/>
                <w:color w:val="000000"/>
              </w:rPr>
            </w:pPr>
            <w:r>
              <w:rPr>
                <w:rFonts w:cs="Times New Roman"/>
                <w:color w:val="000000"/>
              </w:rPr>
              <w:t>28.06.21</w:t>
            </w:r>
          </w:p>
        </w:tc>
        <w:tc>
          <w:tcPr>
            <w:tcW w:w="1134" w:type="dxa"/>
          </w:tcPr>
          <w:p w14:paraId="34E0392C" w14:textId="0C3D498C" w:rsidR="000E3E99" w:rsidRDefault="000E3E99" w:rsidP="000E3E99">
            <w:pPr>
              <w:rPr>
                <w:rFonts w:cs="Times New Roman"/>
                <w:color w:val="000000"/>
              </w:rPr>
            </w:pPr>
            <w:r>
              <w:rPr>
                <w:rFonts w:cs="Times New Roman"/>
                <w:color w:val="000000"/>
              </w:rPr>
              <w:t>Email</w:t>
            </w:r>
          </w:p>
        </w:tc>
        <w:tc>
          <w:tcPr>
            <w:tcW w:w="1560" w:type="dxa"/>
          </w:tcPr>
          <w:p w14:paraId="18FE26AD" w14:textId="77777777" w:rsidR="000E3E99" w:rsidRDefault="000E3E99" w:rsidP="000E3E99">
            <w:pPr>
              <w:rPr>
                <w:rFonts w:cs="Times New Roman"/>
                <w:color w:val="000000"/>
              </w:rPr>
            </w:pPr>
          </w:p>
        </w:tc>
        <w:tc>
          <w:tcPr>
            <w:tcW w:w="1701" w:type="dxa"/>
          </w:tcPr>
          <w:p w14:paraId="691E7E95" w14:textId="79E54A3B" w:rsidR="000E3E99" w:rsidRDefault="000E3E99" w:rsidP="000E3E99">
            <w:pPr>
              <w:rPr>
                <w:rFonts w:cs="Times New Roman"/>
                <w:color w:val="000000"/>
              </w:rPr>
            </w:pPr>
            <w:r>
              <w:rPr>
                <w:rFonts w:cs="Times New Roman"/>
                <w:color w:val="000000"/>
              </w:rPr>
              <w:t>No Change</w:t>
            </w:r>
          </w:p>
        </w:tc>
        <w:tc>
          <w:tcPr>
            <w:tcW w:w="3402" w:type="dxa"/>
          </w:tcPr>
          <w:p w14:paraId="79CDD8D9"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 xml:space="preserve">Hi,  </w:t>
            </w:r>
          </w:p>
          <w:p w14:paraId="6904FAC9"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The base rate should not be changed. With the new rate bands it's supposed to be getting cheaper for many where valuation is less than 200k€ but of rate gets up to 15% additional to that then there is no saving at all and all the burden falls back to the owners. There are stillany properties which are worth less than 200k, especially apartments if taken by "real" value instead of inflated prices.</w:t>
            </w:r>
          </w:p>
          <w:p w14:paraId="7F15D7E4"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In my case i pay about 20€/month off my paycheck, with the revised base rate that would go down to about 9€/month.</w:t>
            </w:r>
          </w:p>
          <w:p w14:paraId="51EAFBC2" w14:textId="77777777" w:rsidR="000E3E99" w:rsidRPr="00550FFE" w:rsidRDefault="000E3E99" w:rsidP="000E3E99">
            <w:pPr>
              <w:rPr>
                <w:rFonts w:ascii="Open Sans" w:hAnsi="Open Sans" w:cs="Open Sans"/>
                <w:color w:val="454545"/>
                <w:sz w:val="24"/>
                <w:szCs w:val="24"/>
              </w:rPr>
            </w:pPr>
          </w:p>
        </w:tc>
      </w:tr>
      <w:tr w:rsidR="000E3E99" w:rsidRPr="00A22289" w14:paraId="62254744" w14:textId="77777777" w:rsidTr="002046A6">
        <w:tc>
          <w:tcPr>
            <w:tcW w:w="1277" w:type="dxa"/>
          </w:tcPr>
          <w:p w14:paraId="4FE4327C" w14:textId="4CF75B22" w:rsidR="000E3E99" w:rsidRDefault="000E3E99" w:rsidP="000E3E99">
            <w:r>
              <w:t>LPT14</w:t>
            </w:r>
          </w:p>
        </w:tc>
        <w:tc>
          <w:tcPr>
            <w:tcW w:w="1417" w:type="dxa"/>
          </w:tcPr>
          <w:p w14:paraId="007194EB" w14:textId="6FD9757E" w:rsidR="000E3E99" w:rsidRDefault="000E3E99" w:rsidP="000E3E99">
            <w:pPr>
              <w:rPr>
                <w:rFonts w:cs="Times New Roman"/>
                <w:color w:val="000000"/>
              </w:rPr>
            </w:pPr>
            <w:r>
              <w:rPr>
                <w:rFonts w:cs="Times New Roman"/>
                <w:color w:val="000000"/>
              </w:rPr>
              <w:t>30.06.21</w:t>
            </w:r>
          </w:p>
        </w:tc>
        <w:tc>
          <w:tcPr>
            <w:tcW w:w="1134" w:type="dxa"/>
          </w:tcPr>
          <w:p w14:paraId="206AB4FE" w14:textId="77792E50" w:rsidR="000E3E99" w:rsidRDefault="000E3E99" w:rsidP="000E3E99">
            <w:pPr>
              <w:rPr>
                <w:rFonts w:cs="Times New Roman"/>
                <w:color w:val="000000"/>
              </w:rPr>
            </w:pPr>
            <w:r>
              <w:rPr>
                <w:rFonts w:cs="Times New Roman"/>
                <w:color w:val="000000"/>
              </w:rPr>
              <w:t>Email</w:t>
            </w:r>
          </w:p>
        </w:tc>
        <w:tc>
          <w:tcPr>
            <w:tcW w:w="1560" w:type="dxa"/>
          </w:tcPr>
          <w:p w14:paraId="38AE41E7" w14:textId="77777777" w:rsidR="000E3E99" w:rsidRDefault="000E3E99" w:rsidP="000E3E99">
            <w:pPr>
              <w:rPr>
                <w:rFonts w:cs="Times New Roman"/>
                <w:color w:val="000000"/>
              </w:rPr>
            </w:pPr>
          </w:p>
        </w:tc>
        <w:tc>
          <w:tcPr>
            <w:tcW w:w="1701" w:type="dxa"/>
          </w:tcPr>
          <w:p w14:paraId="102300CB" w14:textId="42791654" w:rsidR="000E3E99" w:rsidRDefault="000E3E99" w:rsidP="000E3E99">
            <w:pPr>
              <w:rPr>
                <w:rFonts w:cs="Times New Roman"/>
                <w:color w:val="000000"/>
              </w:rPr>
            </w:pPr>
            <w:r>
              <w:rPr>
                <w:rFonts w:cs="Times New Roman"/>
                <w:color w:val="000000"/>
              </w:rPr>
              <w:t>Reduce by 15%</w:t>
            </w:r>
          </w:p>
        </w:tc>
        <w:tc>
          <w:tcPr>
            <w:tcW w:w="3402" w:type="dxa"/>
          </w:tcPr>
          <w:p w14:paraId="5FC21BC8"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 xml:space="preserve">Dear Manager </w:t>
            </w:r>
          </w:p>
          <w:p w14:paraId="34B0B2BB" w14:textId="77777777"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 xml:space="preserve">I wish to make a submission against the raising of the Local Property Tax , I continue </w:t>
            </w:r>
            <w:r w:rsidRPr="00550FFE">
              <w:rPr>
                <w:rFonts w:ascii="Open Sans" w:hAnsi="Open Sans" w:cs="Open Sans"/>
                <w:color w:val="454545"/>
                <w:sz w:val="24"/>
                <w:szCs w:val="24"/>
              </w:rPr>
              <w:lastRenderedPageBreak/>
              <w:t xml:space="preserve">to maintain that this is an unfair and unjust Tax and again I lobby and campaign that this unfair tax is kept at the 15% reduction allowed to elected representatives , we cannot again hit people that are struggling to live and meet the increasing demands of trying to meet the ever rising cost of living in Dublin especially in light of Covid 19 </w:t>
            </w:r>
          </w:p>
          <w:p w14:paraId="29E21AA7" w14:textId="79C5790F" w:rsidR="000E3E99" w:rsidRPr="00550FFE" w:rsidRDefault="000E3E99" w:rsidP="000E3E99">
            <w:pPr>
              <w:rPr>
                <w:rFonts w:ascii="Open Sans" w:hAnsi="Open Sans" w:cs="Open Sans"/>
                <w:color w:val="454545"/>
                <w:sz w:val="24"/>
                <w:szCs w:val="24"/>
              </w:rPr>
            </w:pPr>
            <w:r w:rsidRPr="00550FFE">
              <w:rPr>
                <w:rFonts w:ascii="Open Sans" w:hAnsi="Open Sans" w:cs="Open Sans"/>
                <w:color w:val="454545"/>
                <w:sz w:val="24"/>
                <w:szCs w:val="24"/>
              </w:rPr>
              <w:t>Go raibh maith agat</w:t>
            </w:r>
          </w:p>
        </w:tc>
      </w:tr>
      <w:tr w:rsidR="000E3E99" w:rsidRPr="00A22289" w14:paraId="6B1F0256" w14:textId="77777777" w:rsidTr="002046A6">
        <w:tc>
          <w:tcPr>
            <w:tcW w:w="1277" w:type="dxa"/>
          </w:tcPr>
          <w:p w14:paraId="1D494261" w14:textId="318BA060" w:rsidR="000E3E99" w:rsidRDefault="000E3E99" w:rsidP="000E3E99">
            <w:r>
              <w:lastRenderedPageBreak/>
              <w:t>LPT15</w:t>
            </w:r>
          </w:p>
        </w:tc>
        <w:tc>
          <w:tcPr>
            <w:tcW w:w="1417" w:type="dxa"/>
          </w:tcPr>
          <w:p w14:paraId="1E8452D1" w14:textId="6FCDAD35" w:rsidR="000E3E99" w:rsidRDefault="000E3E99" w:rsidP="000E3E99">
            <w:pPr>
              <w:rPr>
                <w:rFonts w:cs="Times New Roman"/>
                <w:color w:val="000000"/>
              </w:rPr>
            </w:pPr>
            <w:r>
              <w:rPr>
                <w:rFonts w:cs="Times New Roman"/>
                <w:color w:val="000000"/>
              </w:rPr>
              <w:t>30.06.21</w:t>
            </w:r>
          </w:p>
        </w:tc>
        <w:tc>
          <w:tcPr>
            <w:tcW w:w="1134" w:type="dxa"/>
          </w:tcPr>
          <w:p w14:paraId="5569CBA7" w14:textId="67D890BE" w:rsidR="000E3E99" w:rsidRDefault="000E3E99" w:rsidP="000E3E99">
            <w:pPr>
              <w:rPr>
                <w:rFonts w:cs="Times New Roman"/>
                <w:color w:val="000000"/>
              </w:rPr>
            </w:pPr>
            <w:r>
              <w:rPr>
                <w:rFonts w:cs="Times New Roman"/>
                <w:color w:val="000000"/>
              </w:rPr>
              <w:t>Email</w:t>
            </w:r>
          </w:p>
        </w:tc>
        <w:tc>
          <w:tcPr>
            <w:tcW w:w="1560" w:type="dxa"/>
          </w:tcPr>
          <w:p w14:paraId="56B6BA8E" w14:textId="7BB3E7C8" w:rsidR="000E3E99" w:rsidRDefault="000E3E99" w:rsidP="000E3E99">
            <w:pPr>
              <w:rPr>
                <w:rFonts w:cs="Times New Roman"/>
                <w:color w:val="000000"/>
              </w:rPr>
            </w:pPr>
            <w:r>
              <w:rPr>
                <w:rFonts w:cs="Times New Roman"/>
                <w:color w:val="000000"/>
              </w:rPr>
              <w:t>Adamstown</w:t>
            </w:r>
          </w:p>
        </w:tc>
        <w:tc>
          <w:tcPr>
            <w:tcW w:w="1701" w:type="dxa"/>
          </w:tcPr>
          <w:p w14:paraId="3B1FC136" w14:textId="613C0A5F" w:rsidR="000E3E99" w:rsidRDefault="000E3E99" w:rsidP="000E3E99">
            <w:pPr>
              <w:rPr>
                <w:rFonts w:cs="Times New Roman"/>
                <w:color w:val="000000"/>
              </w:rPr>
            </w:pPr>
            <w:r>
              <w:rPr>
                <w:rFonts w:cs="Times New Roman"/>
                <w:color w:val="000000"/>
              </w:rPr>
              <w:t>Reduce by 15%</w:t>
            </w:r>
          </w:p>
        </w:tc>
        <w:tc>
          <w:tcPr>
            <w:tcW w:w="3402" w:type="dxa"/>
          </w:tcPr>
          <w:p w14:paraId="481B9478" w14:textId="77777777" w:rsidR="000E3E99" w:rsidRPr="002B5F5E" w:rsidRDefault="000E3E99" w:rsidP="000E3E99">
            <w:pPr>
              <w:pStyle w:val="PlainText"/>
              <w:rPr>
                <w:rFonts w:ascii="Open Sans" w:eastAsia="Times New Roman" w:hAnsi="Open Sans" w:cs="Open Sans"/>
                <w:color w:val="454545"/>
                <w:sz w:val="24"/>
                <w:szCs w:val="24"/>
                <w:lang w:val="en-GB"/>
              </w:rPr>
            </w:pPr>
            <w:r w:rsidRPr="002B5F5E">
              <w:rPr>
                <w:rFonts w:ascii="Open Sans" w:eastAsia="Times New Roman" w:hAnsi="Open Sans" w:cs="Open Sans"/>
                <w:color w:val="454545"/>
                <w:sz w:val="24"/>
                <w:szCs w:val="24"/>
                <w:lang w:val="en-GB"/>
              </w:rPr>
              <w:t>To whom it may concern</w:t>
            </w:r>
          </w:p>
          <w:p w14:paraId="651B8AD2" w14:textId="77777777" w:rsidR="000E3E99" w:rsidRPr="002B5F5E" w:rsidRDefault="000E3E99" w:rsidP="000E3E99">
            <w:pPr>
              <w:pStyle w:val="PlainText"/>
              <w:rPr>
                <w:rFonts w:ascii="Open Sans" w:eastAsia="Times New Roman" w:hAnsi="Open Sans" w:cs="Open Sans"/>
                <w:color w:val="454545"/>
                <w:sz w:val="24"/>
                <w:szCs w:val="24"/>
                <w:lang w:val="en-GB"/>
              </w:rPr>
            </w:pPr>
          </w:p>
          <w:p w14:paraId="6CA98236" w14:textId="77777777" w:rsidR="000E3E99" w:rsidRPr="002B5F5E" w:rsidRDefault="000E3E99" w:rsidP="000E3E99">
            <w:pPr>
              <w:pStyle w:val="PlainText"/>
              <w:rPr>
                <w:rFonts w:ascii="Open Sans" w:eastAsia="Times New Roman" w:hAnsi="Open Sans" w:cs="Open Sans"/>
                <w:color w:val="454545"/>
                <w:sz w:val="24"/>
                <w:szCs w:val="24"/>
                <w:lang w:val="en-GB"/>
              </w:rPr>
            </w:pPr>
            <w:r w:rsidRPr="002B5F5E">
              <w:rPr>
                <w:rFonts w:ascii="Open Sans" w:eastAsia="Times New Roman" w:hAnsi="Open Sans" w:cs="Open Sans"/>
                <w:color w:val="454545"/>
                <w:sz w:val="24"/>
                <w:szCs w:val="24"/>
                <w:lang w:val="en-GB"/>
              </w:rPr>
              <w:t>I would like to make a submission in relation property tax. I am in favour of Maximum reduction. I live in The Paddocks Adamstown. I already pay Management fees and my roads have yet to taken in charge.</w:t>
            </w:r>
          </w:p>
          <w:p w14:paraId="3DF54F59" w14:textId="77777777" w:rsidR="000E3E99" w:rsidRPr="002B5F5E" w:rsidRDefault="000E3E99" w:rsidP="000E3E99">
            <w:pPr>
              <w:pStyle w:val="PlainText"/>
              <w:rPr>
                <w:rFonts w:ascii="Open Sans" w:eastAsia="Times New Roman" w:hAnsi="Open Sans" w:cs="Open Sans"/>
                <w:color w:val="454545"/>
                <w:sz w:val="24"/>
                <w:szCs w:val="24"/>
                <w:lang w:val="en-GB"/>
              </w:rPr>
            </w:pPr>
          </w:p>
          <w:p w14:paraId="4C441679" w14:textId="06F1DB62" w:rsidR="000E3E99" w:rsidRPr="00550FFE" w:rsidRDefault="000E3E99" w:rsidP="000E3E99">
            <w:pPr>
              <w:rPr>
                <w:rFonts w:ascii="Open Sans" w:hAnsi="Open Sans" w:cs="Open Sans"/>
                <w:color w:val="454545"/>
                <w:sz w:val="24"/>
                <w:szCs w:val="24"/>
              </w:rPr>
            </w:pPr>
            <w:r w:rsidRPr="002B5F5E">
              <w:rPr>
                <w:rFonts w:ascii="Open Sans" w:hAnsi="Open Sans" w:cs="Open Sans"/>
                <w:color w:val="454545"/>
                <w:sz w:val="24"/>
                <w:szCs w:val="24"/>
              </w:rPr>
              <w:t>While I aware property tax covers the then just my estate, I feel those in managed estate should get a reduction but as not possible so I feel this is our only avenue for any reduction</w:t>
            </w:r>
          </w:p>
        </w:tc>
      </w:tr>
    </w:tbl>
    <w:p w14:paraId="18CF9738" w14:textId="77777777" w:rsidR="0092641F" w:rsidRDefault="0092641F" w:rsidP="0092641F">
      <w:pPr>
        <w:rPr>
          <w:rFonts w:ascii="TT185t00" w:hAnsi="TT185t00" w:cs="TT185t00"/>
        </w:rPr>
      </w:pPr>
    </w:p>
    <w:p w14:paraId="6EE8EEC5" w14:textId="77777777" w:rsidR="00086A9A" w:rsidRDefault="00086A9A" w:rsidP="00086A9A">
      <w:pPr>
        <w:jc w:val="both"/>
      </w:pPr>
    </w:p>
    <w:p w14:paraId="67D3E7A9" w14:textId="47B44940" w:rsidR="00752403" w:rsidRDefault="00086A9A" w:rsidP="00752403">
      <w:pPr>
        <w:autoSpaceDE w:val="0"/>
        <w:autoSpaceDN w:val="0"/>
        <w:adjustRightInd w:val="0"/>
        <w:spacing w:line="360" w:lineRule="auto"/>
        <w:jc w:val="both"/>
        <w:rPr>
          <w:color w:val="000000"/>
        </w:rPr>
      </w:pPr>
      <w:r>
        <w:rPr>
          <w:color w:val="000000"/>
        </w:rPr>
        <w:t xml:space="preserve">This report is submitted for consideration by the Members in accordance with Section 20 of the Finance (Local Property) Tax Act 2012 and Paragraph 8, Part 4, of the Local </w:t>
      </w:r>
      <w:r w:rsidR="00F94498">
        <w:rPr>
          <w:color w:val="000000"/>
        </w:rPr>
        <w:t>P</w:t>
      </w:r>
      <w:r>
        <w:rPr>
          <w:color w:val="000000"/>
        </w:rPr>
        <w:t xml:space="preserve">roperty Tax (Local Adjustment Factor) Regulations 2014. </w:t>
      </w:r>
      <w:r w:rsidR="00CA254D">
        <w:rPr>
          <w:color w:val="000000"/>
        </w:rPr>
        <w:t>A</w:t>
      </w:r>
      <w:r>
        <w:rPr>
          <w:color w:val="000000"/>
        </w:rPr>
        <w:t xml:space="preserve"> Local Authority </w:t>
      </w:r>
      <w:r w:rsidR="00CA254D">
        <w:rPr>
          <w:color w:val="000000"/>
        </w:rPr>
        <w:t>which varies</w:t>
      </w:r>
      <w:r>
        <w:rPr>
          <w:color w:val="000000"/>
        </w:rPr>
        <w:t xml:space="preserve"> the basic rate of the LPT must inform the Revenue Commissioners of that decision not later than the 3</w:t>
      </w:r>
      <w:r w:rsidR="00262F4C">
        <w:rPr>
          <w:color w:val="000000"/>
        </w:rPr>
        <w:t>1st</w:t>
      </w:r>
      <w:r>
        <w:rPr>
          <w:color w:val="000000"/>
        </w:rPr>
        <w:t xml:space="preserve"> of </w:t>
      </w:r>
      <w:r w:rsidR="00CA254D">
        <w:rPr>
          <w:color w:val="000000"/>
        </w:rPr>
        <w:t>August</w:t>
      </w:r>
      <w:r>
        <w:rPr>
          <w:color w:val="000000"/>
        </w:rPr>
        <w:t xml:space="preserve"> in the year prior to which the LPT variation takes effect</w:t>
      </w:r>
      <w:r w:rsidR="00CA254D">
        <w:rPr>
          <w:color w:val="000000"/>
        </w:rPr>
        <w:t xml:space="preserve">. The Local Authority </w:t>
      </w:r>
      <w:r>
        <w:rPr>
          <w:color w:val="000000"/>
        </w:rPr>
        <w:t xml:space="preserve">must also </w:t>
      </w:r>
      <w:r w:rsidR="00CA254D">
        <w:rPr>
          <w:color w:val="000000"/>
        </w:rPr>
        <w:t>notify</w:t>
      </w:r>
      <w:r w:rsidR="00727812">
        <w:rPr>
          <w:color w:val="000000"/>
        </w:rPr>
        <w:t xml:space="preserve"> </w:t>
      </w:r>
      <w:r>
        <w:rPr>
          <w:color w:val="000000"/>
        </w:rPr>
        <w:t xml:space="preserve">the Minister for </w:t>
      </w:r>
      <w:r w:rsidR="00F94498">
        <w:rPr>
          <w:color w:val="000000"/>
        </w:rPr>
        <w:t xml:space="preserve">Housing, </w:t>
      </w:r>
      <w:r>
        <w:rPr>
          <w:color w:val="000000"/>
        </w:rPr>
        <w:t>Local Government</w:t>
      </w:r>
      <w:r w:rsidR="00CA254D">
        <w:rPr>
          <w:color w:val="000000"/>
        </w:rPr>
        <w:t xml:space="preserve"> &amp; Heritage</w:t>
      </w:r>
      <w:r>
        <w:rPr>
          <w:color w:val="000000"/>
        </w:rPr>
        <w:t xml:space="preserve"> not later than that date</w:t>
      </w:r>
      <w:r w:rsidR="000E3E99">
        <w:rPr>
          <w:color w:val="000000"/>
        </w:rPr>
        <w:t xml:space="preserve"> of their decision</w:t>
      </w:r>
      <w:r>
        <w:rPr>
          <w:color w:val="000000"/>
        </w:rPr>
        <w:t>. To comply with those requirements the adoption of the resolution by a Local Authority varying the basic rate of the LPT must be made prior to that date of 3</w:t>
      </w:r>
      <w:r w:rsidR="00262F4C">
        <w:rPr>
          <w:color w:val="000000"/>
        </w:rPr>
        <w:t>1st</w:t>
      </w:r>
      <w:r w:rsidR="00052D65">
        <w:rPr>
          <w:color w:val="000000"/>
        </w:rPr>
        <w:t xml:space="preserve"> </w:t>
      </w:r>
      <w:r w:rsidR="00CA254D">
        <w:rPr>
          <w:color w:val="000000"/>
        </w:rPr>
        <w:t>August</w:t>
      </w:r>
      <w:r>
        <w:rPr>
          <w:color w:val="000000"/>
        </w:rPr>
        <w:t>.</w:t>
      </w:r>
    </w:p>
    <w:p w14:paraId="476B1ED4" w14:textId="77777777" w:rsidR="00752403" w:rsidRDefault="00752403" w:rsidP="00752403">
      <w:pPr>
        <w:autoSpaceDE w:val="0"/>
        <w:autoSpaceDN w:val="0"/>
        <w:adjustRightInd w:val="0"/>
        <w:spacing w:line="360" w:lineRule="auto"/>
        <w:jc w:val="both"/>
        <w:rPr>
          <w:color w:val="000000"/>
        </w:rPr>
      </w:pPr>
    </w:p>
    <w:p w14:paraId="738A7C16" w14:textId="77777777" w:rsidR="00086A9A" w:rsidRDefault="00086A9A" w:rsidP="00752403">
      <w:pPr>
        <w:autoSpaceDE w:val="0"/>
        <w:autoSpaceDN w:val="0"/>
        <w:adjustRightInd w:val="0"/>
        <w:spacing w:line="360" w:lineRule="auto"/>
        <w:jc w:val="both"/>
        <w:rPr>
          <w:color w:val="000000"/>
        </w:rPr>
      </w:pPr>
      <w:r>
        <w:rPr>
          <w:color w:val="000000"/>
        </w:rPr>
        <w:lastRenderedPageBreak/>
        <w:t>As provided for in Article 8 of the Local Property Tax (Local Adjustment Factor)</w:t>
      </w:r>
    </w:p>
    <w:p w14:paraId="7061333E" w14:textId="60C65F20" w:rsidR="00CC35D8" w:rsidRPr="00CC35D8" w:rsidRDefault="00086A9A" w:rsidP="00CC35D8">
      <w:pPr>
        <w:autoSpaceDE w:val="0"/>
        <w:autoSpaceDN w:val="0"/>
        <w:adjustRightInd w:val="0"/>
        <w:spacing w:line="360" w:lineRule="auto"/>
        <w:jc w:val="both"/>
        <w:rPr>
          <w:color w:val="000000"/>
        </w:rPr>
      </w:pPr>
      <w:r>
        <w:rPr>
          <w:color w:val="000000"/>
        </w:rPr>
        <w:t>Regulations 2014</w:t>
      </w:r>
      <w:r w:rsidR="00F94498">
        <w:rPr>
          <w:color w:val="000000"/>
        </w:rPr>
        <w:t>,</w:t>
      </w:r>
      <w:r>
        <w:rPr>
          <w:color w:val="000000"/>
        </w:rPr>
        <w:t xml:space="preserve"> the varied rate of Local Property Tax applies for a period of one year from the next local property tax li</w:t>
      </w:r>
      <w:r w:rsidR="00052D65">
        <w:rPr>
          <w:color w:val="000000"/>
        </w:rPr>
        <w:t>ability date i.e. from 1/11/20</w:t>
      </w:r>
      <w:r w:rsidR="00AF1B12">
        <w:rPr>
          <w:color w:val="000000"/>
        </w:rPr>
        <w:t>2</w:t>
      </w:r>
      <w:r w:rsidR="00CA254D">
        <w:rPr>
          <w:color w:val="000000"/>
        </w:rPr>
        <w:t>1</w:t>
      </w:r>
      <w:r w:rsidR="00052D65">
        <w:rPr>
          <w:color w:val="000000"/>
        </w:rPr>
        <w:t xml:space="preserve"> to 31/10/20</w:t>
      </w:r>
      <w:r w:rsidR="00021BD7">
        <w:rPr>
          <w:color w:val="000000"/>
        </w:rPr>
        <w:t>2</w:t>
      </w:r>
      <w:r w:rsidR="00CA254D">
        <w:rPr>
          <w:color w:val="000000"/>
        </w:rPr>
        <w:t>2</w:t>
      </w:r>
      <w:r>
        <w:rPr>
          <w:color w:val="000000"/>
        </w:rPr>
        <w:t xml:space="preserve"> after which time the rate of LPT reverts back to the initial (basic) rate as defined in the 2012 Act.</w:t>
      </w:r>
      <w:r w:rsidR="00CC35D8">
        <w:rPr>
          <w:color w:val="000000"/>
        </w:rPr>
        <w:t xml:space="preserve"> </w:t>
      </w:r>
      <w:r w:rsidR="00CC35D8" w:rsidRPr="00CC35D8">
        <w:rPr>
          <w:color w:val="000000"/>
        </w:rPr>
        <w:t>A copy of Circular Fin 1</w:t>
      </w:r>
      <w:r w:rsidR="00CA254D">
        <w:rPr>
          <w:color w:val="000000"/>
        </w:rPr>
        <w:t>5</w:t>
      </w:r>
      <w:r w:rsidR="00CC35D8" w:rsidRPr="00CC35D8">
        <w:rPr>
          <w:color w:val="000000"/>
        </w:rPr>
        <w:t>/202</w:t>
      </w:r>
      <w:r w:rsidR="00CA254D">
        <w:rPr>
          <w:color w:val="000000"/>
        </w:rPr>
        <w:t>1</w:t>
      </w:r>
      <w:r w:rsidR="00CC35D8" w:rsidRPr="00CC35D8">
        <w:rPr>
          <w:color w:val="000000"/>
        </w:rPr>
        <w:t xml:space="preserve"> is attached setting out the LPT allocation for SDCC.</w:t>
      </w:r>
    </w:p>
    <w:p w14:paraId="7C8B630B" w14:textId="0A639DA7" w:rsidR="00110C8C" w:rsidRDefault="00110C8C" w:rsidP="00752403">
      <w:pPr>
        <w:autoSpaceDE w:val="0"/>
        <w:autoSpaceDN w:val="0"/>
        <w:adjustRightInd w:val="0"/>
        <w:spacing w:line="360" w:lineRule="auto"/>
        <w:jc w:val="both"/>
        <w:rPr>
          <w:color w:val="000000"/>
        </w:rPr>
      </w:pPr>
    </w:p>
    <w:p w14:paraId="2782DE36" w14:textId="2DF129BB" w:rsidR="00DB3657" w:rsidRPr="005D4272" w:rsidRDefault="00086A9A" w:rsidP="00752403">
      <w:pPr>
        <w:autoSpaceDE w:val="0"/>
        <w:autoSpaceDN w:val="0"/>
        <w:adjustRightInd w:val="0"/>
        <w:spacing w:line="360" w:lineRule="auto"/>
        <w:jc w:val="both"/>
        <w:rPr>
          <w:color w:val="000000"/>
        </w:rPr>
      </w:pPr>
      <w:r w:rsidRPr="005D4272">
        <w:rPr>
          <w:color w:val="000000"/>
        </w:rPr>
        <w:t xml:space="preserve">In considering the determination </w:t>
      </w:r>
      <w:r w:rsidR="00C54B3E" w:rsidRPr="005D4272">
        <w:rPr>
          <w:color w:val="000000"/>
        </w:rPr>
        <w:t>of the local adjustment factor</w:t>
      </w:r>
      <w:r w:rsidR="00DE2C9D">
        <w:rPr>
          <w:color w:val="000000"/>
        </w:rPr>
        <w:t>,</w:t>
      </w:r>
      <w:r w:rsidR="00C54B3E" w:rsidRPr="005D4272">
        <w:rPr>
          <w:color w:val="000000"/>
        </w:rPr>
        <w:t xml:space="preserve"> M</w:t>
      </w:r>
      <w:r w:rsidRPr="005D4272">
        <w:rPr>
          <w:color w:val="000000"/>
        </w:rPr>
        <w:t>embers are asked to consider the contents of this report, including the public submission</w:t>
      </w:r>
      <w:r w:rsidR="003A6CC5" w:rsidRPr="005D4272">
        <w:rPr>
          <w:color w:val="000000"/>
        </w:rPr>
        <w:t>s</w:t>
      </w:r>
      <w:r w:rsidRPr="005D4272">
        <w:rPr>
          <w:color w:val="000000"/>
        </w:rPr>
        <w:t>, together with the need to retai</w:t>
      </w:r>
      <w:r w:rsidR="00C54B3E" w:rsidRPr="005D4272">
        <w:rPr>
          <w:color w:val="000000"/>
        </w:rPr>
        <w:t>n and expand current levels of s</w:t>
      </w:r>
      <w:r w:rsidRPr="005D4272">
        <w:rPr>
          <w:color w:val="000000"/>
        </w:rPr>
        <w:t xml:space="preserve">ervice. </w:t>
      </w:r>
    </w:p>
    <w:p w14:paraId="320B831F" w14:textId="77777777" w:rsidR="00CA254D" w:rsidRPr="005D4272" w:rsidRDefault="00CA254D" w:rsidP="00752403">
      <w:pPr>
        <w:autoSpaceDE w:val="0"/>
        <w:autoSpaceDN w:val="0"/>
        <w:adjustRightInd w:val="0"/>
        <w:spacing w:line="360" w:lineRule="auto"/>
        <w:jc w:val="both"/>
        <w:rPr>
          <w:color w:val="000000"/>
        </w:rPr>
      </w:pPr>
    </w:p>
    <w:p w14:paraId="10335AD2" w14:textId="7B8BE400" w:rsidR="000A1D97" w:rsidRPr="005D4272" w:rsidRDefault="0053221D" w:rsidP="000A1D97">
      <w:pPr>
        <w:autoSpaceDE w:val="0"/>
        <w:autoSpaceDN w:val="0"/>
        <w:adjustRightInd w:val="0"/>
        <w:spacing w:line="360" w:lineRule="auto"/>
        <w:jc w:val="both"/>
        <w:rPr>
          <w:color w:val="000000"/>
        </w:rPr>
      </w:pPr>
      <w:r w:rsidRPr="005D4272">
        <w:rPr>
          <w:color w:val="000000"/>
        </w:rPr>
        <w:t xml:space="preserve">Over the past year and a half the government has committed significant resources to minimising the impact of Covid 19. As the country emerges from the pandemic there will remain substantial demands on the </w:t>
      </w:r>
      <w:r w:rsidR="00DE2C9D">
        <w:rPr>
          <w:color w:val="000000"/>
        </w:rPr>
        <w:t>G</w:t>
      </w:r>
      <w:r w:rsidRPr="005D4272">
        <w:rPr>
          <w:color w:val="000000"/>
        </w:rPr>
        <w:t xml:space="preserve">overnment purse and therefore the need for the </w:t>
      </w:r>
      <w:r w:rsidR="00DE2C9D">
        <w:rPr>
          <w:color w:val="000000"/>
        </w:rPr>
        <w:t>L</w:t>
      </w:r>
      <w:r w:rsidRPr="005D4272">
        <w:rPr>
          <w:color w:val="000000"/>
        </w:rPr>
        <w:t xml:space="preserve">ocal </w:t>
      </w:r>
      <w:r w:rsidR="00DE2C9D">
        <w:rPr>
          <w:color w:val="000000"/>
        </w:rPr>
        <w:t>A</w:t>
      </w:r>
      <w:r w:rsidRPr="005D4272">
        <w:rPr>
          <w:color w:val="000000"/>
        </w:rPr>
        <w:t xml:space="preserve">uthorities to maximise </w:t>
      </w:r>
      <w:r w:rsidR="00387789">
        <w:rPr>
          <w:color w:val="000000"/>
        </w:rPr>
        <w:t>their</w:t>
      </w:r>
      <w:r w:rsidRPr="005D4272">
        <w:rPr>
          <w:color w:val="000000"/>
        </w:rPr>
        <w:t xml:space="preserve"> income to maintain the present level of services is </w:t>
      </w:r>
      <w:r w:rsidR="005D4272" w:rsidRPr="005D4272">
        <w:rPr>
          <w:color w:val="000000"/>
        </w:rPr>
        <w:t>crucial</w:t>
      </w:r>
      <w:r w:rsidRPr="005D4272">
        <w:rPr>
          <w:color w:val="000000"/>
        </w:rPr>
        <w:t xml:space="preserve">. </w:t>
      </w:r>
      <w:r w:rsidR="000A1D97" w:rsidRPr="005D4272">
        <w:rPr>
          <w:color w:val="000000"/>
        </w:rPr>
        <w:t xml:space="preserve">The prospect of </w:t>
      </w:r>
      <w:r w:rsidRPr="005D4272">
        <w:rPr>
          <w:color w:val="000000"/>
        </w:rPr>
        <w:t>new</w:t>
      </w:r>
      <w:r w:rsidR="000A1D97" w:rsidRPr="005D4272">
        <w:rPr>
          <w:color w:val="000000"/>
        </w:rPr>
        <w:t xml:space="preserve"> income</w:t>
      </w:r>
      <w:r w:rsidRPr="005D4272">
        <w:rPr>
          <w:color w:val="000000"/>
        </w:rPr>
        <w:t xml:space="preserve"> streams</w:t>
      </w:r>
      <w:r w:rsidR="000A1D97" w:rsidRPr="005D4272">
        <w:rPr>
          <w:color w:val="000000"/>
        </w:rPr>
        <w:t xml:space="preserve"> </w:t>
      </w:r>
      <w:r w:rsidRPr="005D4272">
        <w:rPr>
          <w:color w:val="000000"/>
        </w:rPr>
        <w:t>a</w:t>
      </w:r>
      <w:r w:rsidR="000A1D97" w:rsidRPr="005D4272">
        <w:rPr>
          <w:color w:val="000000"/>
        </w:rPr>
        <w:t>rising</w:t>
      </w:r>
      <w:r w:rsidR="00DE2C9D">
        <w:rPr>
          <w:color w:val="000000"/>
        </w:rPr>
        <w:t>,</w:t>
      </w:r>
      <w:r w:rsidR="000A1D97" w:rsidRPr="005D4272">
        <w:rPr>
          <w:color w:val="000000"/>
        </w:rPr>
        <w:t xml:space="preserve"> </w:t>
      </w:r>
      <w:r w:rsidRPr="005D4272">
        <w:rPr>
          <w:color w:val="000000"/>
        </w:rPr>
        <w:t xml:space="preserve">providing </w:t>
      </w:r>
      <w:r w:rsidR="000A1D97" w:rsidRPr="005D4272">
        <w:rPr>
          <w:color w:val="000000"/>
        </w:rPr>
        <w:t xml:space="preserve">opportunities </w:t>
      </w:r>
      <w:r w:rsidRPr="005D4272">
        <w:rPr>
          <w:color w:val="000000"/>
        </w:rPr>
        <w:t>to fund new and existing program</w:t>
      </w:r>
      <w:r w:rsidR="00DE2C9D">
        <w:rPr>
          <w:color w:val="000000"/>
        </w:rPr>
        <w:t>me</w:t>
      </w:r>
      <w:r w:rsidRPr="005D4272">
        <w:rPr>
          <w:color w:val="000000"/>
        </w:rPr>
        <w:t>s is</w:t>
      </w:r>
      <w:r w:rsidR="000A1D97" w:rsidRPr="005D4272">
        <w:rPr>
          <w:color w:val="000000"/>
        </w:rPr>
        <w:t xml:space="preserve"> unlikely and it will be very difficult to maintain the same level of service without the Council obtaining additional income. </w:t>
      </w:r>
    </w:p>
    <w:p w14:paraId="0E08E347" w14:textId="77777777" w:rsidR="00DB3657" w:rsidRPr="005D4272" w:rsidRDefault="00DB3657" w:rsidP="00752403">
      <w:pPr>
        <w:autoSpaceDE w:val="0"/>
        <w:autoSpaceDN w:val="0"/>
        <w:adjustRightInd w:val="0"/>
        <w:spacing w:line="360" w:lineRule="auto"/>
        <w:jc w:val="both"/>
        <w:rPr>
          <w:color w:val="000000"/>
        </w:rPr>
      </w:pPr>
    </w:p>
    <w:p w14:paraId="40CADEE3" w14:textId="77777777" w:rsidR="00387789" w:rsidRDefault="009C1241" w:rsidP="00752403">
      <w:pPr>
        <w:autoSpaceDE w:val="0"/>
        <w:autoSpaceDN w:val="0"/>
        <w:adjustRightInd w:val="0"/>
        <w:spacing w:line="360" w:lineRule="auto"/>
        <w:jc w:val="both"/>
        <w:rPr>
          <w:color w:val="000000"/>
        </w:rPr>
      </w:pPr>
      <w:r w:rsidRPr="005D4272">
        <w:rPr>
          <w:color w:val="000000"/>
        </w:rPr>
        <w:t>At present no provision</w:t>
      </w:r>
      <w:r w:rsidR="00C769AF" w:rsidRPr="005D4272">
        <w:rPr>
          <w:color w:val="000000"/>
        </w:rPr>
        <w:t xml:space="preserve"> has been </w:t>
      </w:r>
      <w:r w:rsidRPr="005D4272">
        <w:rPr>
          <w:color w:val="000000"/>
        </w:rPr>
        <w:t xml:space="preserve">made for increased costs </w:t>
      </w:r>
      <w:r w:rsidR="00DE2C9D">
        <w:rPr>
          <w:color w:val="000000"/>
        </w:rPr>
        <w:t>for the</w:t>
      </w:r>
      <w:r w:rsidRPr="005D4272">
        <w:rPr>
          <w:color w:val="000000"/>
        </w:rPr>
        <w:t xml:space="preserve"> Fire Service nor for the </w:t>
      </w:r>
      <w:r w:rsidR="008D0E23" w:rsidRPr="005D4272">
        <w:rPr>
          <w:color w:val="000000"/>
        </w:rPr>
        <w:t>ever-increasing</w:t>
      </w:r>
      <w:r w:rsidRPr="005D4272">
        <w:rPr>
          <w:color w:val="000000"/>
        </w:rPr>
        <w:t xml:space="preserve"> Homeless </w:t>
      </w:r>
      <w:r w:rsidR="00387789">
        <w:rPr>
          <w:color w:val="000000"/>
        </w:rPr>
        <w:t>S</w:t>
      </w:r>
      <w:r w:rsidRPr="005D4272">
        <w:rPr>
          <w:color w:val="000000"/>
        </w:rPr>
        <w:t>ervice. There will be increase</w:t>
      </w:r>
      <w:r w:rsidR="0039794D" w:rsidRPr="005D4272">
        <w:rPr>
          <w:color w:val="000000"/>
        </w:rPr>
        <w:t>d</w:t>
      </w:r>
      <w:r w:rsidRPr="005D4272">
        <w:rPr>
          <w:color w:val="000000"/>
        </w:rPr>
        <w:t xml:space="preserve"> operational costs associated with the running of new facilities currently under construction such as new lib</w:t>
      </w:r>
      <w:r w:rsidR="00C56734" w:rsidRPr="005D4272">
        <w:rPr>
          <w:color w:val="000000"/>
        </w:rPr>
        <w:t>rar</w:t>
      </w:r>
      <w:r w:rsidRPr="005D4272">
        <w:rPr>
          <w:color w:val="000000"/>
        </w:rPr>
        <w:t xml:space="preserve">ies, Lucan Pool, new parks and additional community facilities including playgrounds and pavilions. The </w:t>
      </w:r>
      <w:r w:rsidR="00E83B7C" w:rsidRPr="005D4272">
        <w:rPr>
          <w:color w:val="000000"/>
        </w:rPr>
        <w:t>additional costs associated with</w:t>
      </w:r>
      <w:r w:rsidR="0039794D" w:rsidRPr="005D4272">
        <w:rPr>
          <w:color w:val="000000"/>
        </w:rPr>
        <w:t xml:space="preserve"> m</w:t>
      </w:r>
      <w:r w:rsidR="00A64FDC" w:rsidRPr="005D4272">
        <w:rPr>
          <w:color w:val="000000"/>
        </w:rPr>
        <w:t>aintaining our</w:t>
      </w:r>
      <w:r w:rsidR="00E83B7C" w:rsidRPr="005D4272">
        <w:rPr>
          <w:color w:val="000000"/>
        </w:rPr>
        <w:t xml:space="preserve"> grow</w:t>
      </w:r>
      <w:r w:rsidR="00A64FDC" w:rsidRPr="005D4272">
        <w:rPr>
          <w:color w:val="000000"/>
        </w:rPr>
        <w:t>ing</w:t>
      </w:r>
      <w:r w:rsidR="00E83B7C" w:rsidRPr="005D4272">
        <w:rPr>
          <w:color w:val="000000"/>
        </w:rPr>
        <w:t xml:space="preserve"> </w:t>
      </w:r>
      <w:r w:rsidR="00A64FDC" w:rsidRPr="005D4272">
        <w:rPr>
          <w:color w:val="000000"/>
        </w:rPr>
        <w:t>H</w:t>
      </w:r>
      <w:r w:rsidR="00E83B7C" w:rsidRPr="005D4272">
        <w:rPr>
          <w:color w:val="000000"/>
        </w:rPr>
        <w:t>ousing stock,</w:t>
      </w:r>
      <w:r w:rsidR="0039794D" w:rsidRPr="005D4272">
        <w:rPr>
          <w:color w:val="000000"/>
        </w:rPr>
        <w:t xml:space="preserve"> m</w:t>
      </w:r>
      <w:r w:rsidR="00E83B7C" w:rsidRPr="005D4272">
        <w:rPr>
          <w:color w:val="000000"/>
        </w:rPr>
        <w:t>andatory increase in private rented</w:t>
      </w:r>
      <w:r w:rsidR="00A64FDC" w:rsidRPr="005D4272">
        <w:rPr>
          <w:color w:val="000000"/>
        </w:rPr>
        <w:t xml:space="preserve"> housing</w:t>
      </w:r>
      <w:r w:rsidR="00E83B7C" w:rsidRPr="005D4272">
        <w:rPr>
          <w:color w:val="000000"/>
        </w:rPr>
        <w:t xml:space="preserve"> inspections, </w:t>
      </w:r>
      <w:r w:rsidR="008D0E23" w:rsidRPr="005D4272">
        <w:rPr>
          <w:color w:val="000000"/>
        </w:rPr>
        <w:t>Airbnb</w:t>
      </w:r>
      <w:r w:rsidR="00E83B7C" w:rsidRPr="005D4272">
        <w:rPr>
          <w:color w:val="000000"/>
        </w:rPr>
        <w:t xml:space="preserve"> inspection and enforceme</w:t>
      </w:r>
      <w:r w:rsidR="00C56734" w:rsidRPr="005D4272">
        <w:rPr>
          <w:color w:val="000000"/>
        </w:rPr>
        <w:t>n</w:t>
      </w:r>
      <w:r w:rsidR="00E83B7C" w:rsidRPr="005D4272">
        <w:rPr>
          <w:color w:val="000000"/>
        </w:rPr>
        <w:t>t,</w:t>
      </w:r>
      <w:r w:rsidR="0039794D" w:rsidRPr="005D4272">
        <w:rPr>
          <w:color w:val="000000"/>
        </w:rPr>
        <w:t xml:space="preserve"> i</w:t>
      </w:r>
      <w:r w:rsidR="00E83B7C" w:rsidRPr="005D4272">
        <w:rPr>
          <w:color w:val="000000"/>
        </w:rPr>
        <w:t xml:space="preserve">ncrease in HAP/ Leasing </w:t>
      </w:r>
      <w:r w:rsidR="0039794D" w:rsidRPr="005D4272">
        <w:rPr>
          <w:color w:val="000000"/>
        </w:rPr>
        <w:t>w</w:t>
      </w:r>
      <w:r w:rsidR="00C56734" w:rsidRPr="005D4272">
        <w:rPr>
          <w:color w:val="000000"/>
        </w:rPr>
        <w:t>ill</w:t>
      </w:r>
      <w:r w:rsidR="00E83B7C" w:rsidRPr="005D4272">
        <w:rPr>
          <w:color w:val="000000"/>
        </w:rPr>
        <w:t xml:space="preserve"> all necessitate additional funding.</w:t>
      </w:r>
    </w:p>
    <w:p w14:paraId="0603D3F8" w14:textId="45FAC7AC" w:rsidR="00A64FDC" w:rsidRPr="005D4272" w:rsidRDefault="00E83B7C" w:rsidP="00752403">
      <w:pPr>
        <w:autoSpaceDE w:val="0"/>
        <w:autoSpaceDN w:val="0"/>
        <w:adjustRightInd w:val="0"/>
        <w:spacing w:line="360" w:lineRule="auto"/>
        <w:jc w:val="both"/>
        <w:rPr>
          <w:color w:val="000000"/>
        </w:rPr>
      </w:pPr>
      <w:r w:rsidRPr="005D4272">
        <w:rPr>
          <w:color w:val="000000"/>
        </w:rPr>
        <w:t xml:space="preserve"> </w:t>
      </w:r>
    </w:p>
    <w:p w14:paraId="597CE1BD" w14:textId="1080370D" w:rsidR="002403E1" w:rsidRDefault="006154A6" w:rsidP="00752403">
      <w:pPr>
        <w:autoSpaceDE w:val="0"/>
        <w:autoSpaceDN w:val="0"/>
        <w:adjustRightInd w:val="0"/>
        <w:spacing w:line="360" w:lineRule="auto"/>
        <w:jc w:val="both"/>
        <w:rPr>
          <w:color w:val="000000"/>
        </w:rPr>
      </w:pPr>
      <w:r w:rsidRPr="005D4272">
        <w:rPr>
          <w:color w:val="000000"/>
        </w:rPr>
        <w:t>The demands on the Council</w:t>
      </w:r>
      <w:r w:rsidR="002403E1" w:rsidRPr="005D4272">
        <w:rPr>
          <w:color w:val="000000"/>
        </w:rPr>
        <w:t xml:space="preserve"> for increased services such as Litter Management, </w:t>
      </w:r>
      <w:r w:rsidR="00C769AF" w:rsidRPr="005D4272">
        <w:rPr>
          <w:color w:val="000000"/>
        </w:rPr>
        <w:t>T</w:t>
      </w:r>
      <w:r w:rsidR="002403E1" w:rsidRPr="005D4272">
        <w:rPr>
          <w:color w:val="000000"/>
        </w:rPr>
        <w:t xml:space="preserve">ree </w:t>
      </w:r>
      <w:r w:rsidR="00C769AF" w:rsidRPr="005D4272">
        <w:rPr>
          <w:color w:val="000000"/>
        </w:rPr>
        <w:t>M</w:t>
      </w:r>
      <w:r w:rsidR="002403E1" w:rsidRPr="005D4272">
        <w:rPr>
          <w:color w:val="000000"/>
        </w:rPr>
        <w:t xml:space="preserve">anagement, </w:t>
      </w:r>
      <w:r w:rsidR="00C769AF" w:rsidRPr="005D4272">
        <w:rPr>
          <w:color w:val="000000"/>
        </w:rPr>
        <w:t>P</w:t>
      </w:r>
      <w:r w:rsidR="002403E1" w:rsidRPr="005D4272">
        <w:rPr>
          <w:color w:val="000000"/>
        </w:rPr>
        <w:t xml:space="preserve">ublic </w:t>
      </w:r>
      <w:r w:rsidR="00C769AF" w:rsidRPr="005D4272">
        <w:rPr>
          <w:color w:val="000000"/>
        </w:rPr>
        <w:t>R</w:t>
      </w:r>
      <w:r w:rsidR="002403E1" w:rsidRPr="005D4272">
        <w:rPr>
          <w:color w:val="000000"/>
        </w:rPr>
        <w:t xml:space="preserve">ealm </w:t>
      </w:r>
      <w:r w:rsidR="00C769AF" w:rsidRPr="005D4272">
        <w:rPr>
          <w:color w:val="000000"/>
        </w:rPr>
        <w:t>I</w:t>
      </w:r>
      <w:r w:rsidR="002403E1" w:rsidRPr="005D4272">
        <w:rPr>
          <w:color w:val="000000"/>
        </w:rPr>
        <w:t>mprovements</w:t>
      </w:r>
      <w:r w:rsidR="00DE2C9D">
        <w:rPr>
          <w:color w:val="000000"/>
        </w:rPr>
        <w:t>,</w:t>
      </w:r>
      <w:r w:rsidR="002403E1" w:rsidRPr="005D4272">
        <w:rPr>
          <w:color w:val="000000"/>
        </w:rPr>
        <w:t xml:space="preserve"> </w:t>
      </w:r>
      <w:r w:rsidR="00C769AF" w:rsidRPr="005D4272">
        <w:rPr>
          <w:color w:val="000000"/>
        </w:rPr>
        <w:t>F</w:t>
      </w:r>
      <w:r w:rsidR="002403E1" w:rsidRPr="005D4272">
        <w:rPr>
          <w:color w:val="000000"/>
        </w:rPr>
        <w:t xml:space="preserve">ootpath </w:t>
      </w:r>
      <w:r w:rsidR="00C769AF" w:rsidRPr="005D4272">
        <w:rPr>
          <w:color w:val="000000"/>
        </w:rPr>
        <w:t>R</w:t>
      </w:r>
      <w:r w:rsidR="002403E1" w:rsidRPr="005D4272">
        <w:rPr>
          <w:color w:val="000000"/>
        </w:rPr>
        <w:t xml:space="preserve">epair and </w:t>
      </w:r>
      <w:r w:rsidR="00C769AF" w:rsidRPr="005D4272">
        <w:rPr>
          <w:color w:val="000000"/>
        </w:rPr>
        <w:t>C</w:t>
      </w:r>
      <w:r w:rsidR="002403E1" w:rsidRPr="005D4272">
        <w:rPr>
          <w:color w:val="000000"/>
        </w:rPr>
        <w:t xml:space="preserve">ommunity </w:t>
      </w:r>
      <w:r w:rsidRPr="005D4272">
        <w:rPr>
          <w:color w:val="000000"/>
        </w:rPr>
        <w:t>S</w:t>
      </w:r>
      <w:r w:rsidR="002403E1" w:rsidRPr="005D4272">
        <w:rPr>
          <w:color w:val="000000"/>
        </w:rPr>
        <w:t xml:space="preserve">upports </w:t>
      </w:r>
      <w:r w:rsidR="00A930AE">
        <w:rPr>
          <w:color w:val="000000"/>
        </w:rPr>
        <w:t xml:space="preserve">and </w:t>
      </w:r>
      <w:r w:rsidR="00387789">
        <w:rPr>
          <w:color w:val="000000"/>
        </w:rPr>
        <w:t>F</w:t>
      </w:r>
      <w:r w:rsidR="00A930AE">
        <w:rPr>
          <w:color w:val="000000"/>
        </w:rPr>
        <w:t xml:space="preserve">acilities </w:t>
      </w:r>
      <w:r w:rsidR="002403E1" w:rsidRPr="005D4272">
        <w:rPr>
          <w:color w:val="000000"/>
        </w:rPr>
        <w:t xml:space="preserve">are unrelenting. </w:t>
      </w:r>
      <w:r w:rsidR="00A930AE">
        <w:rPr>
          <w:color w:val="000000"/>
        </w:rPr>
        <w:t xml:space="preserve">The recent debate around the preparation of the Draft County Development </w:t>
      </w:r>
      <w:r w:rsidR="00387789">
        <w:rPr>
          <w:color w:val="000000"/>
        </w:rPr>
        <w:t>P</w:t>
      </w:r>
      <w:r w:rsidR="00A930AE">
        <w:rPr>
          <w:color w:val="000000"/>
        </w:rPr>
        <w:t xml:space="preserve">lan illustrates the need for and </w:t>
      </w:r>
      <w:r w:rsidR="00387789">
        <w:rPr>
          <w:color w:val="000000"/>
        </w:rPr>
        <w:t>E</w:t>
      </w:r>
      <w:r w:rsidR="00A930AE">
        <w:rPr>
          <w:color w:val="000000"/>
        </w:rPr>
        <w:t xml:space="preserve">lected </w:t>
      </w:r>
      <w:r w:rsidR="00387789">
        <w:rPr>
          <w:color w:val="000000"/>
        </w:rPr>
        <w:t>M</w:t>
      </w:r>
      <w:r w:rsidR="00A930AE">
        <w:rPr>
          <w:color w:val="000000"/>
        </w:rPr>
        <w:t xml:space="preserve">embers awareness of additional community facilities to cater for existing and expanding population centres within the county. </w:t>
      </w:r>
    </w:p>
    <w:p w14:paraId="21CC9C1B" w14:textId="77777777" w:rsidR="00387789" w:rsidRDefault="00387789" w:rsidP="00752403">
      <w:pPr>
        <w:autoSpaceDE w:val="0"/>
        <w:autoSpaceDN w:val="0"/>
        <w:adjustRightInd w:val="0"/>
        <w:spacing w:line="360" w:lineRule="auto"/>
        <w:jc w:val="both"/>
        <w:rPr>
          <w:color w:val="000000"/>
        </w:rPr>
      </w:pPr>
    </w:p>
    <w:p w14:paraId="61270A5F" w14:textId="418D7BFE" w:rsidR="00A930AE" w:rsidRDefault="00A930AE" w:rsidP="00752403">
      <w:pPr>
        <w:autoSpaceDE w:val="0"/>
        <w:autoSpaceDN w:val="0"/>
        <w:adjustRightInd w:val="0"/>
        <w:spacing w:line="360" w:lineRule="auto"/>
        <w:jc w:val="both"/>
        <w:rPr>
          <w:color w:val="000000"/>
        </w:rPr>
      </w:pPr>
      <w:r>
        <w:rPr>
          <w:color w:val="000000"/>
        </w:rPr>
        <w:t xml:space="preserve">In each of the previous five years I have highlighted to </w:t>
      </w:r>
      <w:r w:rsidR="00DE2C9D">
        <w:rPr>
          <w:color w:val="000000"/>
        </w:rPr>
        <w:t>C</w:t>
      </w:r>
      <w:r>
        <w:rPr>
          <w:color w:val="000000"/>
        </w:rPr>
        <w:t xml:space="preserve">ouncil the need to exercise discretion in raising additional funds to support these expectations and demands. In 2019 I prepared a more detailed summary of the opportunities to address these </w:t>
      </w:r>
      <w:r>
        <w:rPr>
          <w:color w:val="000000"/>
        </w:rPr>
        <w:lastRenderedPageBreak/>
        <w:t xml:space="preserve">challenges and cautioned that in the absence </w:t>
      </w:r>
      <w:r w:rsidR="00DE2C9D">
        <w:rPr>
          <w:color w:val="000000"/>
        </w:rPr>
        <w:t xml:space="preserve">of </w:t>
      </w:r>
      <w:r>
        <w:rPr>
          <w:color w:val="000000"/>
        </w:rPr>
        <w:t>LPT increases the capacity to fund the expansion of services was negligible and we would eventually have to cut back on services as costs increase</w:t>
      </w:r>
      <w:bookmarkStart w:id="0" w:name="_Hlk76324464"/>
      <w:r>
        <w:rPr>
          <w:color w:val="000000"/>
        </w:rPr>
        <w:t>. I fully accept that this past year was exceptional, and that realisation led us to agree to cutting back on expenditure provisions in t</w:t>
      </w:r>
      <w:r w:rsidR="00F40727">
        <w:rPr>
          <w:color w:val="000000"/>
        </w:rPr>
        <w:t>he</w:t>
      </w:r>
      <w:r>
        <w:rPr>
          <w:color w:val="000000"/>
        </w:rPr>
        <w:t xml:space="preserve"> sum of €5m rather than increase LPT</w:t>
      </w:r>
      <w:bookmarkEnd w:id="0"/>
      <w:r>
        <w:rPr>
          <w:color w:val="000000"/>
        </w:rPr>
        <w:t xml:space="preserve">. </w:t>
      </w:r>
    </w:p>
    <w:p w14:paraId="6BDAA459" w14:textId="77777777" w:rsidR="00387789" w:rsidRDefault="00387789" w:rsidP="00752403">
      <w:pPr>
        <w:autoSpaceDE w:val="0"/>
        <w:autoSpaceDN w:val="0"/>
        <w:adjustRightInd w:val="0"/>
        <w:spacing w:line="360" w:lineRule="auto"/>
        <w:jc w:val="both"/>
        <w:rPr>
          <w:color w:val="000000"/>
        </w:rPr>
      </w:pPr>
    </w:p>
    <w:p w14:paraId="14A620C1" w14:textId="19CE34D2" w:rsidR="00257C9C" w:rsidRDefault="00A930AE" w:rsidP="00253666">
      <w:pPr>
        <w:autoSpaceDE w:val="0"/>
        <w:autoSpaceDN w:val="0"/>
        <w:adjustRightInd w:val="0"/>
        <w:spacing w:line="360" w:lineRule="auto"/>
        <w:jc w:val="both"/>
        <w:rPr>
          <w:color w:val="000000"/>
        </w:rPr>
      </w:pPr>
      <w:r>
        <w:rPr>
          <w:color w:val="000000"/>
        </w:rPr>
        <w:t xml:space="preserve">The </w:t>
      </w:r>
      <w:r w:rsidR="00253666">
        <w:rPr>
          <w:color w:val="000000"/>
        </w:rPr>
        <w:t xml:space="preserve">national </w:t>
      </w:r>
      <w:r>
        <w:rPr>
          <w:color w:val="000000"/>
        </w:rPr>
        <w:t xml:space="preserve">review of LPT </w:t>
      </w:r>
      <w:r w:rsidR="00253666">
        <w:rPr>
          <w:color w:val="000000"/>
        </w:rPr>
        <w:t>is welcome albeit at this stage its outcome is unclear. In terms of the review generally I expect the changes to largely cancel themselves out. I also expect additional cost</w:t>
      </w:r>
      <w:r w:rsidR="00DE2C9D">
        <w:rPr>
          <w:color w:val="000000"/>
        </w:rPr>
        <w:t>s</w:t>
      </w:r>
      <w:r w:rsidR="00253666">
        <w:rPr>
          <w:color w:val="000000"/>
        </w:rPr>
        <w:t xml:space="preserve"> to the </w:t>
      </w:r>
      <w:r w:rsidR="00DE2C9D">
        <w:rPr>
          <w:color w:val="000000"/>
        </w:rPr>
        <w:t>L</w:t>
      </w:r>
      <w:r w:rsidR="00253666">
        <w:rPr>
          <w:color w:val="000000"/>
        </w:rPr>
        <w:t xml:space="preserve">ocal </w:t>
      </w:r>
      <w:r w:rsidR="00DE2C9D">
        <w:rPr>
          <w:color w:val="000000"/>
        </w:rPr>
        <w:t>A</w:t>
      </w:r>
      <w:r w:rsidR="00253666">
        <w:rPr>
          <w:color w:val="000000"/>
        </w:rPr>
        <w:t xml:space="preserve">uthority in terms of the additions to housing stock since 2013. LPT gains from the additional new private housing since 2013 is dependent on the allocation of these monies as discretionary funding or self – funding for Housing and </w:t>
      </w:r>
      <w:r w:rsidR="00387789">
        <w:rPr>
          <w:color w:val="000000"/>
        </w:rPr>
        <w:t>R</w:t>
      </w:r>
      <w:r w:rsidR="00253666">
        <w:rPr>
          <w:color w:val="000000"/>
        </w:rPr>
        <w:t xml:space="preserve">oad </w:t>
      </w:r>
      <w:r w:rsidR="00387789">
        <w:rPr>
          <w:color w:val="000000"/>
        </w:rPr>
        <w:t>G</w:t>
      </w:r>
      <w:r w:rsidR="00253666">
        <w:rPr>
          <w:color w:val="000000"/>
        </w:rPr>
        <w:t xml:space="preserve">rant purposes. </w:t>
      </w:r>
      <w:r w:rsidR="003766EB">
        <w:rPr>
          <w:color w:val="000000"/>
        </w:rPr>
        <w:t>The figures to hand suggest a total of 7</w:t>
      </w:r>
      <w:r w:rsidR="00DE2C9D">
        <w:rPr>
          <w:color w:val="000000"/>
        </w:rPr>
        <w:t>,</w:t>
      </w:r>
      <w:r w:rsidR="003766EB">
        <w:rPr>
          <w:color w:val="000000"/>
        </w:rPr>
        <w:t>136 new homes in that period of which 1</w:t>
      </w:r>
      <w:r w:rsidR="00DE2C9D">
        <w:rPr>
          <w:color w:val="000000"/>
        </w:rPr>
        <w:t>,</w:t>
      </w:r>
      <w:r w:rsidR="003766EB">
        <w:rPr>
          <w:color w:val="000000"/>
        </w:rPr>
        <w:t xml:space="preserve">435 were </w:t>
      </w:r>
      <w:r w:rsidR="00DE2C9D">
        <w:rPr>
          <w:color w:val="000000"/>
        </w:rPr>
        <w:t>L</w:t>
      </w:r>
      <w:r w:rsidR="003766EB">
        <w:rPr>
          <w:color w:val="000000"/>
        </w:rPr>
        <w:t xml:space="preserve">ocal </w:t>
      </w:r>
      <w:r w:rsidR="00DE2C9D">
        <w:rPr>
          <w:color w:val="000000"/>
        </w:rPr>
        <w:t>A</w:t>
      </w:r>
      <w:r w:rsidR="003766EB">
        <w:rPr>
          <w:color w:val="000000"/>
        </w:rPr>
        <w:t xml:space="preserve">uthority. </w:t>
      </w:r>
    </w:p>
    <w:p w14:paraId="16CD2340" w14:textId="77777777" w:rsidR="00387789" w:rsidRPr="00253666" w:rsidRDefault="00387789" w:rsidP="00253666">
      <w:pPr>
        <w:autoSpaceDE w:val="0"/>
        <w:autoSpaceDN w:val="0"/>
        <w:adjustRightInd w:val="0"/>
        <w:spacing w:line="360" w:lineRule="auto"/>
        <w:jc w:val="both"/>
        <w:rPr>
          <w:color w:val="000000"/>
        </w:rPr>
      </w:pPr>
    </w:p>
    <w:p w14:paraId="63B85AFC" w14:textId="38392D56" w:rsidR="00196BA4" w:rsidRDefault="00196BA4" w:rsidP="009B518D">
      <w:pPr>
        <w:spacing w:before="120" w:line="360" w:lineRule="auto"/>
        <w:jc w:val="both"/>
        <w:rPr>
          <w:color w:val="000000"/>
        </w:rPr>
      </w:pPr>
      <w:r w:rsidRPr="005D4272">
        <w:rPr>
          <w:color w:val="000000"/>
        </w:rPr>
        <w:t>I</w:t>
      </w:r>
      <w:r w:rsidR="00253666">
        <w:rPr>
          <w:color w:val="000000"/>
        </w:rPr>
        <w:t xml:space="preserve"> fully appreciate the dilemma facing members in these challenging times but must suggest balanced consideration be given to not reducing the LPT from its baseline position. The</w:t>
      </w:r>
      <w:r w:rsidRPr="005D4272">
        <w:rPr>
          <w:color w:val="000000"/>
        </w:rPr>
        <w:t xml:space="preserve"> </w:t>
      </w:r>
      <w:r w:rsidR="00253666">
        <w:rPr>
          <w:color w:val="000000"/>
        </w:rPr>
        <w:t xml:space="preserve">level of discretion within this decision alone ranges from the </w:t>
      </w:r>
      <w:r w:rsidR="003766EB">
        <w:rPr>
          <w:color w:val="000000"/>
        </w:rPr>
        <w:t xml:space="preserve">level of discretionary funding availed of in 2021 of €1.59m to a potential €11.18m if LPT was to be increased by 15%. In the absence of a change in approach whereby this </w:t>
      </w:r>
      <w:r w:rsidR="00DE2C9D">
        <w:rPr>
          <w:color w:val="000000"/>
        </w:rPr>
        <w:t>C</w:t>
      </w:r>
      <w:r w:rsidR="003766EB">
        <w:rPr>
          <w:color w:val="000000"/>
        </w:rPr>
        <w:t xml:space="preserve">ouncil has persistently reduced LPT by 15% further impact on services and discretionary programmes is inevitable. </w:t>
      </w:r>
      <w:r w:rsidR="00560411" w:rsidRPr="005D4272">
        <w:rPr>
          <w:color w:val="000000"/>
        </w:rPr>
        <w:t xml:space="preserve">In the coming </w:t>
      </w:r>
      <w:r w:rsidR="009F6723" w:rsidRPr="005D4272">
        <w:rPr>
          <w:color w:val="000000"/>
        </w:rPr>
        <w:t>months</w:t>
      </w:r>
      <w:r w:rsidR="00560411" w:rsidRPr="005D4272">
        <w:rPr>
          <w:color w:val="000000"/>
        </w:rPr>
        <w:t xml:space="preserve"> prior to budget </w:t>
      </w:r>
      <w:r w:rsidR="003766EB" w:rsidRPr="005D4272">
        <w:rPr>
          <w:color w:val="000000"/>
        </w:rPr>
        <w:t>finalisation,</w:t>
      </w:r>
      <w:r w:rsidR="00560411" w:rsidRPr="005D4272">
        <w:rPr>
          <w:color w:val="000000"/>
        </w:rPr>
        <w:t xml:space="preserve"> we will further evaluate potential financial scenarios for the year ahead. In this context and working with the corporate policy group I hope to present a budget that </w:t>
      </w:r>
      <w:r w:rsidR="009F6723" w:rsidRPr="005D4272">
        <w:rPr>
          <w:color w:val="000000"/>
        </w:rPr>
        <w:t xml:space="preserve">will meet the expectations of the </w:t>
      </w:r>
      <w:r w:rsidR="00387789">
        <w:rPr>
          <w:color w:val="000000"/>
        </w:rPr>
        <w:t>M</w:t>
      </w:r>
      <w:r w:rsidR="009F6723" w:rsidRPr="005D4272">
        <w:rPr>
          <w:color w:val="000000"/>
        </w:rPr>
        <w:t xml:space="preserve">embers while having regard to the level of </w:t>
      </w:r>
      <w:r w:rsidR="009F6723" w:rsidRPr="003766EB">
        <w:rPr>
          <w:color w:val="000000"/>
        </w:rPr>
        <w:t>resources available</w:t>
      </w:r>
      <w:r w:rsidR="00560411" w:rsidRPr="003766EB">
        <w:rPr>
          <w:color w:val="000000"/>
        </w:rPr>
        <w:t>.</w:t>
      </w:r>
    </w:p>
    <w:p w14:paraId="6960987F" w14:textId="39C72BF6" w:rsidR="00560411" w:rsidRDefault="00560411" w:rsidP="00F42D5F">
      <w:pPr>
        <w:spacing w:before="120"/>
        <w:rPr>
          <w:color w:val="000000"/>
        </w:rPr>
      </w:pPr>
    </w:p>
    <w:p w14:paraId="28EE3E75" w14:textId="28975A4B" w:rsidR="00560411" w:rsidRDefault="00560411" w:rsidP="00F42D5F">
      <w:pPr>
        <w:spacing w:before="120"/>
        <w:rPr>
          <w:color w:val="000000"/>
        </w:rPr>
      </w:pPr>
      <w:r>
        <w:rPr>
          <w:color w:val="000000"/>
        </w:rPr>
        <w:t>Daniel Mc Loughlin</w:t>
      </w:r>
    </w:p>
    <w:p w14:paraId="516FAFD5" w14:textId="01C2175D" w:rsidR="00560411" w:rsidRDefault="00560411" w:rsidP="00F42D5F">
      <w:pPr>
        <w:spacing w:before="120"/>
        <w:rPr>
          <w:color w:val="000000"/>
        </w:rPr>
      </w:pPr>
      <w:r>
        <w:rPr>
          <w:color w:val="000000"/>
        </w:rPr>
        <w:t xml:space="preserve">Chief Executive </w:t>
      </w:r>
    </w:p>
    <w:p w14:paraId="65160CF1" w14:textId="12C3EB8D" w:rsidR="00560411" w:rsidRDefault="00CA254D" w:rsidP="00F42D5F">
      <w:pPr>
        <w:spacing w:before="120"/>
        <w:rPr>
          <w:color w:val="000000"/>
        </w:rPr>
      </w:pPr>
      <w:r>
        <w:rPr>
          <w:color w:val="000000"/>
        </w:rPr>
        <w:t>2</w:t>
      </w:r>
      <w:r w:rsidR="00560411">
        <w:rPr>
          <w:color w:val="000000"/>
        </w:rPr>
        <w:t>/</w:t>
      </w:r>
      <w:r>
        <w:rPr>
          <w:color w:val="000000"/>
        </w:rPr>
        <w:t>7</w:t>
      </w:r>
      <w:r w:rsidR="00560411">
        <w:rPr>
          <w:color w:val="000000"/>
        </w:rPr>
        <w:t>/202</w:t>
      </w:r>
      <w:r>
        <w:rPr>
          <w:color w:val="000000"/>
        </w:rPr>
        <w:t>1</w:t>
      </w:r>
    </w:p>
    <w:sectPr w:rsidR="00560411" w:rsidSect="004946D8">
      <w:headerReference w:type="default" r:id="rId11"/>
      <w:footerReference w:type="default" r:id="rId12"/>
      <w:pgSz w:w="11906" w:h="16838"/>
      <w:pgMar w:top="851" w:right="1797" w:bottom="119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91D5A" w14:textId="77777777" w:rsidR="00DE2C9D" w:rsidRDefault="00DE2C9D" w:rsidP="001B5DF8">
      <w:r>
        <w:separator/>
      </w:r>
    </w:p>
  </w:endnote>
  <w:endnote w:type="continuationSeparator" w:id="0">
    <w:p w14:paraId="65534DE6" w14:textId="77777777" w:rsidR="00DE2C9D" w:rsidRDefault="00DE2C9D" w:rsidP="001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heSansBold-Plain">
    <w:panose1 w:val="00000000000000000000"/>
    <w:charset w:val="00"/>
    <w:family w:val="auto"/>
    <w:notTrueType/>
    <w:pitch w:val="default"/>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Lato">
    <w:altName w:val="Segoe UI"/>
    <w:panose1 w:val="00000000000000000000"/>
    <w:charset w:val="00"/>
    <w:family w:val="roman"/>
    <w:notTrueType/>
    <w:pitch w:val="default"/>
  </w:font>
  <w:font w:name="TT185t0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12D5E" w14:textId="77777777" w:rsidR="00DE2C9D" w:rsidRPr="0067658C" w:rsidRDefault="00DE2C9D" w:rsidP="00905E24">
    <w:pPr>
      <w:pStyle w:val="Footer"/>
      <w:jc w:val="center"/>
      <w:rPr>
        <w:sz w:val="16"/>
        <w:szCs w:val="16"/>
      </w:rPr>
    </w:pPr>
    <w:r w:rsidRPr="00AB4209">
      <w:rPr>
        <w:sz w:val="16"/>
        <w:szCs w:val="16"/>
      </w:rPr>
      <w:t xml:space="preserve">Page </w:t>
    </w:r>
    <w:r w:rsidRPr="00AB4209">
      <w:rPr>
        <w:sz w:val="16"/>
        <w:szCs w:val="16"/>
      </w:rPr>
      <w:fldChar w:fldCharType="begin"/>
    </w:r>
    <w:r w:rsidRPr="00AB4209">
      <w:rPr>
        <w:sz w:val="16"/>
        <w:szCs w:val="16"/>
      </w:rPr>
      <w:instrText xml:space="preserve"> PAGE </w:instrText>
    </w:r>
    <w:r w:rsidRPr="00AB4209">
      <w:rPr>
        <w:sz w:val="16"/>
        <w:szCs w:val="16"/>
      </w:rPr>
      <w:fldChar w:fldCharType="separate"/>
    </w:r>
    <w:r>
      <w:rPr>
        <w:noProof/>
        <w:sz w:val="16"/>
        <w:szCs w:val="16"/>
      </w:rPr>
      <w:t>19</w:t>
    </w:r>
    <w:r w:rsidRPr="00AB4209">
      <w:rPr>
        <w:sz w:val="16"/>
        <w:szCs w:val="16"/>
      </w:rPr>
      <w:fldChar w:fldCharType="end"/>
    </w:r>
    <w:r w:rsidRPr="00AB4209">
      <w:rPr>
        <w:sz w:val="16"/>
        <w:szCs w:val="16"/>
      </w:rPr>
      <w:t xml:space="preserve"> of </w:t>
    </w:r>
    <w:r w:rsidRPr="00AB4209">
      <w:rPr>
        <w:sz w:val="16"/>
        <w:szCs w:val="16"/>
      </w:rPr>
      <w:fldChar w:fldCharType="begin"/>
    </w:r>
    <w:r w:rsidRPr="00AB4209">
      <w:rPr>
        <w:sz w:val="16"/>
        <w:szCs w:val="16"/>
      </w:rPr>
      <w:instrText xml:space="preserve"> NUMPAGES </w:instrText>
    </w:r>
    <w:r w:rsidRPr="00AB4209">
      <w:rPr>
        <w:sz w:val="16"/>
        <w:szCs w:val="16"/>
      </w:rPr>
      <w:fldChar w:fldCharType="separate"/>
    </w:r>
    <w:r>
      <w:rPr>
        <w:noProof/>
        <w:sz w:val="16"/>
        <w:szCs w:val="16"/>
      </w:rPr>
      <w:t>19</w:t>
    </w:r>
    <w:r w:rsidRPr="00AB42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B1095" w14:textId="77777777" w:rsidR="00DE2C9D" w:rsidRDefault="00DE2C9D" w:rsidP="001B5DF8">
      <w:r>
        <w:separator/>
      </w:r>
    </w:p>
  </w:footnote>
  <w:footnote w:type="continuationSeparator" w:id="0">
    <w:p w14:paraId="5AF2D012" w14:textId="77777777" w:rsidR="00DE2C9D" w:rsidRDefault="00DE2C9D" w:rsidP="001B5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83E21" w14:textId="77777777" w:rsidR="00DE2C9D" w:rsidRDefault="00DE2C9D" w:rsidP="00905E24">
    <w:pPr>
      <w:pStyle w:val="Header"/>
      <w:jc w:val="center"/>
    </w:pPr>
  </w:p>
  <w:p w14:paraId="6CA4618F" w14:textId="77777777" w:rsidR="00DE2C9D" w:rsidRDefault="00DE2C9D" w:rsidP="00905E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00BC"/>
    <w:multiLevelType w:val="hybridMultilevel"/>
    <w:tmpl w:val="ADBC8EE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47E6E"/>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16335A8"/>
    <w:multiLevelType w:val="hybridMultilevel"/>
    <w:tmpl w:val="3EEC5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F4607B"/>
    <w:multiLevelType w:val="multilevel"/>
    <w:tmpl w:val="2AB265D0"/>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95F066D"/>
    <w:multiLevelType w:val="hybridMultilevel"/>
    <w:tmpl w:val="811A5A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F502EA"/>
    <w:multiLevelType w:val="multilevel"/>
    <w:tmpl w:val="74BCC73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CEA74A2"/>
    <w:multiLevelType w:val="hybridMultilevel"/>
    <w:tmpl w:val="91D89C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6441A7"/>
    <w:multiLevelType w:val="multilevel"/>
    <w:tmpl w:val="BA943F7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F94701"/>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A349C4"/>
    <w:multiLevelType w:val="hybridMultilevel"/>
    <w:tmpl w:val="698A49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E7321D5"/>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183DE8"/>
    <w:multiLevelType w:val="hybridMultilevel"/>
    <w:tmpl w:val="384C43E6"/>
    <w:lvl w:ilvl="0" w:tplc="1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8FC5843"/>
    <w:multiLevelType w:val="hybridMultilevel"/>
    <w:tmpl w:val="785271D6"/>
    <w:lvl w:ilvl="0" w:tplc="3F8645E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97504D"/>
    <w:multiLevelType w:val="hybridMultilevel"/>
    <w:tmpl w:val="811A5A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D7C5372"/>
    <w:multiLevelType w:val="hybridMultilevel"/>
    <w:tmpl w:val="87AC34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4448EF"/>
    <w:multiLevelType w:val="hybridMultilevel"/>
    <w:tmpl w:val="14AA40B6"/>
    <w:lvl w:ilvl="0" w:tplc="DE96DAB6">
      <w:start w:val="1"/>
      <w:numFmt w:val="bullet"/>
      <w:lvlText w:val=""/>
      <w:lvlJc w:val="left"/>
      <w:pPr>
        <w:ind w:left="720" w:hanging="360"/>
      </w:pPr>
      <w:rPr>
        <w:rFonts w:ascii="Symbol" w:eastAsia="Times New Roman" w:hAnsi="Symbol" w:cs="Verdana" w:hint="default"/>
        <w:b/>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58F1F50"/>
    <w:multiLevelType w:val="hybridMultilevel"/>
    <w:tmpl w:val="11321514"/>
    <w:lvl w:ilvl="0" w:tplc="DADA77EC">
      <w:start w:val="1"/>
      <w:numFmt w:val="bullet"/>
      <w:lvlText w:val=""/>
      <w:lvlJc w:val="left"/>
      <w:pPr>
        <w:ind w:left="720" w:hanging="360"/>
      </w:pPr>
      <w:rPr>
        <w:rFonts w:ascii="Symbol" w:eastAsia="Times New Roman" w:hAnsi="Symbol"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8962834"/>
    <w:multiLevelType w:val="hybridMultilevel"/>
    <w:tmpl w:val="0EF65E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01A11E3"/>
    <w:multiLevelType w:val="hybridMultilevel"/>
    <w:tmpl w:val="37E806CC"/>
    <w:lvl w:ilvl="0" w:tplc="0B4265A8">
      <w:start w:val="1"/>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DE1E0D"/>
    <w:multiLevelType w:val="multilevel"/>
    <w:tmpl w:val="FBFC94AA"/>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67073F21"/>
    <w:multiLevelType w:val="hybridMultilevel"/>
    <w:tmpl w:val="251CFE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7A91A7C"/>
    <w:multiLevelType w:val="hybridMultilevel"/>
    <w:tmpl w:val="811A5A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E6559AE"/>
    <w:multiLevelType w:val="hybridMultilevel"/>
    <w:tmpl w:val="87822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94D4E48"/>
    <w:multiLevelType w:val="hybridMultilevel"/>
    <w:tmpl w:val="BF6AF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3"/>
  </w:num>
  <w:num w:numId="3">
    <w:abstractNumId w:val="8"/>
  </w:num>
  <w:num w:numId="4">
    <w:abstractNumId w:val="5"/>
  </w:num>
  <w:num w:numId="5">
    <w:abstractNumId w:val="3"/>
  </w:num>
  <w:num w:numId="6">
    <w:abstractNumId w:val="20"/>
  </w:num>
  <w:num w:numId="7">
    <w:abstractNumId w:val="0"/>
  </w:num>
  <w:num w:numId="8">
    <w:abstractNumId w:val="18"/>
  </w:num>
  <w:num w:numId="9">
    <w:abstractNumId w:val="16"/>
  </w:num>
  <w:num w:numId="10">
    <w:abstractNumId w:val="15"/>
  </w:num>
  <w:num w:numId="11">
    <w:abstractNumId w:val="22"/>
  </w:num>
  <w:num w:numId="12">
    <w:abstractNumId w:val="2"/>
  </w:num>
  <w:num w:numId="13">
    <w:abstractNumId w:val="17"/>
  </w:num>
  <w:num w:numId="14">
    <w:abstractNumId w:val="6"/>
  </w:num>
  <w:num w:numId="15">
    <w:abstractNumId w:val="14"/>
  </w:num>
  <w:num w:numId="16">
    <w:abstractNumId w:val="4"/>
  </w:num>
  <w:num w:numId="17">
    <w:abstractNumId w:val="9"/>
  </w:num>
  <w:num w:numId="18">
    <w:abstractNumId w:val="21"/>
  </w:num>
  <w:num w:numId="19">
    <w:abstractNumId w:val="10"/>
  </w:num>
  <w:num w:numId="20">
    <w:abstractNumId w:val="1"/>
  </w:num>
  <w:num w:numId="21">
    <w:abstractNumId w:val="7"/>
  </w:num>
  <w:num w:numId="22">
    <w:abstractNumId w:val="19"/>
  </w:num>
  <w:num w:numId="23">
    <w:abstractNumId w:val="1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93"/>
    <w:rsid w:val="00000385"/>
    <w:rsid w:val="0000231E"/>
    <w:rsid w:val="000122E3"/>
    <w:rsid w:val="00014882"/>
    <w:rsid w:val="00021BD7"/>
    <w:rsid w:val="00025F1D"/>
    <w:rsid w:val="000270AA"/>
    <w:rsid w:val="000319E7"/>
    <w:rsid w:val="00045670"/>
    <w:rsid w:val="000456E8"/>
    <w:rsid w:val="0005113E"/>
    <w:rsid w:val="00051E10"/>
    <w:rsid w:val="00052D65"/>
    <w:rsid w:val="00052D6E"/>
    <w:rsid w:val="000618C1"/>
    <w:rsid w:val="00064B8A"/>
    <w:rsid w:val="00071B5B"/>
    <w:rsid w:val="00076DBF"/>
    <w:rsid w:val="00086A9A"/>
    <w:rsid w:val="00096759"/>
    <w:rsid w:val="000A1D97"/>
    <w:rsid w:val="000B01C2"/>
    <w:rsid w:val="000B709D"/>
    <w:rsid w:val="000C386A"/>
    <w:rsid w:val="000C3F4B"/>
    <w:rsid w:val="000C6238"/>
    <w:rsid w:val="000D38AA"/>
    <w:rsid w:val="000D5088"/>
    <w:rsid w:val="000D51B7"/>
    <w:rsid w:val="000D7425"/>
    <w:rsid w:val="000E3294"/>
    <w:rsid w:val="000E3E99"/>
    <w:rsid w:val="000E4224"/>
    <w:rsid w:val="000E46C5"/>
    <w:rsid w:val="000F486D"/>
    <w:rsid w:val="00110C8C"/>
    <w:rsid w:val="0011482E"/>
    <w:rsid w:val="00122026"/>
    <w:rsid w:val="00124EB6"/>
    <w:rsid w:val="0013015C"/>
    <w:rsid w:val="001312DF"/>
    <w:rsid w:val="00134406"/>
    <w:rsid w:val="00134D21"/>
    <w:rsid w:val="00135C3E"/>
    <w:rsid w:val="00136315"/>
    <w:rsid w:val="0014223C"/>
    <w:rsid w:val="001517A9"/>
    <w:rsid w:val="001519F9"/>
    <w:rsid w:val="00157509"/>
    <w:rsid w:val="001605A6"/>
    <w:rsid w:val="001609CF"/>
    <w:rsid w:val="00162F93"/>
    <w:rsid w:val="00167178"/>
    <w:rsid w:val="00172EF4"/>
    <w:rsid w:val="00184A28"/>
    <w:rsid w:val="001860D4"/>
    <w:rsid w:val="0019110E"/>
    <w:rsid w:val="0019490D"/>
    <w:rsid w:val="001968F6"/>
    <w:rsid w:val="00196BA4"/>
    <w:rsid w:val="001A1250"/>
    <w:rsid w:val="001A1B39"/>
    <w:rsid w:val="001A4818"/>
    <w:rsid w:val="001A48A1"/>
    <w:rsid w:val="001A4EE3"/>
    <w:rsid w:val="001A5AA8"/>
    <w:rsid w:val="001B22CB"/>
    <w:rsid w:val="001B2C95"/>
    <w:rsid w:val="001B3A8E"/>
    <w:rsid w:val="001B51FC"/>
    <w:rsid w:val="001B5DF8"/>
    <w:rsid w:val="001C0DCC"/>
    <w:rsid w:val="001C5CE1"/>
    <w:rsid w:val="001D0081"/>
    <w:rsid w:val="001D3480"/>
    <w:rsid w:val="001D75C4"/>
    <w:rsid w:val="001E6C9C"/>
    <w:rsid w:val="001F41C9"/>
    <w:rsid w:val="002046A6"/>
    <w:rsid w:val="002115CB"/>
    <w:rsid w:val="002150C0"/>
    <w:rsid w:val="00220772"/>
    <w:rsid w:val="00220BC6"/>
    <w:rsid w:val="002249AC"/>
    <w:rsid w:val="00227BDE"/>
    <w:rsid w:val="00237859"/>
    <w:rsid w:val="002403E1"/>
    <w:rsid w:val="00241CDB"/>
    <w:rsid w:val="00245ECB"/>
    <w:rsid w:val="00251457"/>
    <w:rsid w:val="00253666"/>
    <w:rsid w:val="00255146"/>
    <w:rsid w:val="002578E3"/>
    <w:rsid w:val="00257C9C"/>
    <w:rsid w:val="00260F65"/>
    <w:rsid w:val="00261E7F"/>
    <w:rsid w:val="00262F4C"/>
    <w:rsid w:val="00270E34"/>
    <w:rsid w:val="002722C2"/>
    <w:rsid w:val="002771D0"/>
    <w:rsid w:val="002822EF"/>
    <w:rsid w:val="00295B47"/>
    <w:rsid w:val="002A144E"/>
    <w:rsid w:val="002A53B4"/>
    <w:rsid w:val="002A6F0B"/>
    <w:rsid w:val="002B118E"/>
    <w:rsid w:val="002B5F5E"/>
    <w:rsid w:val="002B6506"/>
    <w:rsid w:val="002B7D0F"/>
    <w:rsid w:val="002F56E0"/>
    <w:rsid w:val="0031187F"/>
    <w:rsid w:val="0032010E"/>
    <w:rsid w:val="00322ADF"/>
    <w:rsid w:val="00323A5A"/>
    <w:rsid w:val="0033317D"/>
    <w:rsid w:val="0033339D"/>
    <w:rsid w:val="003362C8"/>
    <w:rsid w:val="003362D7"/>
    <w:rsid w:val="003457D9"/>
    <w:rsid w:val="00357007"/>
    <w:rsid w:val="0037033C"/>
    <w:rsid w:val="00375793"/>
    <w:rsid w:val="00376148"/>
    <w:rsid w:val="003766EB"/>
    <w:rsid w:val="00382568"/>
    <w:rsid w:val="00387789"/>
    <w:rsid w:val="003901E1"/>
    <w:rsid w:val="0039794D"/>
    <w:rsid w:val="003A6CC5"/>
    <w:rsid w:val="003B54F4"/>
    <w:rsid w:val="003F75A7"/>
    <w:rsid w:val="0040483C"/>
    <w:rsid w:val="00407A8C"/>
    <w:rsid w:val="00412CAA"/>
    <w:rsid w:val="00412CE2"/>
    <w:rsid w:val="00416775"/>
    <w:rsid w:val="004174E5"/>
    <w:rsid w:val="00424B62"/>
    <w:rsid w:val="00432B54"/>
    <w:rsid w:val="00433503"/>
    <w:rsid w:val="0043616D"/>
    <w:rsid w:val="004363CD"/>
    <w:rsid w:val="00441124"/>
    <w:rsid w:val="00443C71"/>
    <w:rsid w:val="00446B11"/>
    <w:rsid w:val="004514ED"/>
    <w:rsid w:val="00453EB4"/>
    <w:rsid w:val="00467135"/>
    <w:rsid w:val="00471A5E"/>
    <w:rsid w:val="00481284"/>
    <w:rsid w:val="004946D8"/>
    <w:rsid w:val="00495AC9"/>
    <w:rsid w:val="00496BCA"/>
    <w:rsid w:val="004976FB"/>
    <w:rsid w:val="004A6A33"/>
    <w:rsid w:val="004A70BC"/>
    <w:rsid w:val="004C041D"/>
    <w:rsid w:val="004C606A"/>
    <w:rsid w:val="004D04CB"/>
    <w:rsid w:val="004D288C"/>
    <w:rsid w:val="004D378C"/>
    <w:rsid w:val="004D74BF"/>
    <w:rsid w:val="004E7066"/>
    <w:rsid w:val="004F1873"/>
    <w:rsid w:val="004F3F85"/>
    <w:rsid w:val="004F41A6"/>
    <w:rsid w:val="00505BF6"/>
    <w:rsid w:val="00507126"/>
    <w:rsid w:val="0051052A"/>
    <w:rsid w:val="00510F5C"/>
    <w:rsid w:val="00511805"/>
    <w:rsid w:val="0053221D"/>
    <w:rsid w:val="00532425"/>
    <w:rsid w:val="00537CB5"/>
    <w:rsid w:val="00546436"/>
    <w:rsid w:val="00550FFE"/>
    <w:rsid w:val="005538B7"/>
    <w:rsid w:val="005540E7"/>
    <w:rsid w:val="00560411"/>
    <w:rsid w:val="005625C2"/>
    <w:rsid w:val="005638FC"/>
    <w:rsid w:val="00565CC0"/>
    <w:rsid w:val="00566B10"/>
    <w:rsid w:val="00581C21"/>
    <w:rsid w:val="00583A38"/>
    <w:rsid w:val="0058480D"/>
    <w:rsid w:val="00584E11"/>
    <w:rsid w:val="005A7A56"/>
    <w:rsid w:val="005B0CA9"/>
    <w:rsid w:val="005B4B03"/>
    <w:rsid w:val="005B51FD"/>
    <w:rsid w:val="005B7998"/>
    <w:rsid w:val="005D0B8D"/>
    <w:rsid w:val="005D2E01"/>
    <w:rsid w:val="005D4272"/>
    <w:rsid w:val="005D50A1"/>
    <w:rsid w:val="005D585D"/>
    <w:rsid w:val="005D6B94"/>
    <w:rsid w:val="005E70A6"/>
    <w:rsid w:val="005E7477"/>
    <w:rsid w:val="00603AEC"/>
    <w:rsid w:val="00607D65"/>
    <w:rsid w:val="00611AF5"/>
    <w:rsid w:val="006151D0"/>
    <w:rsid w:val="006154A6"/>
    <w:rsid w:val="00616A44"/>
    <w:rsid w:val="006278C9"/>
    <w:rsid w:val="0064221D"/>
    <w:rsid w:val="0064224C"/>
    <w:rsid w:val="00643EBA"/>
    <w:rsid w:val="00647F2F"/>
    <w:rsid w:val="0065207C"/>
    <w:rsid w:val="00652DBD"/>
    <w:rsid w:val="006531BA"/>
    <w:rsid w:val="006539E9"/>
    <w:rsid w:val="00657AA4"/>
    <w:rsid w:val="00660BDF"/>
    <w:rsid w:val="00670147"/>
    <w:rsid w:val="00692727"/>
    <w:rsid w:val="00693F41"/>
    <w:rsid w:val="006954E6"/>
    <w:rsid w:val="00697081"/>
    <w:rsid w:val="00697F33"/>
    <w:rsid w:val="006A2101"/>
    <w:rsid w:val="006A7EB5"/>
    <w:rsid w:val="006A7F27"/>
    <w:rsid w:val="006B5005"/>
    <w:rsid w:val="006C02BE"/>
    <w:rsid w:val="006C17BC"/>
    <w:rsid w:val="006C6C29"/>
    <w:rsid w:val="006D0776"/>
    <w:rsid w:val="006D400A"/>
    <w:rsid w:val="006D528B"/>
    <w:rsid w:val="006E0105"/>
    <w:rsid w:val="006E2CA2"/>
    <w:rsid w:val="006E5EF2"/>
    <w:rsid w:val="006E74C8"/>
    <w:rsid w:val="00707DBD"/>
    <w:rsid w:val="00710F3C"/>
    <w:rsid w:val="00716978"/>
    <w:rsid w:val="00717D33"/>
    <w:rsid w:val="00724F48"/>
    <w:rsid w:val="007273F9"/>
    <w:rsid w:val="00727812"/>
    <w:rsid w:val="00730A4C"/>
    <w:rsid w:val="00731C01"/>
    <w:rsid w:val="00732ADD"/>
    <w:rsid w:val="00732C79"/>
    <w:rsid w:val="007331F4"/>
    <w:rsid w:val="00735DBC"/>
    <w:rsid w:val="00745E70"/>
    <w:rsid w:val="00752403"/>
    <w:rsid w:val="00757D9E"/>
    <w:rsid w:val="00767C1A"/>
    <w:rsid w:val="007805A9"/>
    <w:rsid w:val="00790DCD"/>
    <w:rsid w:val="00792C1F"/>
    <w:rsid w:val="00797BEF"/>
    <w:rsid w:val="007A14CA"/>
    <w:rsid w:val="007A2C07"/>
    <w:rsid w:val="007B06F8"/>
    <w:rsid w:val="007B367E"/>
    <w:rsid w:val="007B39B6"/>
    <w:rsid w:val="007B56EA"/>
    <w:rsid w:val="007B6DB2"/>
    <w:rsid w:val="007E541D"/>
    <w:rsid w:val="007E67A8"/>
    <w:rsid w:val="007F4109"/>
    <w:rsid w:val="007F6A2F"/>
    <w:rsid w:val="008059CB"/>
    <w:rsid w:val="00805DB8"/>
    <w:rsid w:val="0080755B"/>
    <w:rsid w:val="00816CD9"/>
    <w:rsid w:val="00821D6C"/>
    <w:rsid w:val="00821EF5"/>
    <w:rsid w:val="00826A86"/>
    <w:rsid w:val="00830063"/>
    <w:rsid w:val="0083142C"/>
    <w:rsid w:val="00835123"/>
    <w:rsid w:val="00837600"/>
    <w:rsid w:val="0083762A"/>
    <w:rsid w:val="00840BEA"/>
    <w:rsid w:val="00842B5A"/>
    <w:rsid w:val="00850441"/>
    <w:rsid w:val="0085154C"/>
    <w:rsid w:val="008674C0"/>
    <w:rsid w:val="00873139"/>
    <w:rsid w:val="008732AD"/>
    <w:rsid w:val="0088536F"/>
    <w:rsid w:val="00885846"/>
    <w:rsid w:val="00887851"/>
    <w:rsid w:val="0089359E"/>
    <w:rsid w:val="008A0482"/>
    <w:rsid w:val="008A49E8"/>
    <w:rsid w:val="008A5CAA"/>
    <w:rsid w:val="008B1099"/>
    <w:rsid w:val="008C3C2C"/>
    <w:rsid w:val="008C7143"/>
    <w:rsid w:val="008D0E23"/>
    <w:rsid w:val="008D6EBB"/>
    <w:rsid w:val="008E2A31"/>
    <w:rsid w:val="008E6BA5"/>
    <w:rsid w:val="008F4AFE"/>
    <w:rsid w:val="009029CD"/>
    <w:rsid w:val="00903066"/>
    <w:rsid w:val="00905E24"/>
    <w:rsid w:val="0090795E"/>
    <w:rsid w:val="00910465"/>
    <w:rsid w:val="0091636A"/>
    <w:rsid w:val="00920E08"/>
    <w:rsid w:val="00923729"/>
    <w:rsid w:val="00923E7F"/>
    <w:rsid w:val="00925255"/>
    <w:rsid w:val="0092641F"/>
    <w:rsid w:val="00937524"/>
    <w:rsid w:val="0094243F"/>
    <w:rsid w:val="00944324"/>
    <w:rsid w:val="00961A76"/>
    <w:rsid w:val="00965271"/>
    <w:rsid w:val="009752EE"/>
    <w:rsid w:val="00986792"/>
    <w:rsid w:val="00993665"/>
    <w:rsid w:val="009A49B4"/>
    <w:rsid w:val="009B00AA"/>
    <w:rsid w:val="009B09E3"/>
    <w:rsid w:val="009B518D"/>
    <w:rsid w:val="009C1241"/>
    <w:rsid w:val="009D6835"/>
    <w:rsid w:val="009D6839"/>
    <w:rsid w:val="009F33F7"/>
    <w:rsid w:val="009F50F6"/>
    <w:rsid w:val="009F6723"/>
    <w:rsid w:val="00A00EF8"/>
    <w:rsid w:val="00A02A2F"/>
    <w:rsid w:val="00A042B2"/>
    <w:rsid w:val="00A04B65"/>
    <w:rsid w:val="00A11481"/>
    <w:rsid w:val="00A1516F"/>
    <w:rsid w:val="00A15527"/>
    <w:rsid w:val="00A251A7"/>
    <w:rsid w:val="00A41A23"/>
    <w:rsid w:val="00A45E2F"/>
    <w:rsid w:val="00A463B3"/>
    <w:rsid w:val="00A46BB1"/>
    <w:rsid w:val="00A51F24"/>
    <w:rsid w:val="00A64FDC"/>
    <w:rsid w:val="00A65001"/>
    <w:rsid w:val="00A67BA6"/>
    <w:rsid w:val="00A703E7"/>
    <w:rsid w:val="00A7194C"/>
    <w:rsid w:val="00A76875"/>
    <w:rsid w:val="00A77924"/>
    <w:rsid w:val="00A84330"/>
    <w:rsid w:val="00A85174"/>
    <w:rsid w:val="00A851D5"/>
    <w:rsid w:val="00A924E6"/>
    <w:rsid w:val="00A930A0"/>
    <w:rsid w:val="00A930AE"/>
    <w:rsid w:val="00AA13CE"/>
    <w:rsid w:val="00AA1CC0"/>
    <w:rsid w:val="00AA45E3"/>
    <w:rsid w:val="00AA4767"/>
    <w:rsid w:val="00AA57D7"/>
    <w:rsid w:val="00AB1363"/>
    <w:rsid w:val="00AB1A17"/>
    <w:rsid w:val="00AB7171"/>
    <w:rsid w:val="00AC52A8"/>
    <w:rsid w:val="00AC7D97"/>
    <w:rsid w:val="00AE2DE2"/>
    <w:rsid w:val="00AF1B12"/>
    <w:rsid w:val="00B00B88"/>
    <w:rsid w:val="00B05A1C"/>
    <w:rsid w:val="00B25089"/>
    <w:rsid w:val="00B278B1"/>
    <w:rsid w:val="00B33714"/>
    <w:rsid w:val="00B46E19"/>
    <w:rsid w:val="00B47727"/>
    <w:rsid w:val="00B51CD3"/>
    <w:rsid w:val="00B54576"/>
    <w:rsid w:val="00B56078"/>
    <w:rsid w:val="00B56354"/>
    <w:rsid w:val="00B563EF"/>
    <w:rsid w:val="00B724B7"/>
    <w:rsid w:val="00B81362"/>
    <w:rsid w:val="00B8517D"/>
    <w:rsid w:val="00B94896"/>
    <w:rsid w:val="00BA2043"/>
    <w:rsid w:val="00BA5331"/>
    <w:rsid w:val="00BB5393"/>
    <w:rsid w:val="00BC15EE"/>
    <w:rsid w:val="00BC5059"/>
    <w:rsid w:val="00BC7E24"/>
    <w:rsid w:val="00BD1BCC"/>
    <w:rsid w:val="00BD1C93"/>
    <w:rsid w:val="00BD2E52"/>
    <w:rsid w:val="00BE5465"/>
    <w:rsid w:val="00C02A5F"/>
    <w:rsid w:val="00C1305E"/>
    <w:rsid w:val="00C1411C"/>
    <w:rsid w:val="00C17587"/>
    <w:rsid w:val="00C2095A"/>
    <w:rsid w:val="00C21C5C"/>
    <w:rsid w:val="00C3550C"/>
    <w:rsid w:val="00C54B3E"/>
    <w:rsid w:val="00C56734"/>
    <w:rsid w:val="00C62D99"/>
    <w:rsid w:val="00C71D5A"/>
    <w:rsid w:val="00C769AF"/>
    <w:rsid w:val="00C87826"/>
    <w:rsid w:val="00C90BA9"/>
    <w:rsid w:val="00C94B70"/>
    <w:rsid w:val="00C978AC"/>
    <w:rsid w:val="00CA03E2"/>
    <w:rsid w:val="00CA1B71"/>
    <w:rsid w:val="00CA254D"/>
    <w:rsid w:val="00CA38B0"/>
    <w:rsid w:val="00CA3DDE"/>
    <w:rsid w:val="00CA7E97"/>
    <w:rsid w:val="00CB32D3"/>
    <w:rsid w:val="00CC35D8"/>
    <w:rsid w:val="00CC45E0"/>
    <w:rsid w:val="00CC5552"/>
    <w:rsid w:val="00CD34E7"/>
    <w:rsid w:val="00CF5EF0"/>
    <w:rsid w:val="00D02445"/>
    <w:rsid w:val="00D07E55"/>
    <w:rsid w:val="00D10CCE"/>
    <w:rsid w:val="00D21272"/>
    <w:rsid w:val="00D22645"/>
    <w:rsid w:val="00D270FA"/>
    <w:rsid w:val="00D3526C"/>
    <w:rsid w:val="00D36B0A"/>
    <w:rsid w:val="00D37740"/>
    <w:rsid w:val="00D42555"/>
    <w:rsid w:val="00D43AF9"/>
    <w:rsid w:val="00D46F26"/>
    <w:rsid w:val="00D471D3"/>
    <w:rsid w:val="00D5625C"/>
    <w:rsid w:val="00D603E8"/>
    <w:rsid w:val="00D6146E"/>
    <w:rsid w:val="00D660FF"/>
    <w:rsid w:val="00D70898"/>
    <w:rsid w:val="00D749B6"/>
    <w:rsid w:val="00D82270"/>
    <w:rsid w:val="00D83D08"/>
    <w:rsid w:val="00D865A4"/>
    <w:rsid w:val="00D907BB"/>
    <w:rsid w:val="00D936BD"/>
    <w:rsid w:val="00D944D9"/>
    <w:rsid w:val="00DA518F"/>
    <w:rsid w:val="00DA683A"/>
    <w:rsid w:val="00DB3657"/>
    <w:rsid w:val="00DB50B8"/>
    <w:rsid w:val="00DC562F"/>
    <w:rsid w:val="00DD4E1C"/>
    <w:rsid w:val="00DE2C9D"/>
    <w:rsid w:val="00DE62A3"/>
    <w:rsid w:val="00DE69D1"/>
    <w:rsid w:val="00DF2EDA"/>
    <w:rsid w:val="00E07793"/>
    <w:rsid w:val="00E1028C"/>
    <w:rsid w:val="00E158B8"/>
    <w:rsid w:val="00E15994"/>
    <w:rsid w:val="00E20E6B"/>
    <w:rsid w:val="00E25282"/>
    <w:rsid w:val="00E31C44"/>
    <w:rsid w:val="00E4539A"/>
    <w:rsid w:val="00E53BBC"/>
    <w:rsid w:val="00E61473"/>
    <w:rsid w:val="00E62204"/>
    <w:rsid w:val="00E67B84"/>
    <w:rsid w:val="00E74A5D"/>
    <w:rsid w:val="00E77927"/>
    <w:rsid w:val="00E81D32"/>
    <w:rsid w:val="00E83B7C"/>
    <w:rsid w:val="00E87D61"/>
    <w:rsid w:val="00EA0854"/>
    <w:rsid w:val="00EA570D"/>
    <w:rsid w:val="00EB0861"/>
    <w:rsid w:val="00EC234C"/>
    <w:rsid w:val="00EC31D8"/>
    <w:rsid w:val="00EC752E"/>
    <w:rsid w:val="00ED1654"/>
    <w:rsid w:val="00ED1876"/>
    <w:rsid w:val="00ED56C2"/>
    <w:rsid w:val="00ED79C0"/>
    <w:rsid w:val="00EE7627"/>
    <w:rsid w:val="00F01A74"/>
    <w:rsid w:val="00F0333C"/>
    <w:rsid w:val="00F04DCE"/>
    <w:rsid w:val="00F10901"/>
    <w:rsid w:val="00F26889"/>
    <w:rsid w:val="00F26CAE"/>
    <w:rsid w:val="00F2783E"/>
    <w:rsid w:val="00F30B1A"/>
    <w:rsid w:val="00F3522A"/>
    <w:rsid w:val="00F40727"/>
    <w:rsid w:val="00F41F9F"/>
    <w:rsid w:val="00F42D5F"/>
    <w:rsid w:val="00F65F4F"/>
    <w:rsid w:val="00F733EC"/>
    <w:rsid w:val="00F74F4D"/>
    <w:rsid w:val="00F753BB"/>
    <w:rsid w:val="00F76B09"/>
    <w:rsid w:val="00F7755C"/>
    <w:rsid w:val="00F77D9A"/>
    <w:rsid w:val="00F9348B"/>
    <w:rsid w:val="00F94498"/>
    <w:rsid w:val="00FA1C13"/>
    <w:rsid w:val="00FA1F8A"/>
    <w:rsid w:val="00FA7BF6"/>
    <w:rsid w:val="00FB5127"/>
    <w:rsid w:val="00FC20F6"/>
    <w:rsid w:val="00FC6554"/>
    <w:rsid w:val="00FC6D85"/>
    <w:rsid w:val="00FD0E08"/>
    <w:rsid w:val="00FE31F2"/>
    <w:rsid w:val="00FE4E74"/>
    <w:rsid w:val="00FF188E"/>
    <w:rsid w:val="00FF40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E2A2C9"/>
  <w15:chartTrackingRefBased/>
  <w15:docId w15:val="{F12E25BB-BA71-4E41-9940-FB55F260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793"/>
    <w:pPr>
      <w:spacing w:after="0" w:line="240" w:lineRule="auto"/>
    </w:pPr>
    <w:rPr>
      <w:rFonts w:ascii="Verdana" w:eastAsia="Times New Roman" w:hAnsi="Verdana" w:cs="Verdana"/>
      <w:sz w:val="20"/>
      <w:szCs w:val="20"/>
      <w:lang w:val="en-GB"/>
    </w:rPr>
  </w:style>
  <w:style w:type="paragraph" w:styleId="Heading1">
    <w:name w:val="heading 1"/>
    <w:basedOn w:val="Normal"/>
    <w:next w:val="Normal"/>
    <w:link w:val="Heading1Char"/>
    <w:qFormat/>
    <w:rsid w:val="003757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793"/>
    <w:rPr>
      <w:rFonts w:ascii="Arial" w:eastAsia="Times New Roman" w:hAnsi="Arial" w:cs="Arial"/>
      <w:b/>
      <w:bCs/>
      <w:kern w:val="32"/>
      <w:sz w:val="32"/>
      <w:szCs w:val="32"/>
      <w:lang w:val="en-GB"/>
    </w:rPr>
  </w:style>
  <w:style w:type="paragraph" w:styleId="NoSpacing">
    <w:name w:val="No Spacing"/>
    <w:qFormat/>
    <w:rsid w:val="00375793"/>
    <w:pPr>
      <w:spacing w:after="0" w:line="240" w:lineRule="auto"/>
    </w:pPr>
    <w:rPr>
      <w:rFonts w:ascii="Calibri" w:eastAsia="Calibri" w:hAnsi="Calibri" w:cs="Times New Roman"/>
    </w:rPr>
  </w:style>
  <w:style w:type="paragraph" w:customStyle="1" w:styleId="Default">
    <w:name w:val="Default"/>
    <w:rsid w:val="00375793"/>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375793"/>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375793"/>
    <w:pPr>
      <w:tabs>
        <w:tab w:val="center" w:pos="4320"/>
        <w:tab w:val="right" w:pos="8640"/>
      </w:tabs>
    </w:pPr>
  </w:style>
  <w:style w:type="character" w:customStyle="1" w:styleId="HeaderChar">
    <w:name w:val="Header Char"/>
    <w:basedOn w:val="DefaultParagraphFont"/>
    <w:link w:val="Header"/>
    <w:rsid w:val="00375793"/>
    <w:rPr>
      <w:rFonts w:ascii="Verdana" w:eastAsia="Times New Roman" w:hAnsi="Verdana" w:cs="Verdana"/>
      <w:sz w:val="20"/>
      <w:szCs w:val="20"/>
      <w:lang w:val="en-GB"/>
    </w:rPr>
  </w:style>
  <w:style w:type="paragraph" w:styleId="Footer">
    <w:name w:val="footer"/>
    <w:basedOn w:val="Normal"/>
    <w:link w:val="FooterChar"/>
    <w:rsid w:val="00375793"/>
    <w:pPr>
      <w:tabs>
        <w:tab w:val="center" w:pos="4320"/>
        <w:tab w:val="right" w:pos="8640"/>
      </w:tabs>
    </w:pPr>
  </w:style>
  <w:style w:type="character" w:customStyle="1" w:styleId="FooterChar">
    <w:name w:val="Footer Char"/>
    <w:basedOn w:val="DefaultParagraphFont"/>
    <w:link w:val="Footer"/>
    <w:rsid w:val="00375793"/>
    <w:rPr>
      <w:rFonts w:ascii="Verdana" w:eastAsia="Times New Roman" w:hAnsi="Verdana" w:cs="Verdana"/>
      <w:sz w:val="20"/>
      <w:szCs w:val="20"/>
      <w:lang w:val="en-GB"/>
    </w:rPr>
  </w:style>
  <w:style w:type="paragraph" w:styleId="Title">
    <w:name w:val="Title"/>
    <w:basedOn w:val="Heading1"/>
    <w:next w:val="Normal"/>
    <w:link w:val="TitleChar"/>
    <w:qFormat/>
    <w:rsid w:val="00375793"/>
    <w:pPr>
      <w:keepLines/>
      <w:spacing w:before="480" w:after="0" w:line="276" w:lineRule="auto"/>
    </w:pPr>
    <w:rPr>
      <w:rFonts w:ascii="Cambria" w:eastAsia="Calibri" w:hAnsi="Cambria" w:cs="Times New Roman"/>
      <w:color w:val="365F91"/>
      <w:kern w:val="0"/>
      <w:sz w:val="28"/>
      <w:szCs w:val="24"/>
      <w:lang w:val="en-US"/>
    </w:rPr>
  </w:style>
  <w:style w:type="character" w:customStyle="1" w:styleId="TitleChar">
    <w:name w:val="Title Char"/>
    <w:basedOn w:val="DefaultParagraphFont"/>
    <w:link w:val="Title"/>
    <w:rsid w:val="00375793"/>
    <w:rPr>
      <w:rFonts w:ascii="Cambria" w:eastAsia="Calibri" w:hAnsi="Cambria" w:cs="Times New Roman"/>
      <w:b/>
      <w:bCs/>
      <w:color w:val="365F91"/>
      <w:sz w:val="28"/>
      <w:szCs w:val="24"/>
      <w:lang w:val="en-US"/>
    </w:rPr>
  </w:style>
  <w:style w:type="paragraph" w:styleId="BodyText3">
    <w:name w:val="Body Text 3"/>
    <w:basedOn w:val="Normal"/>
    <w:link w:val="BodyText3Char"/>
    <w:rsid w:val="00375793"/>
    <w:pPr>
      <w:ind w:right="955"/>
    </w:pPr>
    <w:rPr>
      <w:rFonts w:cs="Times New Roman"/>
      <w:sz w:val="24"/>
      <w:szCs w:val="24"/>
      <w:lang w:val="en-US"/>
    </w:rPr>
  </w:style>
  <w:style w:type="character" w:customStyle="1" w:styleId="BodyText3Char">
    <w:name w:val="Body Text 3 Char"/>
    <w:basedOn w:val="DefaultParagraphFont"/>
    <w:link w:val="BodyText3"/>
    <w:rsid w:val="00375793"/>
    <w:rPr>
      <w:rFonts w:ascii="Verdana" w:eastAsia="Times New Roman" w:hAnsi="Verdana" w:cs="Times New Roman"/>
      <w:sz w:val="24"/>
      <w:szCs w:val="24"/>
      <w:lang w:val="en-US"/>
    </w:rPr>
  </w:style>
  <w:style w:type="table" w:styleId="TableColumns3">
    <w:name w:val="Table Columns 3"/>
    <w:basedOn w:val="TableNormal"/>
    <w:rsid w:val="00375793"/>
    <w:pPr>
      <w:spacing w:after="0" w:line="240" w:lineRule="auto"/>
    </w:pPr>
    <w:rPr>
      <w:rFonts w:ascii="Times New Roman" w:eastAsia="Times New Roman" w:hAnsi="Times New Roman" w:cs="Times New Roman"/>
      <w:b/>
      <w:bCs/>
      <w:sz w:val="20"/>
      <w:szCs w:val="20"/>
      <w:lang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375793"/>
    <w:pPr>
      <w:spacing w:after="0" w:line="240" w:lineRule="auto"/>
    </w:pPr>
    <w:rPr>
      <w:rFonts w:ascii="Times New Roman" w:eastAsia="Times New Roman" w:hAnsi="Times New Roman" w:cs="Times New Roman"/>
      <w:sz w:val="20"/>
      <w:szCs w:val="20"/>
      <w:lang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6">
    <w:name w:val="Table List 6"/>
    <w:basedOn w:val="TableNormal"/>
    <w:rsid w:val="00375793"/>
    <w:pPr>
      <w:spacing w:after="0" w:line="240" w:lineRule="auto"/>
    </w:pPr>
    <w:rPr>
      <w:rFonts w:ascii="Times New Roman" w:eastAsia="Times New Roman" w:hAnsi="Times New Roman" w:cs="Times New Roman"/>
      <w:sz w:val="20"/>
      <w:szCs w:val="20"/>
      <w:lang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yperlink">
    <w:name w:val="Hyperlink"/>
    <w:basedOn w:val="DefaultParagraphFont"/>
    <w:rsid w:val="00375793"/>
    <w:rPr>
      <w:color w:val="0000FF"/>
      <w:u w:val="single"/>
    </w:rPr>
  </w:style>
  <w:style w:type="paragraph" w:styleId="ListParagraph">
    <w:name w:val="List Paragraph"/>
    <w:basedOn w:val="Normal"/>
    <w:uiPriority w:val="34"/>
    <w:qFormat/>
    <w:rsid w:val="0088536F"/>
    <w:pPr>
      <w:ind w:left="720"/>
      <w:contextualSpacing/>
    </w:pPr>
  </w:style>
  <w:style w:type="paragraph" w:styleId="BalloonText">
    <w:name w:val="Balloon Text"/>
    <w:basedOn w:val="Normal"/>
    <w:link w:val="BalloonTextChar"/>
    <w:uiPriority w:val="99"/>
    <w:semiHidden/>
    <w:unhideWhenUsed/>
    <w:rsid w:val="000B7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9D"/>
    <w:rPr>
      <w:rFonts w:ascii="Segoe UI" w:eastAsia="Times New Roman" w:hAnsi="Segoe UI" w:cs="Segoe UI"/>
      <w:sz w:val="18"/>
      <w:szCs w:val="18"/>
      <w:lang w:val="en-GB"/>
    </w:rPr>
  </w:style>
  <w:style w:type="paragraph" w:styleId="FootnoteText">
    <w:name w:val="footnote text"/>
    <w:basedOn w:val="Normal"/>
    <w:link w:val="FootnoteTextChar"/>
    <w:uiPriority w:val="99"/>
    <w:unhideWhenUsed/>
    <w:rsid w:val="00D46F26"/>
    <w:rPr>
      <w:rFonts w:ascii="Calibri" w:eastAsia="MS Mincho" w:hAnsi="Calibri" w:cs="Arial"/>
      <w:lang w:val="en-US" w:eastAsia="ja-JP"/>
    </w:rPr>
  </w:style>
  <w:style w:type="character" w:customStyle="1" w:styleId="FootnoteTextChar">
    <w:name w:val="Footnote Text Char"/>
    <w:basedOn w:val="DefaultParagraphFont"/>
    <w:link w:val="FootnoteText"/>
    <w:uiPriority w:val="99"/>
    <w:rsid w:val="00D46F26"/>
    <w:rPr>
      <w:rFonts w:ascii="Calibri" w:eastAsia="MS Mincho" w:hAnsi="Calibri" w:cs="Arial"/>
      <w:sz w:val="20"/>
      <w:szCs w:val="20"/>
      <w:lang w:val="en-US" w:eastAsia="ja-JP"/>
    </w:rPr>
  </w:style>
  <w:style w:type="paragraph" w:styleId="NormalWeb">
    <w:name w:val="Normal (Web)"/>
    <w:basedOn w:val="Normal"/>
    <w:uiPriority w:val="99"/>
    <w:semiHidden/>
    <w:unhideWhenUsed/>
    <w:rsid w:val="000F486D"/>
    <w:pPr>
      <w:spacing w:after="150"/>
    </w:pPr>
    <w:rPr>
      <w:rFonts w:ascii="Times New Roman" w:hAnsi="Times New Roman" w:cs="Times New Roman"/>
      <w:sz w:val="24"/>
      <w:szCs w:val="24"/>
      <w:lang w:val="en-IE" w:eastAsia="en-IE"/>
    </w:rPr>
  </w:style>
  <w:style w:type="paragraph" w:styleId="PlainText">
    <w:name w:val="Plain Text"/>
    <w:basedOn w:val="Normal"/>
    <w:link w:val="PlainTextChar"/>
    <w:uiPriority w:val="99"/>
    <w:semiHidden/>
    <w:unhideWhenUsed/>
    <w:rsid w:val="002B5F5E"/>
    <w:rPr>
      <w:rFonts w:ascii="Calibri" w:eastAsiaTheme="minorHAnsi" w:hAnsi="Calibri" w:cstheme="minorBidi"/>
      <w:sz w:val="22"/>
      <w:szCs w:val="21"/>
      <w:lang w:val="en-IE"/>
    </w:rPr>
  </w:style>
  <w:style w:type="character" w:customStyle="1" w:styleId="PlainTextChar">
    <w:name w:val="Plain Text Char"/>
    <w:basedOn w:val="DefaultParagraphFont"/>
    <w:link w:val="PlainText"/>
    <w:uiPriority w:val="99"/>
    <w:semiHidden/>
    <w:rsid w:val="002B5F5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60158">
      <w:bodyDiv w:val="1"/>
      <w:marLeft w:val="0"/>
      <w:marRight w:val="0"/>
      <w:marTop w:val="0"/>
      <w:marBottom w:val="0"/>
      <w:divBdr>
        <w:top w:val="none" w:sz="0" w:space="0" w:color="auto"/>
        <w:left w:val="none" w:sz="0" w:space="0" w:color="auto"/>
        <w:bottom w:val="none" w:sz="0" w:space="0" w:color="auto"/>
        <w:right w:val="none" w:sz="0" w:space="0" w:color="auto"/>
      </w:divBdr>
    </w:div>
    <w:div w:id="78139612">
      <w:bodyDiv w:val="1"/>
      <w:marLeft w:val="0"/>
      <w:marRight w:val="0"/>
      <w:marTop w:val="0"/>
      <w:marBottom w:val="0"/>
      <w:divBdr>
        <w:top w:val="none" w:sz="0" w:space="0" w:color="auto"/>
        <w:left w:val="none" w:sz="0" w:space="0" w:color="auto"/>
        <w:bottom w:val="none" w:sz="0" w:space="0" w:color="auto"/>
        <w:right w:val="none" w:sz="0" w:space="0" w:color="auto"/>
      </w:divBdr>
    </w:div>
    <w:div w:id="82185153">
      <w:bodyDiv w:val="1"/>
      <w:marLeft w:val="0"/>
      <w:marRight w:val="0"/>
      <w:marTop w:val="0"/>
      <w:marBottom w:val="0"/>
      <w:divBdr>
        <w:top w:val="none" w:sz="0" w:space="0" w:color="auto"/>
        <w:left w:val="none" w:sz="0" w:space="0" w:color="auto"/>
        <w:bottom w:val="none" w:sz="0" w:space="0" w:color="auto"/>
        <w:right w:val="none" w:sz="0" w:space="0" w:color="auto"/>
      </w:divBdr>
    </w:div>
    <w:div w:id="90050250">
      <w:bodyDiv w:val="1"/>
      <w:marLeft w:val="0"/>
      <w:marRight w:val="0"/>
      <w:marTop w:val="0"/>
      <w:marBottom w:val="0"/>
      <w:divBdr>
        <w:top w:val="none" w:sz="0" w:space="0" w:color="auto"/>
        <w:left w:val="none" w:sz="0" w:space="0" w:color="auto"/>
        <w:bottom w:val="none" w:sz="0" w:space="0" w:color="auto"/>
        <w:right w:val="none" w:sz="0" w:space="0" w:color="auto"/>
      </w:divBdr>
    </w:div>
    <w:div w:id="108471853">
      <w:bodyDiv w:val="1"/>
      <w:marLeft w:val="0"/>
      <w:marRight w:val="0"/>
      <w:marTop w:val="0"/>
      <w:marBottom w:val="0"/>
      <w:divBdr>
        <w:top w:val="none" w:sz="0" w:space="0" w:color="auto"/>
        <w:left w:val="none" w:sz="0" w:space="0" w:color="auto"/>
        <w:bottom w:val="none" w:sz="0" w:space="0" w:color="auto"/>
        <w:right w:val="none" w:sz="0" w:space="0" w:color="auto"/>
      </w:divBdr>
    </w:div>
    <w:div w:id="117993345">
      <w:bodyDiv w:val="1"/>
      <w:marLeft w:val="0"/>
      <w:marRight w:val="0"/>
      <w:marTop w:val="0"/>
      <w:marBottom w:val="0"/>
      <w:divBdr>
        <w:top w:val="none" w:sz="0" w:space="0" w:color="auto"/>
        <w:left w:val="none" w:sz="0" w:space="0" w:color="auto"/>
        <w:bottom w:val="none" w:sz="0" w:space="0" w:color="auto"/>
        <w:right w:val="none" w:sz="0" w:space="0" w:color="auto"/>
      </w:divBdr>
    </w:div>
    <w:div w:id="118843356">
      <w:bodyDiv w:val="1"/>
      <w:marLeft w:val="0"/>
      <w:marRight w:val="0"/>
      <w:marTop w:val="0"/>
      <w:marBottom w:val="0"/>
      <w:divBdr>
        <w:top w:val="none" w:sz="0" w:space="0" w:color="auto"/>
        <w:left w:val="none" w:sz="0" w:space="0" w:color="auto"/>
        <w:bottom w:val="none" w:sz="0" w:space="0" w:color="auto"/>
        <w:right w:val="none" w:sz="0" w:space="0" w:color="auto"/>
      </w:divBdr>
    </w:div>
    <w:div w:id="142083868">
      <w:bodyDiv w:val="1"/>
      <w:marLeft w:val="0"/>
      <w:marRight w:val="0"/>
      <w:marTop w:val="0"/>
      <w:marBottom w:val="0"/>
      <w:divBdr>
        <w:top w:val="none" w:sz="0" w:space="0" w:color="auto"/>
        <w:left w:val="none" w:sz="0" w:space="0" w:color="auto"/>
        <w:bottom w:val="none" w:sz="0" w:space="0" w:color="auto"/>
        <w:right w:val="none" w:sz="0" w:space="0" w:color="auto"/>
      </w:divBdr>
    </w:div>
    <w:div w:id="171530184">
      <w:bodyDiv w:val="1"/>
      <w:marLeft w:val="0"/>
      <w:marRight w:val="0"/>
      <w:marTop w:val="0"/>
      <w:marBottom w:val="0"/>
      <w:divBdr>
        <w:top w:val="none" w:sz="0" w:space="0" w:color="auto"/>
        <w:left w:val="none" w:sz="0" w:space="0" w:color="auto"/>
        <w:bottom w:val="none" w:sz="0" w:space="0" w:color="auto"/>
        <w:right w:val="none" w:sz="0" w:space="0" w:color="auto"/>
      </w:divBdr>
    </w:div>
    <w:div w:id="173111237">
      <w:bodyDiv w:val="1"/>
      <w:marLeft w:val="0"/>
      <w:marRight w:val="0"/>
      <w:marTop w:val="0"/>
      <w:marBottom w:val="0"/>
      <w:divBdr>
        <w:top w:val="none" w:sz="0" w:space="0" w:color="auto"/>
        <w:left w:val="none" w:sz="0" w:space="0" w:color="auto"/>
        <w:bottom w:val="none" w:sz="0" w:space="0" w:color="auto"/>
        <w:right w:val="none" w:sz="0" w:space="0" w:color="auto"/>
      </w:divBdr>
    </w:div>
    <w:div w:id="184637912">
      <w:bodyDiv w:val="1"/>
      <w:marLeft w:val="0"/>
      <w:marRight w:val="0"/>
      <w:marTop w:val="0"/>
      <w:marBottom w:val="0"/>
      <w:divBdr>
        <w:top w:val="none" w:sz="0" w:space="0" w:color="auto"/>
        <w:left w:val="none" w:sz="0" w:space="0" w:color="auto"/>
        <w:bottom w:val="none" w:sz="0" w:space="0" w:color="auto"/>
        <w:right w:val="none" w:sz="0" w:space="0" w:color="auto"/>
      </w:divBdr>
    </w:div>
    <w:div w:id="197283624">
      <w:bodyDiv w:val="1"/>
      <w:marLeft w:val="0"/>
      <w:marRight w:val="0"/>
      <w:marTop w:val="0"/>
      <w:marBottom w:val="0"/>
      <w:divBdr>
        <w:top w:val="none" w:sz="0" w:space="0" w:color="auto"/>
        <w:left w:val="none" w:sz="0" w:space="0" w:color="auto"/>
        <w:bottom w:val="none" w:sz="0" w:space="0" w:color="auto"/>
        <w:right w:val="none" w:sz="0" w:space="0" w:color="auto"/>
      </w:divBdr>
    </w:div>
    <w:div w:id="198010767">
      <w:bodyDiv w:val="1"/>
      <w:marLeft w:val="0"/>
      <w:marRight w:val="0"/>
      <w:marTop w:val="0"/>
      <w:marBottom w:val="0"/>
      <w:divBdr>
        <w:top w:val="none" w:sz="0" w:space="0" w:color="auto"/>
        <w:left w:val="none" w:sz="0" w:space="0" w:color="auto"/>
        <w:bottom w:val="none" w:sz="0" w:space="0" w:color="auto"/>
        <w:right w:val="none" w:sz="0" w:space="0" w:color="auto"/>
      </w:divBdr>
    </w:div>
    <w:div w:id="228469606">
      <w:bodyDiv w:val="1"/>
      <w:marLeft w:val="0"/>
      <w:marRight w:val="0"/>
      <w:marTop w:val="0"/>
      <w:marBottom w:val="0"/>
      <w:divBdr>
        <w:top w:val="none" w:sz="0" w:space="0" w:color="auto"/>
        <w:left w:val="none" w:sz="0" w:space="0" w:color="auto"/>
        <w:bottom w:val="none" w:sz="0" w:space="0" w:color="auto"/>
        <w:right w:val="none" w:sz="0" w:space="0" w:color="auto"/>
      </w:divBdr>
    </w:div>
    <w:div w:id="259069379">
      <w:bodyDiv w:val="1"/>
      <w:marLeft w:val="0"/>
      <w:marRight w:val="0"/>
      <w:marTop w:val="0"/>
      <w:marBottom w:val="0"/>
      <w:divBdr>
        <w:top w:val="none" w:sz="0" w:space="0" w:color="auto"/>
        <w:left w:val="none" w:sz="0" w:space="0" w:color="auto"/>
        <w:bottom w:val="none" w:sz="0" w:space="0" w:color="auto"/>
        <w:right w:val="none" w:sz="0" w:space="0" w:color="auto"/>
      </w:divBdr>
    </w:div>
    <w:div w:id="261423314">
      <w:bodyDiv w:val="1"/>
      <w:marLeft w:val="0"/>
      <w:marRight w:val="0"/>
      <w:marTop w:val="0"/>
      <w:marBottom w:val="0"/>
      <w:divBdr>
        <w:top w:val="none" w:sz="0" w:space="0" w:color="auto"/>
        <w:left w:val="none" w:sz="0" w:space="0" w:color="auto"/>
        <w:bottom w:val="none" w:sz="0" w:space="0" w:color="auto"/>
        <w:right w:val="none" w:sz="0" w:space="0" w:color="auto"/>
      </w:divBdr>
    </w:div>
    <w:div w:id="279725973">
      <w:bodyDiv w:val="1"/>
      <w:marLeft w:val="0"/>
      <w:marRight w:val="0"/>
      <w:marTop w:val="0"/>
      <w:marBottom w:val="0"/>
      <w:divBdr>
        <w:top w:val="none" w:sz="0" w:space="0" w:color="auto"/>
        <w:left w:val="none" w:sz="0" w:space="0" w:color="auto"/>
        <w:bottom w:val="none" w:sz="0" w:space="0" w:color="auto"/>
        <w:right w:val="none" w:sz="0" w:space="0" w:color="auto"/>
      </w:divBdr>
    </w:div>
    <w:div w:id="306011665">
      <w:bodyDiv w:val="1"/>
      <w:marLeft w:val="0"/>
      <w:marRight w:val="0"/>
      <w:marTop w:val="0"/>
      <w:marBottom w:val="0"/>
      <w:divBdr>
        <w:top w:val="none" w:sz="0" w:space="0" w:color="auto"/>
        <w:left w:val="none" w:sz="0" w:space="0" w:color="auto"/>
        <w:bottom w:val="none" w:sz="0" w:space="0" w:color="auto"/>
        <w:right w:val="none" w:sz="0" w:space="0" w:color="auto"/>
      </w:divBdr>
    </w:div>
    <w:div w:id="326829550">
      <w:bodyDiv w:val="1"/>
      <w:marLeft w:val="0"/>
      <w:marRight w:val="0"/>
      <w:marTop w:val="0"/>
      <w:marBottom w:val="0"/>
      <w:divBdr>
        <w:top w:val="none" w:sz="0" w:space="0" w:color="auto"/>
        <w:left w:val="none" w:sz="0" w:space="0" w:color="auto"/>
        <w:bottom w:val="none" w:sz="0" w:space="0" w:color="auto"/>
        <w:right w:val="none" w:sz="0" w:space="0" w:color="auto"/>
      </w:divBdr>
    </w:div>
    <w:div w:id="331883946">
      <w:bodyDiv w:val="1"/>
      <w:marLeft w:val="0"/>
      <w:marRight w:val="0"/>
      <w:marTop w:val="0"/>
      <w:marBottom w:val="0"/>
      <w:divBdr>
        <w:top w:val="none" w:sz="0" w:space="0" w:color="auto"/>
        <w:left w:val="none" w:sz="0" w:space="0" w:color="auto"/>
        <w:bottom w:val="none" w:sz="0" w:space="0" w:color="auto"/>
        <w:right w:val="none" w:sz="0" w:space="0" w:color="auto"/>
      </w:divBdr>
    </w:div>
    <w:div w:id="335304648">
      <w:bodyDiv w:val="1"/>
      <w:marLeft w:val="0"/>
      <w:marRight w:val="0"/>
      <w:marTop w:val="0"/>
      <w:marBottom w:val="0"/>
      <w:divBdr>
        <w:top w:val="none" w:sz="0" w:space="0" w:color="auto"/>
        <w:left w:val="none" w:sz="0" w:space="0" w:color="auto"/>
        <w:bottom w:val="none" w:sz="0" w:space="0" w:color="auto"/>
        <w:right w:val="none" w:sz="0" w:space="0" w:color="auto"/>
      </w:divBdr>
    </w:div>
    <w:div w:id="367414990">
      <w:bodyDiv w:val="1"/>
      <w:marLeft w:val="0"/>
      <w:marRight w:val="0"/>
      <w:marTop w:val="0"/>
      <w:marBottom w:val="0"/>
      <w:divBdr>
        <w:top w:val="none" w:sz="0" w:space="0" w:color="auto"/>
        <w:left w:val="none" w:sz="0" w:space="0" w:color="auto"/>
        <w:bottom w:val="none" w:sz="0" w:space="0" w:color="auto"/>
        <w:right w:val="none" w:sz="0" w:space="0" w:color="auto"/>
      </w:divBdr>
    </w:div>
    <w:div w:id="419107954">
      <w:bodyDiv w:val="1"/>
      <w:marLeft w:val="0"/>
      <w:marRight w:val="0"/>
      <w:marTop w:val="0"/>
      <w:marBottom w:val="0"/>
      <w:divBdr>
        <w:top w:val="none" w:sz="0" w:space="0" w:color="auto"/>
        <w:left w:val="none" w:sz="0" w:space="0" w:color="auto"/>
        <w:bottom w:val="none" w:sz="0" w:space="0" w:color="auto"/>
        <w:right w:val="none" w:sz="0" w:space="0" w:color="auto"/>
      </w:divBdr>
    </w:div>
    <w:div w:id="468477926">
      <w:bodyDiv w:val="1"/>
      <w:marLeft w:val="0"/>
      <w:marRight w:val="0"/>
      <w:marTop w:val="0"/>
      <w:marBottom w:val="0"/>
      <w:divBdr>
        <w:top w:val="none" w:sz="0" w:space="0" w:color="auto"/>
        <w:left w:val="none" w:sz="0" w:space="0" w:color="auto"/>
        <w:bottom w:val="none" w:sz="0" w:space="0" w:color="auto"/>
        <w:right w:val="none" w:sz="0" w:space="0" w:color="auto"/>
      </w:divBdr>
    </w:div>
    <w:div w:id="492910883">
      <w:bodyDiv w:val="1"/>
      <w:marLeft w:val="0"/>
      <w:marRight w:val="0"/>
      <w:marTop w:val="0"/>
      <w:marBottom w:val="0"/>
      <w:divBdr>
        <w:top w:val="none" w:sz="0" w:space="0" w:color="auto"/>
        <w:left w:val="none" w:sz="0" w:space="0" w:color="auto"/>
        <w:bottom w:val="none" w:sz="0" w:space="0" w:color="auto"/>
        <w:right w:val="none" w:sz="0" w:space="0" w:color="auto"/>
      </w:divBdr>
    </w:div>
    <w:div w:id="533277587">
      <w:bodyDiv w:val="1"/>
      <w:marLeft w:val="0"/>
      <w:marRight w:val="0"/>
      <w:marTop w:val="0"/>
      <w:marBottom w:val="0"/>
      <w:divBdr>
        <w:top w:val="none" w:sz="0" w:space="0" w:color="auto"/>
        <w:left w:val="none" w:sz="0" w:space="0" w:color="auto"/>
        <w:bottom w:val="none" w:sz="0" w:space="0" w:color="auto"/>
        <w:right w:val="none" w:sz="0" w:space="0" w:color="auto"/>
      </w:divBdr>
    </w:div>
    <w:div w:id="539514384">
      <w:bodyDiv w:val="1"/>
      <w:marLeft w:val="0"/>
      <w:marRight w:val="0"/>
      <w:marTop w:val="0"/>
      <w:marBottom w:val="0"/>
      <w:divBdr>
        <w:top w:val="none" w:sz="0" w:space="0" w:color="auto"/>
        <w:left w:val="none" w:sz="0" w:space="0" w:color="auto"/>
        <w:bottom w:val="none" w:sz="0" w:space="0" w:color="auto"/>
        <w:right w:val="none" w:sz="0" w:space="0" w:color="auto"/>
      </w:divBdr>
    </w:div>
    <w:div w:id="545607192">
      <w:bodyDiv w:val="1"/>
      <w:marLeft w:val="0"/>
      <w:marRight w:val="0"/>
      <w:marTop w:val="0"/>
      <w:marBottom w:val="0"/>
      <w:divBdr>
        <w:top w:val="none" w:sz="0" w:space="0" w:color="auto"/>
        <w:left w:val="none" w:sz="0" w:space="0" w:color="auto"/>
        <w:bottom w:val="none" w:sz="0" w:space="0" w:color="auto"/>
        <w:right w:val="none" w:sz="0" w:space="0" w:color="auto"/>
      </w:divBdr>
    </w:div>
    <w:div w:id="553156269">
      <w:bodyDiv w:val="1"/>
      <w:marLeft w:val="0"/>
      <w:marRight w:val="0"/>
      <w:marTop w:val="0"/>
      <w:marBottom w:val="0"/>
      <w:divBdr>
        <w:top w:val="none" w:sz="0" w:space="0" w:color="auto"/>
        <w:left w:val="none" w:sz="0" w:space="0" w:color="auto"/>
        <w:bottom w:val="none" w:sz="0" w:space="0" w:color="auto"/>
        <w:right w:val="none" w:sz="0" w:space="0" w:color="auto"/>
      </w:divBdr>
    </w:div>
    <w:div w:id="565575748">
      <w:bodyDiv w:val="1"/>
      <w:marLeft w:val="0"/>
      <w:marRight w:val="0"/>
      <w:marTop w:val="0"/>
      <w:marBottom w:val="0"/>
      <w:divBdr>
        <w:top w:val="none" w:sz="0" w:space="0" w:color="auto"/>
        <w:left w:val="none" w:sz="0" w:space="0" w:color="auto"/>
        <w:bottom w:val="none" w:sz="0" w:space="0" w:color="auto"/>
        <w:right w:val="none" w:sz="0" w:space="0" w:color="auto"/>
      </w:divBdr>
    </w:div>
    <w:div w:id="598829653">
      <w:bodyDiv w:val="1"/>
      <w:marLeft w:val="0"/>
      <w:marRight w:val="0"/>
      <w:marTop w:val="0"/>
      <w:marBottom w:val="0"/>
      <w:divBdr>
        <w:top w:val="none" w:sz="0" w:space="0" w:color="auto"/>
        <w:left w:val="none" w:sz="0" w:space="0" w:color="auto"/>
        <w:bottom w:val="none" w:sz="0" w:space="0" w:color="auto"/>
        <w:right w:val="none" w:sz="0" w:space="0" w:color="auto"/>
      </w:divBdr>
    </w:div>
    <w:div w:id="626470089">
      <w:bodyDiv w:val="1"/>
      <w:marLeft w:val="0"/>
      <w:marRight w:val="0"/>
      <w:marTop w:val="0"/>
      <w:marBottom w:val="0"/>
      <w:divBdr>
        <w:top w:val="none" w:sz="0" w:space="0" w:color="auto"/>
        <w:left w:val="none" w:sz="0" w:space="0" w:color="auto"/>
        <w:bottom w:val="none" w:sz="0" w:space="0" w:color="auto"/>
        <w:right w:val="none" w:sz="0" w:space="0" w:color="auto"/>
      </w:divBdr>
    </w:div>
    <w:div w:id="667559806">
      <w:bodyDiv w:val="1"/>
      <w:marLeft w:val="0"/>
      <w:marRight w:val="0"/>
      <w:marTop w:val="0"/>
      <w:marBottom w:val="0"/>
      <w:divBdr>
        <w:top w:val="none" w:sz="0" w:space="0" w:color="auto"/>
        <w:left w:val="none" w:sz="0" w:space="0" w:color="auto"/>
        <w:bottom w:val="none" w:sz="0" w:space="0" w:color="auto"/>
        <w:right w:val="none" w:sz="0" w:space="0" w:color="auto"/>
      </w:divBdr>
    </w:div>
    <w:div w:id="678966698">
      <w:bodyDiv w:val="1"/>
      <w:marLeft w:val="0"/>
      <w:marRight w:val="0"/>
      <w:marTop w:val="0"/>
      <w:marBottom w:val="0"/>
      <w:divBdr>
        <w:top w:val="none" w:sz="0" w:space="0" w:color="auto"/>
        <w:left w:val="none" w:sz="0" w:space="0" w:color="auto"/>
        <w:bottom w:val="none" w:sz="0" w:space="0" w:color="auto"/>
        <w:right w:val="none" w:sz="0" w:space="0" w:color="auto"/>
      </w:divBdr>
    </w:div>
    <w:div w:id="687685074">
      <w:bodyDiv w:val="1"/>
      <w:marLeft w:val="0"/>
      <w:marRight w:val="0"/>
      <w:marTop w:val="0"/>
      <w:marBottom w:val="0"/>
      <w:divBdr>
        <w:top w:val="none" w:sz="0" w:space="0" w:color="auto"/>
        <w:left w:val="none" w:sz="0" w:space="0" w:color="auto"/>
        <w:bottom w:val="none" w:sz="0" w:space="0" w:color="auto"/>
        <w:right w:val="none" w:sz="0" w:space="0" w:color="auto"/>
      </w:divBdr>
    </w:div>
    <w:div w:id="745421491">
      <w:bodyDiv w:val="1"/>
      <w:marLeft w:val="0"/>
      <w:marRight w:val="0"/>
      <w:marTop w:val="0"/>
      <w:marBottom w:val="0"/>
      <w:divBdr>
        <w:top w:val="none" w:sz="0" w:space="0" w:color="auto"/>
        <w:left w:val="none" w:sz="0" w:space="0" w:color="auto"/>
        <w:bottom w:val="none" w:sz="0" w:space="0" w:color="auto"/>
        <w:right w:val="none" w:sz="0" w:space="0" w:color="auto"/>
      </w:divBdr>
    </w:div>
    <w:div w:id="749548782">
      <w:bodyDiv w:val="1"/>
      <w:marLeft w:val="0"/>
      <w:marRight w:val="0"/>
      <w:marTop w:val="0"/>
      <w:marBottom w:val="0"/>
      <w:divBdr>
        <w:top w:val="none" w:sz="0" w:space="0" w:color="auto"/>
        <w:left w:val="none" w:sz="0" w:space="0" w:color="auto"/>
        <w:bottom w:val="none" w:sz="0" w:space="0" w:color="auto"/>
        <w:right w:val="none" w:sz="0" w:space="0" w:color="auto"/>
      </w:divBdr>
    </w:div>
    <w:div w:id="773670070">
      <w:bodyDiv w:val="1"/>
      <w:marLeft w:val="0"/>
      <w:marRight w:val="0"/>
      <w:marTop w:val="0"/>
      <w:marBottom w:val="0"/>
      <w:divBdr>
        <w:top w:val="none" w:sz="0" w:space="0" w:color="auto"/>
        <w:left w:val="none" w:sz="0" w:space="0" w:color="auto"/>
        <w:bottom w:val="none" w:sz="0" w:space="0" w:color="auto"/>
        <w:right w:val="none" w:sz="0" w:space="0" w:color="auto"/>
      </w:divBdr>
    </w:div>
    <w:div w:id="785393449">
      <w:bodyDiv w:val="1"/>
      <w:marLeft w:val="0"/>
      <w:marRight w:val="0"/>
      <w:marTop w:val="0"/>
      <w:marBottom w:val="0"/>
      <w:divBdr>
        <w:top w:val="none" w:sz="0" w:space="0" w:color="auto"/>
        <w:left w:val="none" w:sz="0" w:space="0" w:color="auto"/>
        <w:bottom w:val="none" w:sz="0" w:space="0" w:color="auto"/>
        <w:right w:val="none" w:sz="0" w:space="0" w:color="auto"/>
      </w:divBdr>
    </w:div>
    <w:div w:id="786855470">
      <w:bodyDiv w:val="1"/>
      <w:marLeft w:val="0"/>
      <w:marRight w:val="0"/>
      <w:marTop w:val="0"/>
      <w:marBottom w:val="0"/>
      <w:divBdr>
        <w:top w:val="none" w:sz="0" w:space="0" w:color="auto"/>
        <w:left w:val="none" w:sz="0" w:space="0" w:color="auto"/>
        <w:bottom w:val="none" w:sz="0" w:space="0" w:color="auto"/>
        <w:right w:val="none" w:sz="0" w:space="0" w:color="auto"/>
      </w:divBdr>
    </w:div>
    <w:div w:id="791368217">
      <w:bodyDiv w:val="1"/>
      <w:marLeft w:val="0"/>
      <w:marRight w:val="0"/>
      <w:marTop w:val="0"/>
      <w:marBottom w:val="0"/>
      <w:divBdr>
        <w:top w:val="none" w:sz="0" w:space="0" w:color="auto"/>
        <w:left w:val="none" w:sz="0" w:space="0" w:color="auto"/>
        <w:bottom w:val="none" w:sz="0" w:space="0" w:color="auto"/>
        <w:right w:val="none" w:sz="0" w:space="0" w:color="auto"/>
      </w:divBdr>
    </w:div>
    <w:div w:id="801768039">
      <w:bodyDiv w:val="1"/>
      <w:marLeft w:val="0"/>
      <w:marRight w:val="0"/>
      <w:marTop w:val="0"/>
      <w:marBottom w:val="0"/>
      <w:divBdr>
        <w:top w:val="none" w:sz="0" w:space="0" w:color="auto"/>
        <w:left w:val="none" w:sz="0" w:space="0" w:color="auto"/>
        <w:bottom w:val="none" w:sz="0" w:space="0" w:color="auto"/>
        <w:right w:val="none" w:sz="0" w:space="0" w:color="auto"/>
      </w:divBdr>
    </w:div>
    <w:div w:id="829831969">
      <w:bodyDiv w:val="1"/>
      <w:marLeft w:val="0"/>
      <w:marRight w:val="0"/>
      <w:marTop w:val="0"/>
      <w:marBottom w:val="0"/>
      <w:divBdr>
        <w:top w:val="none" w:sz="0" w:space="0" w:color="auto"/>
        <w:left w:val="none" w:sz="0" w:space="0" w:color="auto"/>
        <w:bottom w:val="none" w:sz="0" w:space="0" w:color="auto"/>
        <w:right w:val="none" w:sz="0" w:space="0" w:color="auto"/>
      </w:divBdr>
    </w:div>
    <w:div w:id="831139684">
      <w:bodyDiv w:val="1"/>
      <w:marLeft w:val="0"/>
      <w:marRight w:val="0"/>
      <w:marTop w:val="0"/>
      <w:marBottom w:val="0"/>
      <w:divBdr>
        <w:top w:val="none" w:sz="0" w:space="0" w:color="auto"/>
        <w:left w:val="none" w:sz="0" w:space="0" w:color="auto"/>
        <w:bottom w:val="none" w:sz="0" w:space="0" w:color="auto"/>
        <w:right w:val="none" w:sz="0" w:space="0" w:color="auto"/>
      </w:divBdr>
    </w:div>
    <w:div w:id="837382673">
      <w:bodyDiv w:val="1"/>
      <w:marLeft w:val="0"/>
      <w:marRight w:val="0"/>
      <w:marTop w:val="0"/>
      <w:marBottom w:val="0"/>
      <w:divBdr>
        <w:top w:val="none" w:sz="0" w:space="0" w:color="auto"/>
        <w:left w:val="none" w:sz="0" w:space="0" w:color="auto"/>
        <w:bottom w:val="none" w:sz="0" w:space="0" w:color="auto"/>
        <w:right w:val="none" w:sz="0" w:space="0" w:color="auto"/>
      </w:divBdr>
    </w:div>
    <w:div w:id="845365041">
      <w:bodyDiv w:val="1"/>
      <w:marLeft w:val="0"/>
      <w:marRight w:val="0"/>
      <w:marTop w:val="0"/>
      <w:marBottom w:val="0"/>
      <w:divBdr>
        <w:top w:val="none" w:sz="0" w:space="0" w:color="auto"/>
        <w:left w:val="none" w:sz="0" w:space="0" w:color="auto"/>
        <w:bottom w:val="none" w:sz="0" w:space="0" w:color="auto"/>
        <w:right w:val="none" w:sz="0" w:space="0" w:color="auto"/>
      </w:divBdr>
    </w:div>
    <w:div w:id="853878250">
      <w:bodyDiv w:val="1"/>
      <w:marLeft w:val="0"/>
      <w:marRight w:val="0"/>
      <w:marTop w:val="0"/>
      <w:marBottom w:val="0"/>
      <w:divBdr>
        <w:top w:val="none" w:sz="0" w:space="0" w:color="auto"/>
        <w:left w:val="none" w:sz="0" w:space="0" w:color="auto"/>
        <w:bottom w:val="none" w:sz="0" w:space="0" w:color="auto"/>
        <w:right w:val="none" w:sz="0" w:space="0" w:color="auto"/>
      </w:divBdr>
    </w:div>
    <w:div w:id="863204815">
      <w:bodyDiv w:val="1"/>
      <w:marLeft w:val="0"/>
      <w:marRight w:val="0"/>
      <w:marTop w:val="0"/>
      <w:marBottom w:val="0"/>
      <w:divBdr>
        <w:top w:val="none" w:sz="0" w:space="0" w:color="auto"/>
        <w:left w:val="none" w:sz="0" w:space="0" w:color="auto"/>
        <w:bottom w:val="none" w:sz="0" w:space="0" w:color="auto"/>
        <w:right w:val="none" w:sz="0" w:space="0" w:color="auto"/>
      </w:divBdr>
    </w:div>
    <w:div w:id="878470218">
      <w:bodyDiv w:val="1"/>
      <w:marLeft w:val="0"/>
      <w:marRight w:val="0"/>
      <w:marTop w:val="0"/>
      <w:marBottom w:val="0"/>
      <w:divBdr>
        <w:top w:val="none" w:sz="0" w:space="0" w:color="auto"/>
        <w:left w:val="none" w:sz="0" w:space="0" w:color="auto"/>
        <w:bottom w:val="none" w:sz="0" w:space="0" w:color="auto"/>
        <w:right w:val="none" w:sz="0" w:space="0" w:color="auto"/>
      </w:divBdr>
    </w:div>
    <w:div w:id="884373755">
      <w:bodyDiv w:val="1"/>
      <w:marLeft w:val="0"/>
      <w:marRight w:val="0"/>
      <w:marTop w:val="0"/>
      <w:marBottom w:val="0"/>
      <w:divBdr>
        <w:top w:val="none" w:sz="0" w:space="0" w:color="auto"/>
        <w:left w:val="none" w:sz="0" w:space="0" w:color="auto"/>
        <w:bottom w:val="none" w:sz="0" w:space="0" w:color="auto"/>
        <w:right w:val="none" w:sz="0" w:space="0" w:color="auto"/>
      </w:divBdr>
    </w:div>
    <w:div w:id="885875226">
      <w:bodyDiv w:val="1"/>
      <w:marLeft w:val="0"/>
      <w:marRight w:val="0"/>
      <w:marTop w:val="0"/>
      <w:marBottom w:val="0"/>
      <w:divBdr>
        <w:top w:val="none" w:sz="0" w:space="0" w:color="auto"/>
        <w:left w:val="none" w:sz="0" w:space="0" w:color="auto"/>
        <w:bottom w:val="none" w:sz="0" w:space="0" w:color="auto"/>
        <w:right w:val="none" w:sz="0" w:space="0" w:color="auto"/>
      </w:divBdr>
    </w:div>
    <w:div w:id="906770772">
      <w:bodyDiv w:val="1"/>
      <w:marLeft w:val="0"/>
      <w:marRight w:val="0"/>
      <w:marTop w:val="0"/>
      <w:marBottom w:val="0"/>
      <w:divBdr>
        <w:top w:val="none" w:sz="0" w:space="0" w:color="auto"/>
        <w:left w:val="none" w:sz="0" w:space="0" w:color="auto"/>
        <w:bottom w:val="none" w:sz="0" w:space="0" w:color="auto"/>
        <w:right w:val="none" w:sz="0" w:space="0" w:color="auto"/>
      </w:divBdr>
    </w:div>
    <w:div w:id="914321436">
      <w:bodyDiv w:val="1"/>
      <w:marLeft w:val="0"/>
      <w:marRight w:val="0"/>
      <w:marTop w:val="0"/>
      <w:marBottom w:val="0"/>
      <w:divBdr>
        <w:top w:val="none" w:sz="0" w:space="0" w:color="auto"/>
        <w:left w:val="none" w:sz="0" w:space="0" w:color="auto"/>
        <w:bottom w:val="none" w:sz="0" w:space="0" w:color="auto"/>
        <w:right w:val="none" w:sz="0" w:space="0" w:color="auto"/>
      </w:divBdr>
    </w:div>
    <w:div w:id="946621636">
      <w:bodyDiv w:val="1"/>
      <w:marLeft w:val="0"/>
      <w:marRight w:val="0"/>
      <w:marTop w:val="0"/>
      <w:marBottom w:val="0"/>
      <w:divBdr>
        <w:top w:val="none" w:sz="0" w:space="0" w:color="auto"/>
        <w:left w:val="none" w:sz="0" w:space="0" w:color="auto"/>
        <w:bottom w:val="none" w:sz="0" w:space="0" w:color="auto"/>
        <w:right w:val="none" w:sz="0" w:space="0" w:color="auto"/>
      </w:divBdr>
    </w:div>
    <w:div w:id="991910301">
      <w:bodyDiv w:val="1"/>
      <w:marLeft w:val="0"/>
      <w:marRight w:val="0"/>
      <w:marTop w:val="0"/>
      <w:marBottom w:val="0"/>
      <w:divBdr>
        <w:top w:val="none" w:sz="0" w:space="0" w:color="auto"/>
        <w:left w:val="none" w:sz="0" w:space="0" w:color="auto"/>
        <w:bottom w:val="none" w:sz="0" w:space="0" w:color="auto"/>
        <w:right w:val="none" w:sz="0" w:space="0" w:color="auto"/>
      </w:divBdr>
    </w:div>
    <w:div w:id="1036000763">
      <w:bodyDiv w:val="1"/>
      <w:marLeft w:val="0"/>
      <w:marRight w:val="0"/>
      <w:marTop w:val="0"/>
      <w:marBottom w:val="0"/>
      <w:divBdr>
        <w:top w:val="none" w:sz="0" w:space="0" w:color="auto"/>
        <w:left w:val="none" w:sz="0" w:space="0" w:color="auto"/>
        <w:bottom w:val="none" w:sz="0" w:space="0" w:color="auto"/>
        <w:right w:val="none" w:sz="0" w:space="0" w:color="auto"/>
      </w:divBdr>
    </w:div>
    <w:div w:id="1061754481">
      <w:bodyDiv w:val="1"/>
      <w:marLeft w:val="0"/>
      <w:marRight w:val="0"/>
      <w:marTop w:val="0"/>
      <w:marBottom w:val="0"/>
      <w:divBdr>
        <w:top w:val="none" w:sz="0" w:space="0" w:color="auto"/>
        <w:left w:val="none" w:sz="0" w:space="0" w:color="auto"/>
        <w:bottom w:val="none" w:sz="0" w:space="0" w:color="auto"/>
        <w:right w:val="none" w:sz="0" w:space="0" w:color="auto"/>
      </w:divBdr>
    </w:div>
    <w:div w:id="1089960148">
      <w:bodyDiv w:val="1"/>
      <w:marLeft w:val="0"/>
      <w:marRight w:val="0"/>
      <w:marTop w:val="0"/>
      <w:marBottom w:val="0"/>
      <w:divBdr>
        <w:top w:val="none" w:sz="0" w:space="0" w:color="auto"/>
        <w:left w:val="none" w:sz="0" w:space="0" w:color="auto"/>
        <w:bottom w:val="none" w:sz="0" w:space="0" w:color="auto"/>
        <w:right w:val="none" w:sz="0" w:space="0" w:color="auto"/>
      </w:divBdr>
    </w:div>
    <w:div w:id="1118644577">
      <w:bodyDiv w:val="1"/>
      <w:marLeft w:val="0"/>
      <w:marRight w:val="0"/>
      <w:marTop w:val="0"/>
      <w:marBottom w:val="0"/>
      <w:divBdr>
        <w:top w:val="none" w:sz="0" w:space="0" w:color="auto"/>
        <w:left w:val="none" w:sz="0" w:space="0" w:color="auto"/>
        <w:bottom w:val="none" w:sz="0" w:space="0" w:color="auto"/>
        <w:right w:val="none" w:sz="0" w:space="0" w:color="auto"/>
      </w:divBdr>
    </w:div>
    <w:div w:id="1124227672">
      <w:bodyDiv w:val="1"/>
      <w:marLeft w:val="0"/>
      <w:marRight w:val="0"/>
      <w:marTop w:val="0"/>
      <w:marBottom w:val="0"/>
      <w:divBdr>
        <w:top w:val="none" w:sz="0" w:space="0" w:color="auto"/>
        <w:left w:val="none" w:sz="0" w:space="0" w:color="auto"/>
        <w:bottom w:val="none" w:sz="0" w:space="0" w:color="auto"/>
        <w:right w:val="none" w:sz="0" w:space="0" w:color="auto"/>
      </w:divBdr>
    </w:div>
    <w:div w:id="1131827458">
      <w:bodyDiv w:val="1"/>
      <w:marLeft w:val="0"/>
      <w:marRight w:val="0"/>
      <w:marTop w:val="0"/>
      <w:marBottom w:val="0"/>
      <w:divBdr>
        <w:top w:val="none" w:sz="0" w:space="0" w:color="auto"/>
        <w:left w:val="none" w:sz="0" w:space="0" w:color="auto"/>
        <w:bottom w:val="none" w:sz="0" w:space="0" w:color="auto"/>
        <w:right w:val="none" w:sz="0" w:space="0" w:color="auto"/>
      </w:divBdr>
    </w:div>
    <w:div w:id="1148128316">
      <w:bodyDiv w:val="1"/>
      <w:marLeft w:val="0"/>
      <w:marRight w:val="0"/>
      <w:marTop w:val="0"/>
      <w:marBottom w:val="0"/>
      <w:divBdr>
        <w:top w:val="none" w:sz="0" w:space="0" w:color="auto"/>
        <w:left w:val="none" w:sz="0" w:space="0" w:color="auto"/>
        <w:bottom w:val="none" w:sz="0" w:space="0" w:color="auto"/>
        <w:right w:val="none" w:sz="0" w:space="0" w:color="auto"/>
      </w:divBdr>
    </w:div>
    <w:div w:id="1193111186">
      <w:bodyDiv w:val="1"/>
      <w:marLeft w:val="0"/>
      <w:marRight w:val="0"/>
      <w:marTop w:val="0"/>
      <w:marBottom w:val="0"/>
      <w:divBdr>
        <w:top w:val="none" w:sz="0" w:space="0" w:color="auto"/>
        <w:left w:val="none" w:sz="0" w:space="0" w:color="auto"/>
        <w:bottom w:val="none" w:sz="0" w:space="0" w:color="auto"/>
        <w:right w:val="none" w:sz="0" w:space="0" w:color="auto"/>
      </w:divBdr>
    </w:div>
    <w:div w:id="1205406280">
      <w:bodyDiv w:val="1"/>
      <w:marLeft w:val="0"/>
      <w:marRight w:val="0"/>
      <w:marTop w:val="0"/>
      <w:marBottom w:val="0"/>
      <w:divBdr>
        <w:top w:val="none" w:sz="0" w:space="0" w:color="auto"/>
        <w:left w:val="none" w:sz="0" w:space="0" w:color="auto"/>
        <w:bottom w:val="none" w:sz="0" w:space="0" w:color="auto"/>
        <w:right w:val="none" w:sz="0" w:space="0" w:color="auto"/>
      </w:divBdr>
    </w:div>
    <w:div w:id="1228300974">
      <w:bodyDiv w:val="1"/>
      <w:marLeft w:val="0"/>
      <w:marRight w:val="0"/>
      <w:marTop w:val="0"/>
      <w:marBottom w:val="0"/>
      <w:divBdr>
        <w:top w:val="none" w:sz="0" w:space="0" w:color="auto"/>
        <w:left w:val="none" w:sz="0" w:space="0" w:color="auto"/>
        <w:bottom w:val="none" w:sz="0" w:space="0" w:color="auto"/>
        <w:right w:val="none" w:sz="0" w:space="0" w:color="auto"/>
      </w:divBdr>
    </w:div>
    <w:div w:id="1234780584">
      <w:bodyDiv w:val="1"/>
      <w:marLeft w:val="0"/>
      <w:marRight w:val="0"/>
      <w:marTop w:val="0"/>
      <w:marBottom w:val="0"/>
      <w:divBdr>
        <w:top w:val="none" w:sz="0" w:space="0" w:color="auto"/>
        <w:left w:val="none" w:sz="0" w:space="0" w:color="auto"/>
        <w:bottom w:val="none" w:sz="0" w:space="0" w:color="auto"/>
        <w:right w:val="none" w:sz="0" w:space="0" w:color="auto"/>
      </w:divBdr>
    </w:div>
    <w:div w:id="1242957008">
      <w:bodyDiv w:val="1"/>
      <w:marLeft w:val="0"/>
      <w:marRight w:val="0"/>
      <w:marTop w:val="0"/>
      <w:marBottom w:val="0"/>
      <w:divBdr>
        <w:top w:val="none" w:sz="0" w:space="0" w:color="auto"/>
        <w:left w:val="none" w:sz="0" w:space="0" w:color="auto"/>
        <w:bottom w:val="none" w:sz="0" w:space="0" w:color="auto"/>
        <w:right w:val="none" w:sz="0" w:space="0" w:color="auto"/>
      </w:divBdr>
    </w:div>
    <w:div w:id="1248345797">
      <w:bodyDiv w:val="1"/>
      <w:marLeft w:val="0"/>
      <w:marRight w:val="0"/>
      <w:marTop w:val="0"/>
      <w:marBottom w:val="0"/>
      <w:divBdr>
        <w:top w:val="none" w:sz="0" w:space="0" w:color="auto"/>
        <w:left w:val="none" w:sz="0" w:space="0" w:color="auto"/>
        <w:bottom w:val="none" w:sz="0" w:space="0" w:color="auto"/>
        <w:right w:val="none" w:sz="0" w:space="0" w:color="auto"/>
      </w:divBdr>
    </w:div>
    <w:div w:id="1260061277">
      <w:bodyDiv w:val="1"/>
      <w:marLeft w:val="0"/>
      <w:marRight w:val="0"/>
      <w:marTop w:val="0"/>
      <w:marBottom w:val="0"/>
      <w:divBdr>
        <w:top w:val="none" w:sz="0" w:space="0" w:color="auto"/>
        <w:left w:val="none" w:sz="0" w:space="0" w:color="auto"/>
        <w:bottom w:val="none" w:sz="0" w:space="0" w:color="auto"/>
        <w:right w:val="none" w:sz="0" w:space="0" w:color="auto"/>
      </w:divBdr>
    </w:div>
    <w:div w:id="1261640118">
      <w:bodyDiv w:val="1"/>
      <w:marLeft w:val="0"/>
      <w:marRight w:val="0"/>
      <w:marTop w:val="0"/>
      <w:marBottom w:val="0"/>
      <w:divBdr>
        <w:top w:val="none" w:sz="0" w:space="0" w:color="auto"/>
        <w:left w:val="none" w:sz="0" w:space="0" w:color="auto"/>
        <w:bottom w:val="none" w:sz="0" w:space="0" w:color="auto"/>
        <w:right w:val="none" w:sz="0" w:space="0" w:color="auto"/>
      </w:divBdr>
    </w:div>
    <w:div w:id="1272281200">
      <w:bodyDiv w:val="1"/>
      <w:marLeft w:val="0"/>
      <w:marRight w:val="0"/>
      <w:marTop w:val="0"/>
      <w:marBottom w:val="0"/>
      <w:divBdr>
        <w:top w:val="none" w:sz="0" w:space="0" w:color="auto"/>
        <w:left w:val="none" w:sz="0" w:space="0" w:color="auto"/>
        <w:bottom w:val="none" w:sz="0" w:space="0" w:color="auto"/>
        <w:right w:val="none" w:sz="0" w:space="0" w:color="auto"/>
      </w:divBdr>
    </w:div>
    <w:div w:id="1297645169">
      <w:bodyDiv w:val="1"/>
      <w:marLeft w:val="0"/>
      <w:marRight w:val="0"/>
      <w:marTop w:val="0"/>
      <w:marBottom w:val="0"/>
      <w:divBdr>
        <w:top w:val="none" w:sz="0" w:space="0" w:color="auto"/>
        <w:left w:val="none" w:sz="0" w:space="0" w:color="auto"/>
        <w:bottom w:val="none" w:sz="0" w:space="0" w:color="auto"/>
        <w:right w:val="none" w:sz="0" w:space="0" w:color="auto"/>
      </w:divBdr>
    </w:div>
    <w:div w:id="1315259126">
      <w:bodyDiv w:val="1"/>
      <w:marLeft w:val="0"/>
      <w:marRight w:val="0"/>
      <w:marTop w:val="0"/>
      <w:marBottom w:val="0"/>
      <w:divBdr>
        <w:top w:val="none" w:sz="0" w:space="0" w:color="auto"/>
        <w:left w:val="none" w:sz="0" w:space="0" w:color="auto"/>
        <w:bottom w:val="none" w:sz="0" w:space="0" w:color="auto"/>
        <w:right w:val="none" w:sz="0" w:space="0" w:color="auto"/>
      </w:divBdr>
    </w:div>
    <w:div w:id="1444885748">
      <w:bodyDiv w:val="1"/>
      <w:marLeft w:val="0"/>
      <w:marRight w:val="0"/>
      <w:marTop w:val="0"/>
      <w:marBottom w:val="0"/>
      <w:divBdr>
        <w:top w:val="none" w:sz="0" w:space="0" w:color="auto"/>
        <w:left w:val="none" w:sz="0" w:space="0" w:color="auto"/>
        <w:bottom w:val="none" w:sz="0" w:space="0" w:color="auto"/>
        <w:right w:val="none" w:sz="0" w:space="0" w:color="auto"/>
      </w:divBdr>
    </w:div>
    <w:div w:id="1449085855">
      <w:bodyDiv w:val="1"/>
      <w:marLeft w:val="0"/>
      <w:marRight w:val="0"/>
      <w:marTop w:val="0"/>
      <w:marBottom w:val="0"/>
      <w:divBdr>
        <w:top w:val="none" w:sz="0" w:space="0" w:color="auto"/>
        <w:left w:val="none" w:sz="0" w:space="0" w:color="auto"/>
        <w:bottom w:val="none" w:sz="0" w:space="0" w:color="auto"/>
        <w:right w:val="none" w:sz="0" w:space="0" w:color="auto"/>
      </w:divBdr>
    </w:div>
    <w:div w:id="1457866702">
      <w:bodyDiv w:val="1"/>
      <w:marLeft w:val="0"/>
      <w:marRight w:val="0"/>
      <w:marTop w:val="0"/>
      <w:marBottom w:val="0"/>
      <w:divBdr>
        <w:top w:val="none" w:sz="0" w:space="0" w:color="auto"/>
        <w:left w:val="none" w:sz="0" w:space="0" w:color="auto"/>
        <w:bottom w:val="none" w:sz="0" w:space="0" w:color="auto"/>
        <w:right w:val="none" w:sz="0" w:space="0" w:color="auto"/>
      </w:divBdr>
    </w:div>
    <w:div w:id="1472019609">
      <w:bodyDiv w:val="1"/>
      <w:marLeft w:val="0"/>
      <w:marRight w:val="0"/>
      <w:marTop w:val="0"/>
      <w:marBottom w:val="0"/>
      <w:divBdr>
        <w:top w:val="none" w:sz="0" w:space="0" w:color="auto"/>
        <w:left w:val="none" w:sz="0" w:space="0" w:color="auto"/>
        <w:bottom w:val="none" w:sz="0" w:space="0" w:color="auto"/>
        <w:right w:val="none" w:sz="0" w:space="0" w:color="auto"/>
      </w:divBdr>
    </w:div>
    <w:div w:id="1489009807">
      <w:bodyDiv w:val="1"/>
      <w:marLeft w:val="0"/>
      <w:marRight w:val="0"/>
      <w:marTop w:val="0"/>
      <w:marBottom w:val="0"/>
      <w:divBdr>
        <w:top w:val="none" w:sz="0" w:space="0" w:color="auto"/>
        <w:left w:val="none" w:sz="0" w:space="0" w:color="auto"/>
        <w:bottom w:val="none" w:sz="0" w:space="0" w:color="auto"/>
        <w:right w:val="none" w:sz="0" w:space="0" w:color="auto"/>
      </w:divBdr>
    </w:div>
    <w:div w:id="1510868024">
      <w:bodyDiv w:val="1"/>
      <w:marLeft w:val="0"/>
      <w:marRight w:val="0"/>
      <w:marTop w:val="0"/>
      <w:marBottom w:val="0"/>
      <w:divBdr>
        <w:top w:val="none" w:sz="0" w:space="0" w:color="auto"/>
        <w:left w:val="none" w:sz="0" w:space="0" w:color="auto"/>
        <w:bottom w:val="none" w:sz="0" w:space="0" w:color="auto"/>
        <w:right w:val="none" w:sz="0" w:space="0" w:color="auto"/>
      </w:divBdr>
    </w:div>
    <w:div w:id="1534540955">
      <w:bodyDiv w:val="1"/>
      <w:marLeft w:val="0"/>
      <w:marRight w:val="0"/>
      <w:marTop w:val="0"/>
      <w:marBottom w:val="0"/>
      <w:divBdr>
        <w:top w:val="none" w:sz="0" w:space="0" w:color="auto"/>
        <w:left w:val="none" w:sz="0" w:space="0" w:color="auto"/>
        <w:bottom w:val="none" w:sz="0" w:space="0" w:color="auto"/>
        <w:right w:val="none" w:sz="0" w:space="0" w:color="auto"/>
      </w:divBdr>
    </w:div>
    <w:div w:id="1543050859">
      <w:bodyDiv w:val="1"/>
      <w:marLeft w:val="0"/>
      <w:marRight w:val="0"/>
      <w:marTop w:val="0"/>
      <w:marBottom w:val="0"/>
      <w:divBdr>
        <w:top w:val="none" w:sz="0" w:space="0" w:color="auto"/>
        <w:left w:val="none" w:sz="0" w:space="0" w:color="auto"/>
        <w:bottom w:val="none" w:sz="0" w:space="0" w:color="auto"/>
        <w:right w:val="none" w:sz="0" w:space="0" w:color="auto"/>
      </w:divBdr>
    </w:div>
    <w:div w:id="1610432684">
      <w:bodyDiv w:val="1"/>
      <w:marLeft w:val="0"/>
      <w:marRight w:val="0"/>
      <w:marTop w:val="0"/>
      <w:marBottom w:val="0"/>
      <w:divBdr>
        <w:top w:val="none" w:sz="0" w:space="0" w:color="auto"/>
        <w:left w:val="none" w:sz="0" w:space="0" w:color="auto"/>
        <w:bottom w:val="none" w:sz="0" w:space="0" w:color="auto"/>
        <w:right w:val="none" w:sz="0" w:space="0" w:color="auto"/>
      </w:divBdr>
    </w:div>
    <w:div w:id="1620797347">
      <w:bodyDiv w:val="1"/>
      <w:marLeft w:val="0"/>
      <w:marRight w:val="0"/>
      <w:marTop w:val="0"/>
      <w:marBottom w:val="0"/>
      <w:divBdr>
        <w:top w:val="none" w:sz="0" w:space="0" w:color="auto"/>
        <w:left w:val="none" w:sz="0" w:space="0" w:color="auto"/>
        <w:bottom w:val="none" w:sz="0" w:space="0" w:color="auto"/>
        <w:right w:val="none" w:sz="0" w:space="0" w:color="auto"/>
      </w:divBdr>
    </w:div>
    <w:div w:id="1635451275">
      <w:bodyDiv w:val="1"/>
      <w:marLeft w:val="0"/>
      <w:marRight w:val="0"/>
      <w:marTop w:val="0"/>
      <w:marBottom w:val="0"/>
      <w:divBdr>
        <w:top w:val="none" w:sz="0" w:space="0" w:color="auto"/>
        <w:left w:val="none" w:sz="0" w:space="0" w:color="auto"/>
        <w:bottom w:val="none" w:sz="0" w:space="0" w:color="auto"/>
        <w:right w:val="none" w:sz="0" w:space="0" w:color="auto"/>
      </w:divBdr>
    </w:div>
    <w:div w:id="1666787478">
      <w:bodyDiv w:val="1"/>
      <w:marLeft w:val="0"/>
      <w:marRight w:val="0"/>
      <w:marTop w:val="0"/>
      <w:marBottom w:val="0"/>
      <w:divBdr>
        <w:top w:val="none" w:sz="0" w:space="0" w:color="auto"/>
        <w:left w:val="none" w:sz="0" w:space="0" w:color="auto"/>
        <w:bottom w:val="none" w:sz="0" w:space="0" w:color="auto"/>
        <w:right w:val="none" w:sz="0" w:space="0" w:color="auto"/>
      </w:divBdr>
    </w:div>
    <w:div w:id="1672834578">
      <w:bodyDiv w:val="1"/>
      <w:marLeft w:val="0"/>
      <w:marRight w:val="0"/>
      <w:marTop w:val="0"/>
      <w:marBottom w:val="0"/>
      <w:divBdr>
        <w:top w:val="none" w:sz="0" w:space="0" w:color="auto"/>
        <w:left w:val="none" w:sz="0" w:space="0" w:color="auto"/>
        <w:bottom w:val="none" w:sz="0" w:space="0" w:color="auto"/>
        <w:right w:val="none" w:sz="0" w:space="0" w:color="auto"/>
      </w:divBdr>
    </w:div>
    <w:div w:id="1701319698">
      <w:bodyDiv w:val="1"/>
      <w:marLeft w:val="0"/>
      <w:marRight w:val="0"/>
      <w:marTop w:val="0"/>
      <w:marBottom w:val="0"/>
      <w:divBdr>
        <w:top w:val="none" w:sz="0" w:space="0" w:color="auto"/>
        <w:left w:val="none" w:sz="0" w:space="0" w:color="auto"/>
        <w:bottom w:val="none" w:sz="0" w:space="0" w:color="auto"/>
        <w:right w:val="none" w:sz="0" w:space="0" w:color="auto"/>
      </w:divBdr>
    </w:div>
    <w:div w:id="1704205995">
      <w:bodyDiv w:val="1"/>
      <w:marLeft w:val="0"/>
      <w:marRight w:val="0"/>
      <w:marTop w:val="0"/>
      <w:marBottom w:val="0"/>
      <w:divBdr>
        <w:top w:val="none" w:sz="0" w:space="0" w:color="auto"/>
        <w:left w:val="none" w:sz="0" w:space="0" w:color="auto"/>
        <w:bottom w:val="none" w:sz="0" w:space="0" w:color="auto"/>
        <w:right w:val="none" w:sz="0" w:space="0" w:color="auto"/>
      </w:divBdr>
    </w:div>
    <w:div w:id="1721249486">
      <w:bodyDiv w:val="1"/>
      <w:marLeft w:val="0"/>
      <w:marRight w:val="0"/>
      <w:marTop w:val="0"/>
      <w:marBottom w:val="0"/>
      <w:divBdr>
        <w:top w:val="none" w:sz="0" w:space="0" w:color="auto"/>
        <w:left w:val="none" w:sz="0" w:space="0" w:color="auto"/>
        <w:bottom w:val="none" w:sz="0" w:space="0" w:color="auto"/>
        <w:right w:val="none" w:sz="0" w:space="0" w:color="auto"/>
      </w:divBdr>
    </w:div>
    <w:div w:id="1723015846">
      <w:bodyDiv w:val="1"/>
      <w:marLeft w:val="0"/>
      <w:marRight w:val="0"/>
      <w:marTop w:val="0"/>
      <w:marBottom w:val="0"/>
      <w:divBdr>
        <w:top w:val="none" w:sz="0" w:space="0" w:color="auto"/>
        <w:left w:val="none" w:sz="0" w:space="0" w:color="auto"/>
        <w:bottom w:val="none" w:sz="0" w:space="0" w:color="auto"/>
        <w:right w:val="none" w:sz="0" w:space="0" w:color="auto"/>
      </w:divBdr>
    </w:div>
    <w:div w:id="1761364056">
      <w:bodyDiv w:val="1"/>
      <w:marLeft w:val="0"/>
      <w:marRight w:val="0"/>
      <w:marTop w:val="0"/>
      <w:marBottom w:val="0"/>
      <w:divBdr>
        <w:top w:val="none" w:sz="0" w:space="0" w:color="auto"/>
        <w:left w:val="none" w:sz="0" w:space="0" w:color="auto"/>
        <w:bottom w:val="none" w:sz="0" w:space="0" w:color="auto"/>
        <w:right w:val="none" w:sz="0" w:space="0" w:color="auto"/>
      </w:divBdr>
    </w:div>
    <w:div w:id="1836529827">
      <w:bodyDiv w:val="1"/>
      <w:marLeft w:val="0"/>
      <w:marRight w:val="0"/>
      <w:marTop w:val="0"/>
      <w:marBottom w:val="0"/>
      <w:divBdr>
        <w:top w:val="none" w:sz="0" w:space="0" w:color="auto"/>
        <w:left w:val="none" w:sz="0" w:space="0" w:color="auto"/>
        <w:bottom w:val="none" w:sz="0" w:space="0" w:color="auto"/>
        <w:right w:val="none" w:sz="0" w:space="0" w:color="auto"/>
      </w:divBdr>
    </w:div>
    <w:div w:id="1854227356">
      <w:bodyDiv w:val="1"/>
      <w:marLeft w:val="0"/>
      <w:marRight w:val="0"/>
      <w:marTop w:val="0"/>
      <w:marBottom w:val="0"/>
      <w:divBdr>
        <w:top w:val="none" w:sz="0" w:space="0" w:color="auto"/>
        <w:left w:val="none" w:sz="0" w:space="0" w:color="auto"/>
        <w:bottom w:val="none" w:sz="0" w:space="0" w:color="auto"/>
        <w:right w:val="none" w:sz="0" w:space="0" w:color="auto"/>
      </w:divBdr>
    </w:div>
    <w:div w:id="1855340583">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17518528">
      <w:bodyDiv w:val="1"/>
      <w:marLeft w:val="0"/>
      <w:marRight w:val="0"/>
      <w:marTop w:val="0"/>
      <w:marBottom w:val="0"/>
      <w:divBdr>
        <w:top w:val="none" w:sz="0" w:space="0" w:color="auto"/>
        <w:left w:val="none" w:sz="0" w:space="0" w:color="auto"/>
        <w:bottom w:val="none" w:sz="0" w:space="0" w:color="auto"/>
        <w:right w:val="none" w:sz="0" w:space="0" w:color="auto"/>
      </w:divBdr>
    </w:div>
    <w:div w:id="1943301042">
      <w:bodyDiv w:val="1"/>
      <w:marLeft w:val="0"/>
      <w:marRight w:val="0"/>
      <w:marTop w:val="0"/>
      <w:marBottom w:val="0"/>
      <w:divBdr>
        <w:top w:val="none" w:sz="0" w:space="0" w:color="auto"/>
        <w:left w:val="none" w:sz="0" w:space="0" w:color="auto"/>
        <w:bottom w:val="none" w:sz="0" w:space="0" w:color="auto"/>
        <w:right w:val="none" w:sz="0" w:space="0" w:color="auto"/>
      </w:divBdr>
    </w:div>
    <w:div w:id="1946109305">
      <w:bodyDiv w:val="1"/>
      <w:marLeft w:val="0"/>
      <w:marRight w:val="0"/>
      <w:marTop w:val="0"/>
      <w:marBottom w:val="0"/>
      <w:divBdr>
        <w:top w:val="none" w:sz="0" w:space="0" w:color="auto"/>
        <w:left w:val="none" w:sz="0" w:space="0" w:color="auto"/>
        <w:bottom w:val="none" w:sz="0" w:space="0" w:color="auto"/>
        <w:right w:val="none" w:sz="0" w:space="0" w:color="auto"/>
      </w:divBdr>
    </w:div>
    <w:div w:id="1981574849">
      <w:bodyDiv w:val="1"/>
      <w:marLeft w:val="0"/>
      <w:marRight w:val="0"/>
      <w:marTop w:val="0"/>
      <w:marBottom w:val="0"/>
      <w:divBdr>
        <w:top w:val="none" w:sz="0" w:space="0" w:color="auto"/>
        <w:left w:val="none" w:sz="0" w:space="0" w:color="auto"/>
        <w:bottom w:val="none" w:sz="0" w:space="0" w:color="auto"/>
        <w:right w:val="none" w:sz="0" w:space="0" w:color="auto"/>
      </w:divBdr>
    </w:div>
    <w:div w:id="1992368738">
      <w:bodyDiv w:val="1"/>
      <w:marLeft w:val="0"/>
      <w:marRight w:val="0"/>
      <w:marTop w:val="0"/>
      <w:marBottom w:val="0"/>
      <w:divBdr>
        <w:top w:val="none" w:sz="0" w:space="0" w:color="auto"/>
        <w:left w:val="none" w:sz="0" w:space="0" w:color="auto"/>
        <w:bottom w:val="none" w:sz="0" w:space="0" w:color="auto"/>
        <w:right w:val="none" w:sz="0" w:space="0" w:color="auto"/>
      </w:divBdr>
    </w:div>
    <w:div w:id="2024163167">
      <w:bodyDiv w:val="1"/>
      <w:marLeft w:val="0"/>
      <w:marRight w:val="0"/>
      <w:marTop w:val="0"/>
      <w:marBottom w:val="0"/>
      <w:divBdr>
        <w:top w:val="none" w:sz="0" w:space="0" w:color="auto"/>
        <w:left w:val="none" w:sz="0" w:space="0" w:color="auto"/>
        <w:bottom w:val="none" w:sz="0" w:space="0" w:color="auto"/>
        <w:right w:val="none" w:sz="0" w:space="0" w:color="auto"/>
      </w:divBdr>
    </w:div>
    <w:div w:id="2029208238">
      <w:bodyDiv w:val="1"/>
      <w:marLeft w:val="0"/>
      <w:marRight w:val="0"/>
      <w:marTop w:val="0"/>
      <w:marBottom w:val="0"/>
      <w:divBdr>
        <w:top w:val="none" w:sz="0" w:space="0" w:color="auto"/>
        <w:left w:val="none" w:sz="0" w:space="0" w:color="auto"/>
        <w:bottom w:val="none" w:sz="0" w:space="0" w:color="auto"/>
        <w:right w:val="none" w:sz="0" w:space="0" w:color="auto"/>
      </w:divBdr>
    </w:div>
    <w:div w:id="2051881812">
      <w:bodyDiv w:val="1"/>
      <w:marLeft w:val="0"/>
      <w:marRight w:val="0"/>
      <w:marTop w:val="0"/>
      <w:marBottom w:val="0"/>
      <w:divBdr>
        <w:top w:val="none" w:sz="0" w:space="0" w:color="auto"/>
        <w:left w:val="none" w:sz="0" w:space="0" w:color="auto"/>
        <w:bottom w:val="none" w:sz="0" w:space="0" w:color="auto"/>
        <w:right w:val="none" w:sz="0" w:space="0" w:color="auto"/>
      </w:divBdr>
    </w:div>
    <w:div w:id="2099330660">
      <w:bodyDiv w:val="1"/>
      <w:marLeft w:val="0"/>
      <w:marRight w:val="0"/>
      <w:marTop w:val="0"/>
      <w:marBottom w:val="0"/>
      <w:divBdr>
        <w:top w:val="none" w:sz="0" w:space="0" w:color="auto"/>
        <w:left w:val="none" w:sz="0" w:space="0" w:color="auto"/>
        <w:bottom w:val="none" w:sz="0" w:space="0" w:color="auto"/>
        <w:right w:val="none" w:sz="0" w:space="0" w:color="auto"/>
      </w:divBdr>
    </w:div>
    <w:div w:id="21412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6D2100B006A4BB8CE9A4094A7A1FB" ma:contentTypeVersion="3" ma:contentTypeDescription="Create a new document." ma:contentTypeScope="" ma:versionID="55f0f429d677a936f0a9693ac14a978a">
  <xsd:schema xmlns:xsd="http://www.w3.org/2001/XMLSchema" xmlns:xs="http://www.w3.org/2001/XMLSchema" xmlns:p="http://schemas.microsoft.com/office/2006/metadata/properties" xmlns:ns3="8cda63e0-537a-48b2-87a2-30173de0e41b" targetNamespace="http://schemas.microsoft.com/office/2006/metadata/properties" ma:root="true" ma:fieldsID="5051cb174e52d44832c030d3d4c40cc8" ns3:_="">
    <xsd:import namespace="8cda63e0-537a-48b2-87a2-30173de0e41b"/>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a63e0-537a-48b2-87a2-30173de0e4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CFB5-985D-47EC-B3FC-F01AAF43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a63e0-537a-48b2-87a2-30173de0e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A8D6D-AFE6-45A6-9535-BE2B2DAF12B3}">
  <ds:schemaRefs>
    <ds:schemaRef ds:uri="http://schemas.microsoft.com/sharepoint/v3/contenttype/forms"/>
  </ds:schemaRefs>
</ds:datastoreItem>
</file>

<file path=customXml/itemProps3.xml><?xml version="1.0" encoding="utf-8"?>
<ds:datastoreItem xmlns:ds="http://schemas.openxmlformats.org/officeDocument/2006/customXml" ds:itemID="{251BEFBC-41FF-4A43-8CF6-2F1F7349F7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E7B30E-A1B3-456E-A883-F3F08CDB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O’Melia</dc:creator>
  <cp:keywords/>
  <dc:description/>
  <cp:lastModifiedBy>Ronan Fitzgerald</cp:lastModifiedBy>
  <cp:revision>3</cp:revision>
  <cp:lastPrinted>2021-06-30T08:44:00Z</cp:lastPrinted>
  <dcterms:created xsi:type="dcterms:W3CDTF">2021-07-05T08:00:00Z</dcterms:created>
  <dcterms:modified xsi:type="dcterms:W3CDTF">2021-07-05T12:19:00Z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0x0101001286D2100B006A4BB8CE9A4094A7A1FB</vt:lpwstr>
  </property>
</Properties>
</file>