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BD80A" w14:textId="77777777" w:rsidR="00A866EC" w:rsidRPr="00193B80" w:rsidRDefault="00A866EC" w:rsidP="00A866EC">
      <w:pPr>
        <w:rPr>
          <w:rFonts w:cstheme="minorHAnsi"/>
          <w:b/>
          <w:sz w:val="32"/>
          <w:szCs w:val="32"/>
          <w:lang w:val="en-GB"/>
        </w:rPr>
      </w:pPr>
      <w:r w:rsidRPr="00193B80">
        <w:rPr>
          <w:rFonts w:cstheme="minorHAnsi"/>
          <w:b/>
          <w:sz w:val="32"/>
          <w:szCs w:val="32"/>
          <w:lang w:val="en-GB"/>
        </w:rPr>
        <w:t>CE Amendments Arising from Proofing and Other Considerations</w:t>
      </w:r>
    </w:p>
    <w:p w14:paraId="7A7BE493" w14:textId="77777777" w:rsidR="00A866EC" w:rsidRPr="005A0927" w:rsidRDefault="00A866EC" w:rsidP="00A866EC">
      <w:pPr>
        <w:rPr>
          <w:rFonts w:cstheme="minorHAnsi"/>
          <w:b/>
          <w:bCs/>
          <w:i/>
          <w:iCs/>
          <w:sz w:val="28"/>
          <w:szCs w:val="28"/>
          <w:lang w:val="en-GB"/>
        </w:rPr>
      </w:pPr>
      <w:r w:rsidRPr="005A0927">
        <w:rPr>
          <w:rFonts w:cstheme="minorHAnsi"/>
          <w:b/>
          <w:bCs/>
          <w:i/>
          <w:iCs/>
          <w:sz w:val="28"/>
          <w:szCs w:val="28"/>
          <w:lang w:val="en-GB"/>
        </w:rPr>
        <w:t>Written Statement</w:t>
      </w:r>
    </w:p>
    <w:p w14:paraId="7DFCDFA6"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1 – Introduction</w:t>
      </w:r>
    </w:p>
    <w:p w14:paraId="691CD412" w14:textId="77777777" w:rsidR="00A866EC" w:rsidRPr="005A0927" w:rsidRDefault="00A866EC" w:rsidP="00A866EC">
      <w:pPr>
        <w:rPr>
          <w:rFonts w:cstheme="minorHAnsi"/>
          <w:sz w:val="28"/>
          <w:szCs w:val="28"/>
          <w:lang w:val="en-GB"/>
        </w:rPr>
      </w:pPr>
      <w:r w:rsidRPr="005A0927">
        <w:rPr>
          <w:rFonts w:cstheme="minorHAnsi"/>
          <w:sz w:val="28"/>
          <w:szCs w:val="28"/>
          <w:lang w:val="en-GB"/>
        </w:rPr>
        <w:t>N/A</w:t>
      </w:r>
    </w:p>
    <w:p w14:paraId="12009E9E"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2 – Core Strategy and Settlement Strategy</w:t>
      </w:r>
    </w:p>
    <w:p w14:paraId="3CD1D257" w14:textId="77777777" w:rsidR="00A866EC" w:rsidRPr="005A0927" w:rsidRDefault="00A866EC" w:rsidP="00A866EC">
      <w:pPr>
        <w:autoSpaceDE w:val="0"/>
        <w:autoSpaceDN w:val="0"/>
        <w:rPr>
          <w:rFonts w:cstheme="minorHAnsi"/>
          <w:b/>
          <w:bCs/>
          <w:sz w:val="24"/>
          <w:szCs w:val="24"/>
          <w:lang w:val="en-GB"/>
        </w:rPr>
      </w:pPr>
      <w:r w:rsidRPr="005A0927">
        <w:rPr>
          <w:rFonts w:cstheme="minorHAnsi"/>
          <w:b/>
          <w:bCs/>
          <w:sz w:val="24"/>
          <w:szCs w:val="24"/>
          <w:lang w:val="en-GB"/>
        </w:rPr>
        <w:t>CE Amendment 1</w:t>
      </w:r>
      <w:r>
        <w:rPr>
          <w:rFonts w:cstheme="minorHAnsi"/>
          <w:b/>
          <w:bCs/>
          <w:sz w:val="24"/>
          <w:szCs w:val="24"/>
          <w:lang w:val="en-GB"/>
        </w:rPr>
        <w:t>:</w:t>
      </w:r>
    </w:p>
    <w:p w14:paraId="587F1D42" w14:textId="77777777" w:rsidR="00A866EC" w:rsidRPr="00812C8E" w:rsidRDefault="00A866EC" w:rsidP="00A866EC">
      <w:pPr>
        <w:autoSpaceDE w:val="0"/>
        <w:autoSpaceDN w:val="0"/>
        <w:rPr>
          <w:rFonts w:cstheme="minorHAnsi"/>
          <w:lang w:eastAsia="en-IE"/>
        </w:rPr>
      </w:pPr>
      <w:r w:rsidRPr="00812C8E">
        <w:rPr>
          <w:rFonts w:cstheme="minorHAnsi"/>
          <w:b/>
          <w:lang w:val="en-GB"/>
        </w:rPr>
        <w:t>Recommendation</w:t>
      </w:r>
      <w:r w:rsidRPr="00812C8E">
        <w:rPr>
          <w:rFonts w:cstheme="minorHAnsi"/>
          <w:b/>
          <w:bCs/>
          <w:lang w:val="en-GB"/>
        </w:rPr>
        <w:t>:</w:t>
      </w:r>
      <w:r w:rsidRPr="00812C8E">
        <w:rPr>
          <w:rFonts w:cstheme="minorHAnsi"/>
          <w:lang w:val="en-GB"/>
        </w:rPr>
        <w:t xml:space="preserve"> to remove</w:t>
      </w:r>
      <w:r w:rsidRPr="00812C8E">
        <w:rPr>
          <w:rFonts w:cstheme="minorHAnsi"/>
          <w:b/>
          <w:bCs/>
          <w:lang w:val="en-GB"/>
        </w:rPr>
        <w:t xml:space="preserve"> </w:t>
      </w:r>
      <w:r w:rsidRPr="00812C8E">
        <w:rPr>
          <w:rFonts w:cstheme="minorHAnsi"/>
          <w:b/>
          <w:bCs/>
          <w:lang w:eastAsia="en-IE"/>
        </w:rPr>
        <w:t>CS2 Objective 3</w:t>
      </w:r>
      <w:r w:rsidRPr="00812C8E">
        <w:rPr>
          <w:rFonts w:cstheme="minorHAnsi"/>
          <w:b/>
          <w:lang w:eastAsia="en-IE"/>
        </w:rPr>
        <w:t xml:space="preserve">: </w:t>
      </w:r>
      <w:r w:rsidRPr="00812C8E">
        <w:rPr>
          <w:rFonts w:cstheme="minorHAnsi"/>
          <w:b/>
          <w:i/>
          <w:lang w:eastAsia="en-IE"/>
        </w:rPr>
        <w:t>“</w:t>
      </w:r>
      <w:r w:rsidRPr="00812C8E">
        <w:rPr>
          <w:rFonts w:cstheme="minorHAnsi"/>
          <w:i/>
          <w:lang w:eastAsia="en-IE"/>
        </w:rPr>
        <w:t>Planning applications for residential use in the Naas Road / Ballymount lands shall be subject to a Strategic Framework Plan for the area being in place.”</w:t>
      </w:r>
      <w:r w:rsidRPr="00812C8E">
        <w:rPr>
          <w:rFonts w:cstheme="minorHAnsi"/>
          <w:lang w:eastAsia="en-IE"/>
        </w:rPr>
        <w:t xml:space="preserve"> </w:t>
      </w:r>
    </w:p>
    <w:p w14:paraId="1F925C06" w14:textId="77777777" w:rsidR="00A866EC" w:rsidRPr="00812C8E" w:rsidRDefault="00A866EC" w:rsidP="00A866EC">
      <w:pPr>
        <w:autoSpaceDE w:val="0"/>
        <w:autoSpaceDN w:val="0"/>
        <w:rPr>
          <w:rFonts w:cstheme="minorHAnsi"/>
        </w:rPr>
      </w:pPr>
      <w:r w:rsidRPr="00812C8E">
        <w:rPr>
          <w:rFonts w:cstheme="minorHAnsi"/>
          <w:b/>
          <w:bCs/>
          <w:lang w:eastAsia="en-IE"/>
        </w:rPr>
        <w:t>Reason</w:t>
      </w:r>
      <w:r w:rsidRPr="00812C8E">
        <w:rPr>
          <w:rFonts w:cstheme="minorHAnsi"/>
          <w:lang w:eastAsia="en-IE"/>
        </w:rPr>
        <w:t xml:space="preserve">: It is considered that </w:t>
      </w:r>
      <w:r w:rsidRPr="00812C8E">
        <w:rPr>
          <w:rFonts w:cstheme="minorHAnsi"/>
        </w:rPr>
        <w:t xml:space="preserve">CS2 Objective 1: sufficiently covers the requirement for development to conform to the Masterplan. </w:t>
      </w:r>
    </w:p>
    <w:p w14:paraId="4CE10CFF" w14:textId="77777777" w:rsidR="00A866EC" w:rsidRPr="00812C8E" w:rsidRDefault="00A866EC" w:rsidP="00A866EC">
      <w:pPr>
        <w:autoSpaceDE w:val="0"/>
        <w:autoSpaceDN w:val="0"/>
        <w:rPr>
          <w:rFonts w:cstheme="minorHAnsi"/>
          <w:b/>
          <w:bCs/>
        </w:rPr>
      </w:pPr>
      <w:r w:rsidRPr="00812C8E">
        <w:rPr>
          <w:rFonts w:cstheme="minorHAnsi"/>
        </w:rPr>
        <w:t xml:space="preserve">For reference, </w:t>
      </w:r>
      <w:r w:rsidRPr="00812C8E">
        <w:rPr>
          <w:rFonts w:cstheme="minorHAnsi"/>
          <w:b/>
          <w:bCs/>
        </w:rPr>
        <w:t xml:space="preserve">CS2 Objective 1 </w:t>
      </w:r>
      <w:r w:rsidRPr="00812C8E">
        <w:rPr>
          <w:rFonts w:cstheme="minorHAnsi"/>
        </w:rPr>
        <w:t>states:</w:t>
      </w:r>
      <w:r w:rsidRPr="00812C8E">
        <w:rPr>
          <w:rFonts w:cstheme="minorHAnsi"/>
          <w:b/>
          <w:bCs/>
        </w:rPr>
        <w:t xml:space="preserve"> </w:t>
      </w:r>
    </w:p>
    <w:p w14:paraId="70BC8307" w14:textId="77777777" w:rsidR="00A866EC" w:rsidRPr="00AA1DAD" w:rsidRDefault="00A866EC" w:rsidP="00A866EC">
      <w:pPr>
        <w:autoSpaceDE w:val="0"/>
        <w:autoSpaceDN w:val="0"/>
        <w:rPr>
          <w:rFonts w:cstheme="minorHAnsi"/>
          <w:i/>
          <w:iCs/>
          <w:highlight w:val="yellow"/>
        </w:rPr>
      </w:pPr>
      <w:r w:rsidRPr="00AA1DAD">
        <w:rPr>
          <w:rFonts w:cstheme="minorHAnsi"/>
          <w:i/>
          <w:iCs/>
        </w:rPr>
        <w:t>To prepare a Local Area Plan or other appropriate mechanism for the zoned Regeneration (REGEN) lands at Naas Road/Ballymount to include the Local Centre zoning (LC) at Walkinstown. The LAP or equivalent will provide a framework for the sequential and phased development of the lands, integrating sustainable transport, land use and blue and green infrastructure. The spatial planning of the area will be informed by the Naas Road Framework until such time as a Statutory Plan is in place.</w:t>
      </w:r>
    </w:p>
    <w:p w14:paraId="0AFB8F12"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3 – Heritage</w:t>
      </w:r>
    </w:p>
    <w:p w14:paraId="6FAC4BD3" w14:textId="77777777" w:rsidR="00A866EC" w:rsidRPr="005A0927" w:rsidRDefault="00A866EC" w:rsidP="00A866EC">
      <w:pPr>
        <w:rPr>
          <w:rFonts w:cstheme="minorHAnsi"/>
          <w:b/>
          <w:bCs/>
          <w:sz w:val="24"/>
          <w:szCs w:val="24"/>
        </w:rPr>
      </w:pPr>
      <w:r w:rsidRPr="005A0927">
        <w:rPr>
          <w:rFonts w:cstheme="minorHAnsi"/>
          <w:b/>
          <w:bCs/>
          <w:sz w:val="24"/>
          <w:szCs w:val="24"/>
        </w:rPr>
        <w:t>CE Amendment 2</w:t>
      </w:r>
      <w:r>
        <w:rPr>
          <w:rFonts w:cstheme="minorHAnsi"/>
          <w:b/>
          <w:bCs/>
          <w:sz w:val="24"/>
          <w:szCs w:val="24"/>
        </w:rPr>
        <w:t>:</w:t>
      </w:r>
    </w:p>
    <w:p w14:paraId="3FE5D6E3" w14:textId="77777777" w:rsidR="00A866EC" w:rsidRPr="005A0927" w:rsidRDefault="00A866EC" w:rsidP="00A866EC">
      <w:pPr>
        <w:rPr>
          <w:rFonts w:cstheme="minorHAnsi"/>
          <w:sz w:val="20"/>
          <w:szCs w:val="20"/>
        </w:rPr>
      </w:pPr>
      <w:r w:rsidRPr="005A0927">
        <w:rPr>
          <w:rFonts w:cstheme="minorHAnsi"/>
          <w:b/>
          <w:bCs/>
          <w:sz w:val="20"/>
          <w:szCs w:val="20"/>
        </w:rPr>
        <w:t>Recommendation</w:t>
      </w:r>
      <w:r w:rsidRPr="005A0927">
        <w:rPr>
          <w:rFonts w:cstheme="minorHAnsi"/>
          <w:sz w:val="20"/>
          <w:szCs w:val="20"/>
        </w:rPr>
        <w:t>: Replace existing section (in red strikethrough) with the text in green bold below:</w:t>
      </w:r>
    </w:p>
    <w:p w14:paraId="6F719868" w14:textId="77777777" w:rsidR="00A866EC" w:rsidRPr="005A0927" w:rsidRDefault="00A866EC" w:rsidP="00A866EC">
      <w:pPr>
        <w:rPr>
          <w:rFonts w:cstheme="minorHAnsi"/>
          <w:b/>
          <w:bCs/>
          <w:strike/>
          <w:color w:val="FF0000"/>
          <w:sz w:val="20"/>
          <w:szCs w:val="20"/>
        </w:rPr>
      </w:pPr>
      <w:r w:rsidRPr="005A0927">
        <w:rPr>
          <w:rFonts w:cstheme="minorHAnsi"/>
          <w:b/>
          <w:bCs/>
          <w:strike/>
          <w:color w:val="FF0000"/>
          <w:sz w:val="20"/>
          <w:szCs w:val="20"/>
        </w:rPr>
        <w:t>Proposed Natural Heritage Areas</w:t>
      </w:r>
    </w:p>
    <w:p w14:paraId="73F0B4BB" w14:textId="77777777" w:rsidR="00A866EC" w:rsidRPr="005A0927" w:rsidRDefault="00A866EC" w:rsidP="00A866EC">
      <w:pPr>
        <w:spacing w:line="257" w:lineRule="auto"/>
        <w:rPr>
          <w:rFonts w:eastAsia="Calibri" w:cstheme="minorHAnsi"/>
          <w:strike/>
          <w:color w:val="FF0000"/>
          <w:sz w:val="20"/>
          <w:szCs w:val="20"/>
        </w:rPr>
      </w:pPr>
      <w:r w:rsidRPr="005A0927">
        <w:rPr>
          <w:rFonts w:eastAsia="Calibri" w:cstheme="minorHAnsi"/>
          <w:strike/>
          <w:color w:val="FF0000"/>
          <w:sz w:val="20"/>
          <w:szCs w:val="20"/>
        </w:rPr>
        <w:t>Natural Heritage Areas (NHAs) and proposed Natural Heritage Areas (</w:t>
      </w:r>
      <w:proofErr w:type="spellStart"/>
      <w:r w:rsidRPr="005A0927">
        <w:rPr>
          <w:rFonts w:eastAsia="Calibri" w:cstheme="minorHAnsi"/>
          <w:strike/>
          <w:color w:val="FF0000"/>
          <w:sz w:val="20"/>
          <w:szCs w:val="20"/>
        </w:rPr>
        <w:t>pNHAs</w:t>
      </w:r>
      <w:proofErr w:type="spellEnd"/>
      <w:r w:rsidRPr="005A0927">
        <w:rPr>
          <w:rFonts w:eastAsia="Calibri" w:cstheme="minorHAnsi"/>
          <w:strike/>
          <w:color w:val="FF0000"/>
          <w:sz w:val="20"/>
          <w:szCs w:val="20"/>
        </w:rPr>
        <w:t xml:space="preserve">) are designated to conserve and protect species and habitats of national importance in Ireland. NHAs and </w:t>
      </w:r>
      <w:proofErr w:type="spellStart"/>
      <w:r w:rsidRPr="005A0927">
        <w:rPr>
          <w:rFonts w:eastAsia="Calibri" w:cstheme="minorHAnsi"/>
          <w:strike/>
          <w:color w:val="FF0000"/>
          <w:sz w:val="20"/>
          <w:szCs w:val="20"/>
        </w:rPr>
        <w:t>pNHAs</w:t>
      </w:r>
      <w:proofErr w:type="spellEnd"/>
      <w:r w:rsidRPr="005A0927">
        <w:rPr>
          <w:rFonts w:eastAsia="Calibri" w:cstheme="minorHAnsi"/>
          <w:strike/>
          <w:color w:val="FF0000"/>
          <w:sz w:val="20"/>
          <w:szCs w:val="20"/>
        </w:rPr>
        <w:t xml:space="preserve"> are established under the Wildlife Acts.  Both NHAs and </w:t>
      </w:r>
      <w:proofErr w:type="spellStart"/>
      <w:r w:rsidRPr="005A0927">
        <w:rPr>
          <w:rFonts w:eastAsia="Calibri" w:cstheme="minorHAnsi"/>
          <w:strike/>
          <w:color w:val="FF0000"/>
          <w:sz w:val="20"/>
          <w:szCs w:val="20"/>
        </w:rPr>
        <w:t>pNHAs</w:t>
      </w:r>
      <w:proofErr w:type="spellEnd"/>
      <w:r w:rsidRPr="005A0927">
        <w:rPr>
          <w:rFonts w:eastAsia="Calibri" w:cstheme="minorHAnsi"/>
          <w:strike/>
          <w:color w:val="FF0000"/>
          <w:sz w:val="20"/>
          <w:szCs w:val="20"/>
        </w:rPr>
        <w:t xml:space="preserve"> normally relate to habitats that </w:t>
      </w:r>
      <w:proofErr w:type="gramStart"/>
      <w:r w:rsidRPr="005A0927">
        <w:rPr>
          <w:rFonts w:eastAsia="Calibri" w:cstheme="minorHAnsi"/>
          <w:strike/>
          <w:color w:val="FF0000"/>
          <w:sz w:val="20"/>
          <w:szCs w:val="20"/>
        </w:rPr>
        <w:t>are considered to be</w:t>
      </w:r>
      <w:proofErr w:type="gramEnd"/>
      <w:r w:rsidRPr="005A0927">
        <w:rPr>
          <w:rFonts w:eastAsia="Calibri" w:cstheme="minorHAnsi"/>
          <w:strike/>
          <w:color w:val="FF0000"/>
          <w:sz w:val="20"/>
          <w:szCs w:val="20"/>
        </w:rPr>
        <w:t xml:space="preserve"> ecologically important or host flora and fauna species whose habitats are considered to need protection. These can include species listed under the European Habitats and Bird Directives.</w:t>
      </w:r>
    </w:p>
    <w:p w14:paraId="745259F3" w14:textId="77777777" w:rsidR="00A866EC" w:rsidRPr="005A0927" w:rsidRDefault="00A866EC" w:rsidP="00A866EC">
      <w:pPr>
        <w:rPr>
          <w:rFonts w:eastAsia="Calibri" w:cstheme="minorHAnsi"/>
          <w:strike/>
          <w:color w:val="FF0000"/>
          <w:sz w:val="20"/>
          <w:szCs w:val="20"/>
        </w:rPr>
      </w:pPr>
      <w:r w:rsidRPr="005A0927">
        <w:rPr>
          <w:rFonts w:eastAsia="Calibri" w:cstheme="minorHAnsi"/>
          <w:strike/>
          <w:color w:val="FF0000"/>
          <w:sz w:val="20"/>
          <w:szCs w:val="20"/>
        </w:rPr>
        <w:t xml:space="preserve">All designated sites in the County are shown on the Development Plan maps which accompany this written statement. </w:t>
      </w:r>
    </w:p>
    <w:p w14:paraId="1651AE66" w14:textId="77777777" w:rsidR="00A866EC" w:rsidRPr="005A0927" w:rsidRDefault="00A866EC" w:rsidP="00A866EC">
      <w:pPr>
        <w:rPr>
          <w:rFonts w:cstheme="minorHAnsi"/>
          <w:b/>
          <w:bCs/>
          <w:color w:val="91C848"/>
          <w:sz w:val="20"/>
          <w:szCs w:val="20"/>
        </w:rPr>
      </w:pPr>
      <w:r w:rsidRPr="005A0927">
        <w:rPr>
          <w:rFonts w:cstheme="minorHAnsi"/>
          <w:b/>
          <w:bCs/>
          <w:color w:val="91C848"/>
          <w:sz w:val="20"/>
          <w:szCs w:val="20"/>
        </w:rPr>
        <w:t>Proposed Natural Heritage Areas</w:t>
      </w:r>
    </w:p>
    <w:p w14:paraId="569C40EA" w14:textId="77777777" w:rsidR="00A866EC" w:rsidRPr="005A0927" w:rsidRDefault="00A866EC" w:rsidP="00A866EC">
      <w:pPr>
        <w:rPr>
          <w:rFonts w:cstheme="minorHAnsi"/>
          <w:color w:val="00B050"/>
          <w:sz w:val="20"/>
          <w:szCs w:val="20"/>
        </w:rPr>
      </w:pPr>
      <w:r w:rsidRPr="005A0927">
        <w:rPr>
          <w:rFonts w:cstheme="minorHAnsi"/>
          <w:color w:val="00B050"/>
          <w:sz w:val="20"/>
          <w:szCs w:val="20"/>
        </w:rPr>
        <w:t xml:space="preserve">Natural Heritage Areas (NHAs) are designated to conserve and protect species and habitats of national importance in Ireland and are established under the Wildlife Acts.  NHAs normally relate to habitats that </w:t>
      </w:r>
      <w:proofErr w:type="gramStart"/>
      <w:r w:rsidRPr="005A0927">
        <w:rPr>
          <w:rFonts w:cstheme="minorHAnsi"/>
          <w:color w:val="00B050"/>
          <w:sz w:val="20"/>
          <w:szCs w:val="20"/>
        </w:rPr>
        <w:t>are considered to be</w:t>
      </w:r>
      <w:proofErr w:type="gramEnd"/>
      <w:r w:rsidRPr="005A0927">
        <w:rPr>
          <w:rFonts w:cstheme="minorHAnsi"/>
          <w:color w:val="00B050"/>
          <w:sz w:val="20"/>
          <w:szCs w:val="20"/>
        </w:rPr>
        <w:t xml:space="preserve"> ecologically important or host flora and fauna species whose habitats are considered to need protection.  These can include species listed under the European Habitats and Bird Directives.  </w:t>
      </w:r>
      <w:r w:rsidRPr="005A0927">
        <w:rPr>
          <w:rFonts w:cstheme="minorHAnsi"/>
          <w:b/>
          <w:color w:val="00B050"/>
          <w:sz w:val="20"/>
          <w:szCs w:val="20"/>
        </w:rPr>
        <w:t xml:space="preserve">In South Dublin County there are seven proposed NHAs, which were originally identified on a non-statutory basis but have not been formally designated.  A process is underway by the National Parks and Wildlife Service to resurvey and formally designate some </w:t>
      </w:r>
      <w:proofErr w:type="spellStart"/>
      <w:r w:rsidRPr="005A0927">
        <w:rPr>
          <w:rFonts w:cstheme="minorHAnsi"/>
          <w:b/>
          <w:color w:val="00B050"/>
          <w:sz w:val="20"/>
          <w:szCs w:val="20"/>
        </w:rPr>
        <w:t>pNHA</w:t>
      </w:r>
      <w:proofErr w:type="spellEnd"/>
      <w:r w:rsidRPr="005A0927">
        <w:rPr>
          <w:rFonts w:cstheme="minorHAnsi"/>
          <w:b/>
          <w:color w:val="00B050"/>
          <w:sz w:val="20"/>
          <w:szCs w:val="20"/>
        </w:rPr>
        <w:t xml:space="preserve"> sites as NHAs on a country-wide basis.   In the meantime, a degree of protection is afforded to </w:t>
      </w:r>
      <w:proofErr w:type="spellStart"/>
      <w:r w:rsidRPr="005A0927">
        <w:rPr>
          <w:rFonts w:cstheme="minorHAnsi"/>
          <w:b/>
          <w:color w:val="00B050"/>
          <w:sz w:val="20"/>
          <w:szCs w:val="20"/>
        </w:rPr>
        <w:t>pNHAs</w:t>
      </w:r>
      <w:proofErr w:type="spellEnd"/>
      <w:r w:rsidRPr="005A0927">
        <w:rPr>
          <w:rFonts w:cstheme="minorHAnsi"/>
          <w:b/>
          <w:color w:val="00B050"/>
          <w:sz w:val="20"/>
          <w:szCs w:val="20"/>
        </w:rPr>
        <w:t xml:space="preserve"> under County Development Plans and other environmental protection schemes</w:t>
      </w:r>
      <w:r w:rsidRPr="005A0927">
        <w:rPr>
          <w:rFonts w:cstheme="minorHAnsi"/>
          <w:color w:val="00B050"/>
          <w:sz w:val="20"/>
          <w:szCs w:val="20"/>
        </w:rPr>
        <w:t xml:space="preserve">.  All </w:t>
      </w:r>
      <w:proofErr w:type="spellStart"/>
      <w:r w:rsidRPr="005A0927">
        <w:rPr>
          <w:rFonts w:cstheme="minorHAnsi"/>
          <w:color w:val="00B050"/>
          <w:sz w:val="20"/>
          <w:szCs w:val="20"/>
        </w:rPr>
        <w:t>pNHAs</w:t>
      </w:r>
      <w:proofErr w:type="spellEnd"/>
      <w:r w:rsidRPr="005A0927">
        <w:rPr>
          <w:rFonts w:cstheme="minorHAnsi"/>
          <w:color w:val="00B050"/>
          <w:sz w:val="20"/>
          <w:szCs w:val="20"/>
        </w:rPr>
        <w:t xml:space="preserve"> in the County are shown on the Development Plan maps which accompany this written statement.  </w:t>
      </w:r>
    </w:p>
    <w:p w14:paraId="4373443F" w14:textId="77777777" w:rsidR="00A866EC" w:rsidRPr="00AA1DAD" w:rsidRDefault="00A866EC" w:rsidP="00A866EC">
      <w:pPr>
        <w:rPr>
          <w:rFonts w:cstheme="minorHAnsi"/>
        </w:rPr>
      </w:pPr>
      <w:r w:rsidRPr="00AA1DAD">
        <w:rPr>
          <w:rFonts w:cstheme="minorHAnsi"/>
          <w:b/>
          <w:bCs/>
        </w:rPr>
        <w:lastRenderedPageBreak/>
        <w:t xml:space="preserve">Reason: </w:t>
      </w:r>
      <w:r w:rsidRPr="00AA1DAD">
        <w:rPr>
          <w:rFonts w:cstheme="minorHAnsi"/>
        </w:rPr>
        <w:t xml:space="preserve">For the purposes of clarity in relation to Natural Heritage Areas and Proposed Natural Heritage Areas.  </w:t>
      </w:r>
    </w:p>
    <w:p w14:paraId="380E0CAA" w14:textId="77777777" w:rsidR="00A866EC" w:rsidRPr="005A0927" w:rsidRDefault="00A866EC" w:rsidP="00A866EC">
      <w:pPr>
        <w:rPr>
          <w:rFonts w:cstheme="minorHAnsi"/>
          <w:b/>
          <w:bCs/>
        </w:rPr>
      </w:pPr>
    </w:p>
    <w:p w14:paraId="0E089F31" w14:textId="77777777" w:rsidR="00A866EC" w:rsidRPr="005A0927" w:rsidRDefault="00A866EC" w:rsidP="00A866EC">
      <w:pPr>
        <w:rPr>
          <w:rFonts w:cstheme="minorHAnsi"/>
          <w:b/>
          <w:bCs/>
          <w:sz w:val="24"/>
          <w:szCs w:val="24"/>
        </w:rPr>
      </w:pPr>
      <w:r w:rsidRPr="005A0927">
        <w:rPr>
          <w:rFonts w:cstheme="minorHAnsi"/>
          <w:b/>
          <w:bCs/>
          <w:sz w:val="24"/>
          <w:szCs w:val="24"/>
        </w:rPr>
        <w:t>CE Amendment 3:</w:t>
      </w:r>
    </w:p>
    <w:p w14:paraId="7BCFCE93" w14:textId="77777777" w:rsidR="00A866EC" w:rsidRPr="005A0927" w:rsidRDefault="00A866EC" w:rsidP="00A866EC">
      <w:pPr>
        <w:rPr>
          <w:rFonts w:cstheme="minorHAnsi"/>
        </w:rPr>
      </w:pPr>
      <w:r w:rsidRPr="00B81876">
        <w:rPr>
          <w:rFonts w:cstheme="minorHAnsi"/>
          <w:b/>
          <w:bCs/>
        </w:rPr>
        <w:t>Recommendation</w:t>
      </w:r>
      <w:r>
        <w:rPr>
          <w:rFonts w:cstheme="minorHAnsi"/>
          <w:b/>
          <w:bCs/>
        </w:rPr>
        <w:t>:</w:t>
      </w:r>
      <w:r w:rsidRPr="005A0927">
        <w:rPr>
          <w:rFonts w:cstheme="minorHAnsi"/>
        </w:rPr>
        <w:t xml:space="preserve"> </w:t>
      </w:r>
      <w:r>
        <w:rPr>
          <w:rFonts w:cstheme="minorHAnsi"/>
        </w:rPr>
        <w:t>R</w:t>
      </w:r>
      <w:r w:rsidRPr="00B81876">
        <w:rPr>
          <w:rFonts w:cstheme="minorHAnsi"/>
        </w:rPr>
        <w:t>e-numbering</w:t>
      </w:r>
      <w:r w:rsidRPr="005A0927">
        <w:rPr>
          <w:rFonts w:cstheme="minorHAnsi"/>
        </w:rPr>
        <w:t xml:space="preserve"> of sections and policies within the </w:t>
      </w:r>
      <w:r w:rsidRPr="005A0927">
        <w:rPr>
          <w:rFonts w:cstheme="minorHAnsi"/>
          <w:b/>
          <w:bCs/>
        </w:rPr>
        <w:t>Built Heritage</w:t>
      </w:r>
      <w:r w:rsidRPr="005A0927">
        <w:rPr>
          <w:rFonts w:cstheme="minorHAnsi"/>
        </w:rPr>
        <w:t xml:space="preserve"> section of the Natural, Cultural and Built Heritage Chapter as set out below.  </w:t>
      </w:r>
    </w:p>
    <w:p w14:paraId="6E34CAF2" w14:textId="77777777" w:rsidR="00A866EC" w:rsidRPr="005A0927" w:rsidRDefault="00A866EC" w:rsidP="00A866EC">
      <w:pPr>
        <w:rPr>
          <w:rFonts w:cstheme="minorHAnsi"/>
          <w:b/>
          <w:bCs/>
        </w:rPr>
      </w:pPr>
      <w:r w:rsidRPr="005A0927">
        <w:rPr>
          <w:rFonts w:cstheme="minorHAnsi"/>
          <w:b/>
          <w:bCs/>
        </w:rPr>
        <w:t xml:space="preserve">No new sections or no new text have been added and no sections or text have been deleted.  </w:t>
      </w:r>
    </w:p>
    <w:p w14:paraId="7A5A9554" w14:textId="77777777" w:rsidR="00A866EC" w:rsidRPr="005A0927" w:rsidRDefault="00A866EC" w:rsidP="00A866EC">
      <w:pPr>
        <w:rPr>
          <w:rFonts w:cstheme="minorHAnsi"/>
        </w:rPr>
      </w:pPr>
      <w:r w:rsidRPr="005A0927">
        <w:rPr>
          <w:rFonts w:cstheme="minorHAnsi"/>
        </w:rPr>
        <w:t xml:space="preserve">It should be noted that only section headings with paragraph numbering are indicated – there are other sub-sections with no numbering which have also been moved along with the overall numbered section.   Where apparently new section headings appear in green that are not appearing in red strikethrough, these are sections that had no paragraph numbering previously and that have now been given numbering.  </w:t>
      </w:r>
    </w:p>
    <w:p w14:paraId="001FBB9E" w14:textId="77777777" w:rsidR="00A866EC" w:rsidRPr="005A0927" w:rsidRDefault="00A866EC" w:rsidP="00A866EC">
      <w:pPr>
        <w:rPr>
          <w:rFonts w:cstheme="minorHAnsi"/>
        </w:rPr>
      </w:pPr>
      <w:r w:rsidRPr="005A0927">
        <w:rPr>
          <w:rFonts w:cstheme="minorHAnsi"/>
        </w:rPr>
        <w:t>It should also be noted that there are several objectives under each policy that have also been renumbered accordingly.  These have not been indicated here in the interest of brevity.</w:t>
      </w:r>
    </w:p>
    <w:p w14:paraId="5C6D58DD" w14:textId="77777777" w:rsidR="00A866EC" w:rsidRPr="005A0927" w:rsidRDefault="00A866EC" w:rsidP="00A866EC">
      <w:pPr>
        <w:rPr>
          <w:rFonts w:cstheme="minorHAnsi"/>
        </w:rPr>
      </w:pPr>
      <w:r w:rsidRPr="005A0927">
        <w:rPr>
          <w:rFonts w:cstheme="minorHAnsi"/>
          <w:b/>
          <w:bCs/>
        </w:rPr>
        <w:t xml:space="preserve">Reason: </w:t>
      </w:r>
      <w:proofErr w:type="gramStart"/>
      <w:r w:rsidRPr="005A0927">
        <w:rPr>
          <w:rFonts w:cstheme="minorHAnsi"/>
        </w:rPr>
        <w:t>In order to</w:t>
      </w:r>
      <w:proofErr w:type="gramEnd"/>
      <w:r w:rsidRPr="005A0927">
        <w:rPr>
          <w:rFonts w:cstheme="minorHAnsi"/>
        </w:rPr>
        <w:t xml:space="preserve"> correctly reflect the intended order for the topics within Built Heritage.  </w:t>
      </w:r>
    </w:p>
    <w:p w14:paraId="69F70687" w14:textId="77777777" w:rsidR="00A866EC" w:rsidRPr="005A0927" w:rsidRDefault="00A866EC" w:rsidP="00A866EC">
      <w:pPr>
        <w:rPr>
          <w:rFonts w:cstheme="minorHAnsi"/>
        </w:rPr>
      </w:pPr>
    </w:p>
    <w:p w14:paraId="44C25504"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 xml:space="preserve">3.5.4 Architectural Conservation, Adaptability and Placemaking </w:t>
      </w:r>
    </w:p>
    <w:p w14:paraId="6E444A79"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 xml:space="preserve">NATURAL, CULTURAL AND BUILT HERITAGE (NCBH) Policy 21: Architectural Conservation and Design </w:t>
      </w:r>
    </w:p>
    <w:p w14:paraId="4CEA03DC"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NATURAL, CULTURAL AND BUILT HERITAGE (NCBH) Policy 22: Adapting and Reusing Historic Buildings</w:t>
      </w:r>
    </w:p>
    <w:p w14:paraId="48A2EB29"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NATURAL, CULTURAL AND BUILT HERITAGE (NCBH) Policy 23: Placemaking and the Historic Built Environment</w:t>
      </w:r>
    </w:p>
    <w:p w14:paraId="2D244E60"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NATURAL, CULTURAL AND BUILT HERITAGE (NCBH) Policy 24: Climate Change, Adaptation and Energy Efficiency in Traditional and Historic Buildings</w:t>
      </w:r>
    </w:p>
    <w:p w14:paraId="64DF817B"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3.5.5 Vernacular and Older Buildings, Estates and Streetscapes</w:t>
      </w:r>
    </w:p>
    <w:p w14:paraId="6D7725E5"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NATURAL, CULTURAL AND BUILT HERITAGE (NCBH) Policy 25: Vernacular/Traditional and Older Buildings, Estates and Streetscapes</w:t>
      </w:r>
    </w:p>
    <w:p w14:paraId="0EF5B6B5"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3.5.6 Features of Interest</w:t>
      </w:r>
    </w:p>
    <w:p w14:paraId="036F029E"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NATURAL, CULTURAL AND BUILT HERITAGE (NCBH) Policy 26: Features of Interest</w:t>
      </w:r>
    </w:p>
    <w:p w14:paraId="54C4181A" w14:textId="77777777" w:rsidR="00A866EC" w:rsidRPr="005A0927" w:rsidRDefault="00A866EC" w:rsidP="00A866EC">
      <w:pPr>
        <w:rPr>
          <w:rFonts w:cstheme="minorHAnsi"/>
          <w:b/>
          <w:bCs/>
          <w:strike/>
          <w:color w:val="FF0000"/>
          <w:sz w:val="24"/>
          <w:szCs w:val="24"/>
        </w:rPr>
      </w:pPr>
      <w:r w:rsidRPr="005A0927">
        <w:rPr>
          <w:rFonts w:cstheme="minorHAnsi"/>
          <w:b/>
          <w:bCs/>
          <w:strike/>
          <w:color w:val="FF0000"/>
          <w:sz w:val="24"/>
          <w:szCs w:val="24"/>
        </w:rPr>
        <w:t>3.6 CLIMATE ACTION AUDIT</w:t>
      </w:r>
    </w:p>
    <w:p w14:paraId="01DD79D6" w14:textId="77777777" w:rsidR="00A866EC" w:rsidRPr="005A0927" w:rsidRDefault="00A866EC" w:rsidP="00A866EC">
      <w:pPr>
        <w:rPr>
          <w:rFonts w:cstheme="minorHAnsi"/>
          <w:b/>
          <w:bCs/>
          <w:strike/>
          <w:color w:val="FF0000"/>
          <w:sz w:val="20"/>
          <w:szCs w:val="20"/>
        </w:rPr>
      </w:pPr>
    </w:p>
    <w:p w14:paraId="2897B8CC" w14:textId="77777777" w:rsidR="00A866EC" w:rsidRPr="005A0927" w:rsidRDefault="00A866EC" w:rsidP="00A866EC">
      <w:pPr>
        <w:rPr>
          <w:rFonts w:eastAsia="Source Sans Pro" w:cstheme="minorHAnsi"/>
          <w:b/>
          <w:bCs/>
          <w:color w:val="00B050"/>
          <w:sz w:val="24"/>
          <w:szCs w:val="24"/>
        </w:rPr>
      </w:pPr>
      <w:r w:rsidRPr="005A0927">
        <w:rPr>
          <w:rFonts w:cstheme="minorHAnsi"/>
          <w:b/>
          <w:bCs/>
          <w:color w:val="00B050"/>
          <w:sz w:val="24"/>
          <w:szCs w:val="24"/>
        </w:rPr>
        <w:t>3.5.4</w:t>
      </w:r>
      <w:r w:rsidRPr="005A0927">
        <w:rPr>
          <w:rFonts w:cstheme="minorHAnsi"/>
          <w:b/>
          <w:bCs/>
          <w:color w:val="00B050"/>
          <w:sz w:val="24"/>
          <w:szCs w:val="24"/>
        </w:rPr>
        <w:tab/>
        <w:t xml:space="preserve">Vernacular/Traditional and Older Buildings, Estates and Streetscapes  </w:t>
      </w:r>
    </w:p>
    <w:p w14:paraId="5F992A79" w14:textId="77777777" w:rsidR="00A866EC" w:rsidRPr="005A0927" w:rsidRDefault="00A866EC" w:rsidP="00A866EC">
      <w:pPr>
        <w:rPr>
          <w:rFonts w:cstheme="minorHAnsi"/>
          <w:b/>
          <w:bCs/>
          <w:color w:val="00B050"/>
          <w:sz w:val="24"/>
          <w:szCs w:val="24"/>
        </w:rPr>
      </w:pPr>
      <w:r w:rsidRPr="005A0927">
        <w:rPr>
          <w:rFonts w:cstheme="minorHAnsi"/>
          <w:b/>
          <w:bCs/>
          <w:color w:val="00B050"/>
          <w:sz w:val="24"/>
          <w:szCs w:val="24"/>
        </w:rPr>
        <w:t xml:space="preserve">POLICY NCBH 21: VERNACULAR/TRADITIONAL AND OLDER BUILDINGS, ESTATES AND STREETSCAPES  </w:t>
      </w:r>
    </w:p>
    <w:p w14:paraId="11FF55ED" w14:textId="77777777" w:rsidR="00A866EC" w:rsidRPr="005A0927" w:rsidRDefault="00A866EC" w:rsidP="00A866EC">
      <w:pPr>
        <w:rPr>
          <w:rFonts w:cstheme="minorHAnsi"/>
          <w:b/>
          <w:bCs/>
          <w:color w:val="00B050"/>
          <w:sz w:val="24"/>
          <w:szCs w:val="24"/>
        </w:rPr>
      </w:pPr>
      <w:r w:rsidRPr="005A0927">
        <w:rPr>
          <w:rFonts w:cstheme="minorHAnsi"/>
          <w:b/>
          <w:bCs/>
          <w:color w:val="00B050"/>
          <w:sz w:val="24"/>
          <w:szCs w:val="24"/>
        </w:rPr>
        <w:lastRenderedPageBreak/>
        <w:t>3.5.5 Features of Interest</w:t>
      </w:r>
    </w:p>
    <w:p w14:paraId="0B902324" w14:textId="77777777" w:rsidR="00A866EC" w:rsidRPr="005A0927" w:rsidRDefault="00A866EC" w:rsidP="00A866EC">
      <w:pPr>
        <w:rPr>
          <w:rFonts w:cstheme="minorHAnsi"/>
          <w:b/>
          <w:bCs/>
          <w:color w:val="00B050"/>
          <w:sz w:val="24"/>
          <w:szCs w:val="24"/>
        </w:rPr>
      </w:pPr>
      <w:r w:rsidRPr="005A0927">
        <w:rPr>
          <w:rFonts w:cstheme="minorHAnsi"/>
          <w:b/>
          <w:bCs/>
          <w:color w:val="00B050"/>
          <w:sz w:val="24"/>
          <w:szCs w:val="24"/>
        </w:rPr>
        <w:t>NCBH POLICY 22: FEATURES OF INTEREST</w:t>
      </w:r>
    </w:p>
    <w:p w14:paraId="33A0DED7" w14:textId="77777777" w:rsidR="00A866EC" w:rsidRPr="005A0927" w:rsidRDefault="00A866EC" w:rsidP="00A866EC">
      <w:pPr>
        <w:rPr>
          <w:rFonts w:cstheme="minorHAnsi"/>
          <w:b/>
          <w:bCs/>
          <w:color w:val="00B050"/>
          <w:sz w:val="28"/>
          <w:szCs w:val="28"/>
        </w:rPr>
      </w:pPr>
      <w:r w:rsidRPr="005A0927">
        <w:rPr>
          <w:rFonts w:cstheme="minorHAnsi"/>
          <w:b/>
          <w:bCs/>
          <w:color w:val="00B050"/>
          <w:sz w:val="28"/>
          <w:szCs w:val="28"/>
        </w:rPr>
        <w:t>3.6</w:t>
      </w:r>
      <w:r w:rsidRPr="005A0927">
        <w:rPr>
          <w:rFonts w:cstheme="minorHAnsi"/>
          <w:b/>
          <w:bCs/>
          <w:color w:val="00B050"/>
          <w:sz w:val="28"/>
          <w:szCs w:val="28"/>
        </w:rPr>
        <w:tab/>
        <w:t xml:space="preserve">Architectural Conservation, Adaptability and Placemaking </w:t>
      </w:r>
    </w:p>
    <w:p w14:paraId="3D91B1E0" w14:textId="77777777" w:rsidR="00A866EC" w:rsidRPr="005A0927" w:rsidRDefault="00A866EC" w:rsidP="00A866EC">
      <w:pPr>
        <w:rPr>
          <w:rFonts w:eastAsia="Source Sans Pro" w:cstheme="minorHAnsi"/>
          <w:b/>
          <w:bCs/>
          <w:color w:val="00B050"/>
          <w:sz w:val="24"/>
          <w:szCs w:val="24"/>
        </w:rPr>
      </w:pPr>
      <w:r w:rsidRPr="005A0927">
        <w:rPr>
          <w:rFonts w:cstheme="minorHAnsi"/>
          <w:b/>
          <w:bCs/>
          <w:color w:val="00B050"/>
          <w:sz w:val="24"/>
          <w:szCs w:val="24"/>
        </w:rPr>
        <w:t xml:space="preserve">POLICY NCBH 23: </w:t>
      </w:r>
      <w:r w:rsidRPr="005A0927">
        <w:rPr>
          <w:rFonts w:eastAsia="Source Sans Pro" w:cstheme="minorHAnsi"/>
          <w:b/>
          <w:bCs/>
          <w:color w:val="00B050"/>
          <w:sz w:val="24"/>
          <w:szCs w:val="24"/>
        </w:rPr>
        <w:t xml:space="preserve">ARCHITECTURAL CONSERVATION AND DESIGN </w:t>
      </w:r>
    </w:p>
    <w:p w14:paraId="1961BB10" w14:textId="77777777" w:rsidR="00A866EC" w:rsidRPr="005A0927" w:rsidRDefault="00A866EC" w:rsidP="00A866EC">
      <w:pPr>
        <w:rPr>
          <w:rFonts w:eastAsia="Source Sans Pro" w:cstheme="minorHAnsi"/>
          <w:b/>
          <w:bCs/>
          <w:color w:val="00B050"/>
          <w:sz w:val="24"/>
          <w:szCs w:val="24"/>
        </w:rPr>
      </w:pPr>
      <w:r w:rsidRPr="005A0927">
        <w:rPr>
          <w:rFonts w:eastAsia="Source Sans Pro" w:cstheme="minorHAnsi"/>
          <w:b/>
          <w:bCs/>
          <w:color w:val="00B050"/>
          <w:sz w:val="24"/>
          <w:szCs w:val="24"/>
        </w:rPr>
        <w:t>3.6.1</w:t>
      </w:r>
      <w:r w:rsidRPr="005A0927">
        <w:rPr>
          <w:rFonts w:eastAsia="Source Sans Pro" w:cstheme="minorHAnsi"/>
          <w:b/>
          <w:bCs/>
          <w:color w:val="00B050"/>
          <w:sz w:val="24"/>
          <w:szCs w:val="24"/>
        </w:rPr>
        <w:tab/>
        <w:t>Adapting and Reusing Historic Buildings</w:t>
      </w:r>
    </w:p>
    <w:p w14:paraId="555222BD" w14:textId="77777777" w:rsidR="00A866EC" w:rsidRPr="005A0927" w:rsidRDefault="00A866EC" w:rsidP="00A866EC">
      <w:pPr>
        <w:rPr>
          <w:rFonts w:cstheme="minorHAnsi"/>
          <w:b/>
          <w:bCs/>
          <w:color w:val="00B050"/>
          <w:sz w:val="24"/>
          <w:szCs w:val="24"/>
        </w:rPr>
      </w:pPr>
      <w:r w:rsidRPr="005A0927">
        <w:rPr>
          <w:rFonts w:cstheme="minorHAnsi"/>
          <w:b/>
          <w:bCs/>
          <w:color w:val="00B050"/>
          <w:sz w:val="24"/>
          <w:szCs w:val="24"/>
        </w:rPr>
        <w:t>POLICY NCBH 24: ADAPTING AND REUSING HISTORIC BUILDINGS</w:t>
      </w:r>
    </w:p>
    <w:p w14:paraId="4B0B82E7" w14:textId="77777777" w:rsidR="00A866EC" w:rsidRPr="005A0927" w:rsidRDefault="00A866EC" w:rsidP="00A866EC">
      <w:pPr>
        <w:rPr>
          <w:rFonts w:eastAsia="Source Sans Pro" w:cstheme="minorHAnsi"/>
          <w:b/>
          <w:bCs/>
          <w:color w:val="00B050"/>
          <w:sz w:val="24"/>
          <w:szCs w:val="24"/>
        </w:rPr>
      </w:pPr>
      <w:r w:rsidRPr="005A0927">
        <w:rPr>
          <w:rFonts w:eastAsia="Source Sans Pro" w:cstheme="minorHAnsi"/>
          <w:b/>
          <w:bCs/>
          <w:color w:val="00B050"/>
          <w:sz w:val="24"/>
          <w:szCs w:val="24"/>
        </w:rPr>
        <w:t>3.6.2</w:t>
      </w:r>
      <w:r w:rsidRPr="005A0927">
        <w:rPr>
          <w:rFonts w:eastAsia="Source Sans Pro" w:cstheme="minorHAnsi"/>
          <w:b/>
          <w:bCs/>
          <w:color w:val="00B050"/>
          <w:sz w:val="24"/>
          <w:szCs w:val="24"/>
        </w:rPr>
        <w:tab/>
        <w:t xml:space="preserve">Placemaking and the Historic Built Environment </w:t>
      </w:r>
    </w:p>
    <w:p w14:paraId="13A9B462" w14:textId="77777777" w:rsidR="00A866EC" w:rsidRPr="005A0927" w:rsidRDefault="00A866EC" w:rsidP="00A866EC">
      <w:pPr>
        <w:rPr>
          <w:rFonts w:cstheme="minorHAnsi"/>
          <w:b/>
          <w:bCs/>
          <w:color w:val="00B050"/>
          <w:sz w:val="24"/>
          <w:szCs w:val="24"/>
        </w:rPr>
      </w:pPr>
      <w:r w:rsidRPr="005A0927">
        <w:rPr>
          <w:rFonts w:cstheme="minorHAnsi"/>
          <w:b/>
          <w:bCs/>
          <w:color w:val="00B050"/>
          <w:sz w:val="24"/>
          <w:szCs w:val="24"/>
        </w:rPr>
        <w:t xml:space="preserve">POLICY NCBH 25: PLACEMAKING AND THE HISTORIC BUILT ENVIRONMENT </w:t>
      </w:r>
    </w:p>
    <w:p w14:paraId="7079CC9F" w14:textId="77777777" w:rsidR="00A866EC" w:rsidRPr="005A0927" w:rsidRDefault="00A866EC" w:rsidP="00A866EC">
      <w:pPr>
        <w:rPr>
          <w:rFonts w:eastAsia="Source Sans Pro" w:cstheme="minorHAnsi"/>
          <w:b/>
          <w:bCs/>
          <w:color w:val="00B050"/>
          <w:sz w:val="24"/>
          <w:szCs w:val="24"/>
          <w:lang w:val="en-GB"/>
        </w:rPr>
      </w:pPr>
      <w:r w:rsidRPr="005A0927">
        <w:rPr>
          <w:rFonts w:eastAsia="Source Sans Pro" w:cstheme="minorHAnsi"/>
          <w:b/>
          <w:bCs/>
          <w:color w:val="00B050"/>
          <w:sz w:val="24"/>
          <w:szCs w:val="24"/>
          <w:lang w:val="en-GB"/>
        </w:rPr>
        <w:t>3.6.3</w:t>
      </w:r>
      <w:r w:rsidRPr="005A0927">
        <w:rPr>
          <w:rFonts w:eastAsia="Source Sans Pro" w:cstheme="minorHAnsi"/>
          <w:b/>
          <w:bCs/>
          <w:color w:val="00B050"/>
          <w:sz w:val="24"/>
          <w:szCs w:val="24"/>
          <w:lang w:val="en-GB"/>
        </w:rPr>
        <w:tab/>
        <w:t>Climate Change Adaptation and Energy Efficiency in Historic Buildings</w:t>
      </w:r>
    </w:p>
    <w:p w14:paraId="0BABD25F" w14:textId="77777777" w:rsidR="00A866EC" w:rsidRPr="005A0927" w:rsidRDefault="00A866EC" w:rsidP="00A866EC">
      <w:pPr>
        <w:rPr>
          <w:rFonts w:cstheme="minorHAnsi"/>
          <w:b/>
          <w:bCs/>
          <w:color w:val="00B050"/>
          <w:sz w:val="24"/>
          <w:szCs w:val="24"/>
        </w:rPr>
      </w:pPr>
      <w:r w:rsidRPr="005A0927">
        <w:rPr>
          <w:rFonts w:cstheme="minorHAnsi"/>
          <w:b/>
          <w:bCs/>
          <w:color w:val="00B050"/>
          <w:sz w:val="24"/>
          <w:szCs w:val="24"/>
        </w:rPr>
        <w:t xml:space="preserve">POLICY NCBH 26: CLIMATE CHANGE, ADAPTATION AND ENERGY EFFICIENCY IN TRADITIONAL AND HISTORIC BUILDINGS </w:t>
      </w:r>
    </w:p>
    <w:p w14:paraId="59B23B7C" w14:textId="77777777" w:rsidR="00A866EC" w:rsidRPr="005A0927" w:rsidRDefault="00A866EC" w:rsidP="00A866EC">
      <w:pPr>
        <w:rPr>
          <w:rFonts w:cstheme="minorHAnsi"/>
          <w:b/>
          <w:bCs/>
          <w:color w:val="00B050"/>
          <w:sz w:val="24"/>
          <w:szCs w:val="24"/>
        </w:rPr>
      </w:pPr>
      <w:r w:rsidRPr="005A0927">
        <w:rPr>
          <w:rFonts w:cstheme="minorHAnsi"/>
          <w:b/>
          <w:bCs/>
          <w:color w:val="00B050"/>
          <w:sz w:val="24"/>
          <w:szCs w:val="24"/>
        </w:rPr>
        <w:t>3.7 CLIMATE ACTION AUDIT</w:t>
      </w:r>
    </w:p>
    <w:p w14:paraId="25A0EDFF" w14:textId="77777777" w:rsidR="00A866EC" w:rsidRPr="005A0927" w:rsidRDefault="00A866EC" w:rsidP="00A866EC">
      <w:pPr>
        <w:rPr>
          <w:rFonts w:cstheme="minorHAnsi"/>
          <w:b/>
          <w:bCs/>
          <w:sz w:val="20"/>
          <w:szCs w:val="20"/>
        </w:rPr>
      </w:pPr>
    </w:p>
    <w:p w14:paraId="29D72355"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4 – Green Infrastructure</w:t>
      </w:r>
    </w:p>
    <w:p w14:paraId="3D734999" w14:textId="77777777" w:rsidR="00A866EC" w:rsidRPr="005A0927" w:rsidRDefault="00A866EC" w:rsidP="00A866EC">
      <w:pPr>
        <w:rPr>
          <w:rFonts w:cstheme="minorHAnsi"/>
          <w:sz w:val="28"/>
          <w:szCs w:val="28"/>
          <w:lang w:val="en-GB"/>
        </w:rPr>
      </w:pPr>
      <w:r w:rsidRPr="005A0927">
        <w:rPr>
          <w:rFonts w:cstheme="minorHAnsi"/>
          <w:sz w:val="28"/>
          <w:szCs w:val="28"/>
          <w:lang w:val="en-GB"/>
        </w:rPr>
        <w:t>N/A</w:t>
      </w:r>
    </w:p>
    <w:p w14:paraId="0ADB44A2"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5 – Quality Design and Healthy Placemaking</w:t>
      </w:r>
    </w:p>
    <w:p w14:paraId="18E4AA5C" w14:textId="77777777" w:rsidR="00A866EC" w:rsidRPr="005A0927" w:rsidRDefault="00A866EC" w:rsidP="00A866EC">
      <w:pPr>
        <w:rPr>
          <w:rFonts w:cstheme="minorHAnsi"/>
          <w:sz w:val="28"/>
          <w:szCs w:val="28"/>
          <w:lang w:val="en-GB"/>
        </w:rPr>
      </w:pPr>
      <w:r w:rsidRPr="005A0927">
        <w:rPr>
          <w:rFonts w:cstheme="minorHAnsi"/>
          <w:sz w:val="28"/>
          <w:szCs w:val="28"/>
          <w:lang w:val="en-GB"/>
        </w:rPr>
        <w:t>N/A</w:t>
      </w:r>
    </w:p>
    <w:p w14:paraId="1768450B"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6 – Housing</w:t>
      </w:r>
    </w:p>
    <w:p w14:paraId="162D84A0" w14:textId="77777777" w:rsidR="00A866EC" w:rsidRPr="006E15B0" w:rsidRDefault="00A866EC" w:rsidP="00A866EC">
      <w:pPr>
        <w:rPr>
          <w:rFonts w:cstheme="minorHAnsi"/>
          <w:b/>
          <w:bCs/>
          <w:sz w:val="24"/>
          <w:szCs w:val="24"/>
          <w:lang w:val="en-GB"/>
        </w:rPr>
      </w:pPr>
      <w:r w:rsidRPr="006E15B0">
        <w:rPr>
          <w:rFonts w:cstheme="minorHAnsi"/>
          <w:b/>
          <w:bCs/>
          <w:sz w:val="24"/>
          <w:szCs w:val="24"/>
          <w:lang w:val="en-GB"/>
        </w:rPr>
        <w:t>CE Amendment 4:</w:t>
      </w:r>
    </w:p>
    <w:p w14:paraId="6B45A87E" w14:textId="77777777" w:rsidR="00A866EC" w:rsidRPr="005A0927" w:rsidRDefault="00A866EC" w:rsidP="00A866EC">
      <w:pPr>
        <w:rPr>
          <w:rFonts w:cstheme="minorHAnsi"/>
          <w:lang w:val="en-GB"/>
        </w:rPr>
      </w:pPr>
      <w:r w:rsidRPr="005A0927">
        <w:rPr>
          <w:rFonts w:cstheme="minorHAnsi"/>
          <w:b/>
          <w:bCs/>
          <w:lang w:val="en-GB"/>
        </w:rPr>
        <w:t>Recommendation</w:t>
      </w:r>
      <w:r w:rsidRPr="005A0927">
        <w:rPr>
          <w:rFonts w:cstheme="minorHAnsi"/>
          <w:lang w:val="en-GB"/>
        </w:rPr>
        <w:t xml:space="preserve">: To correct Housing Policy 1, Objective 2 </w:t>
      </w:r>
    </w:p>
    <w:p w14:paraId="6A5DD6B8" w14:textId="77777777" w:rsidR="00A866EC" w:rsidRPr="005A0927" w:rsidRDefault="00A866EC" w:rsidP="00A866EC">
      <w:pPr>
        <w:rPr>
          <w:rFonts w:cstheme="minorHAnsi"/>
          <w:lang w:val="en-GB"/>
        </w:rPr>
      </w:pPr>
      <w:r w:rsidRPr="005A0927">
        <w:rPr>
          <w:rFonts w:cstheme="minorHAnsi"/>
          <w:lang w:val="en-GB"/>
        </w:rPr>
        <w:t xml:space="preserve">To require that 10% of lands zoned for residential use, or for a mixture of residential and other uses for development of 9 or </w:t>
      </w:r>
      <w:r w:rsidRPr="005A0927">
        <w:rPr>
          <w:rFonts w:cstheme="minorHAnsi"/>
          <w:b/>
          <w:bCs/>
          <w:strike/>
          <w:color w:val="FF0000"/>
          <w:lang w:val="en-GB"/>
        </w:rPr>
        <w:t>fewer</w:t>
      </w:r>
      <w:r w:rsidRPr="005A0927">
        <w:rPr>
          <w:rFonts w:cstheme="minorHAnsi"/>
          <w:color w:val="FF0000"/>
          <w:lang w:val="en-GB"/>
        </w:rPr>
        <w:t xml:space="preserve"> </w:t>
      </w:r>
      <w:r w:rsidRPr="005A0927">
        <w:rPr>
          <w:rFonts w:cstheme="minorHAnsi"/>
          <w:b/>
          <w:bCs/>
          <w:color w:val="00B050"/>
          <w:lang w:val="en-GB"/>
        </w:rPr>
        <w:t>more</w:t>
      </w:r>
      <w:r w:rsidRPr="005A0927">
        <w:rPr>
          <w:rFonts w:cstheme="minorHAnsi"/>
          <w:lang w:val="en-GB"/>
        </w:rPr>
        <w:t xml:space="preserve"> </w:t>
      </w:r>
      <w:r w:rsidRPr="005A0927">
        <w:rPr>
          <w:rFonts w:cstheme="minorHAnsi"/>
          <w:b/>
          <w:bCs/>
          <w:strike/>
          <w:color w:val="FF0000"/>
          <w:lang w:val="en-GB"/>
        </w:rPr>
        <w:t>houses</w:t>
      </w:r>
      <w:r w:rsidRPr="005A0927">
        <w:rPr>
          <w:rFonts w:cstheme="minorHAnsi"/>
          <w:lang w:val="en-GB"/>
        </w:rPr>
        <w:t xml:space="preserve"> units or development of </w:t>
      </w:r>
      <w:r w:rsidRPr="005A0927">
        <w:rPr>
          <w:rFonts w:cstheme="minorHAnsi"/>
          <w:b/>
          <w:bCs/>
          <w:strike/>
          <w:color w:val="FF0000"/>
          <w:lang w:val="en-GB"/>
        </w:rPr>
        <w:t>houses</w:t>
      </w:r>
      <w:r w:rsidRPr="005A0927">
        <w:rPr>
          <w:rFonts w:cstheme="minorHAnsi"/>
          <w:lang w:val="en-GB"/>
        </w:rPr>
        <w:t xml:space="preserve"> units on land </w:t>
      </w:r>
      <w:r w:rsidRPr="005A0927">
        <w:rPr>
          <w:rFonts w:cstheme="minorHAnsi"/>
          <w:b/>
          <w:bCs/>
          <w:strike/>
          <w:color w:val="FF0000"/>
          <w:lang w:val="en-GB"/>
        </w:rPr>
        <w:t>less</w:t>
      </w:r>
      <w:r w:rsidRPr="005A0927">
        <w:rPr>
          <w:rFonts w:cstheme="minorHAnsi"/>
          <w:lang w:val="en-GB"/>
        </w:rPr>
        <w:t xml:space="preserve"> </w:t>
      </w:r>
      <w:r w:rsidRPr="005A0927">
        <w:rPr>
          <w:rFonts w:cstheme="minorHAnsi"/>
          <w:b/>
          <w:bCs/>
          <w:color w:val="00B050"/>
          <w:lang w:val="en-GB"/>
        </w:rPr>
        <w:t xml:space="preserve">greater </w:t>
      </w:r>
      <w:r w:rsidRPr="005A0927">
        <w:rPr>
          <w:rFonts w:cstheme="minorHAnsi"/>
          <w:lang w:val="en-GB"/>
        </w:rPr>
        <w:t>than 0.1 hectares (or relevant figures as may be revised by legislation) be reserved for social and affordable housing in accordance with the Urban Regeneration and Housing Act 2015 and the Planning and Development Act 2000 (as amended).’</w:t>
      </w:r>
    </w:p>
    <w:p w14:paraId="2D032EE1" w14:textId="77777777" w:rsidR="00A866EC" w:rsidRPr="005A0927" w:rsidRDefault="00A866EC" w:rsidP="00A866EC">
      <w:pPr>
        <w:rPr>
          <w:rFonts w:cstheme="minorHAnsi"/>
          <w:lang w:val="en-GB"/>
        </w:rPr>
      </w:pPr>
      <w:r w:rsidRPr="005A0927">
        <w:rPr>
          <w:rFonts w:cstheme="minorHAnsi"/>
          <w:b/>
          <w:bCs/>
          <w:lang w:val="en-GB"/>
        </w:rPr>
        <w:t>Reason</w:t>
      </w:r>
      <w:r w:rsidRPr="005A0927">
        <w:rPr>
          <w:rFonts w:cstheme="minorHAnsi"/>
          <w:lang w:val="en-GB"/>
        </w:rPr>
        <w:t>: This was an error in the translation of the relevant section of the Planning and Development Acts</w:t>
      </w:r>
      <w:r>
        <w:rPr>
          <w:rFonts w:cstheme="minorHAnsi"/>
          <w:lang w:val="en-GB"/>
        </w:rPr>
        <w:t>.</w:t>
      </w:r>
    </w:p>
    <w:p w14:paraId="6E2A4600"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7 – Sustainable Movement</w:t>
      </w:r>
    </w:p>
    <w:p w14:paraId="66CC6D27" w14:textId="77777777" w:rsidR="00A866EC" w:rsidRPr="006E15B0" w:rsidRDefault="00A866EC" w:rsidP="00A866EC">
      <w:pPr>
        <w:rPr>
          <w:rFonts w:cstheme="minorHAnsi"/>
          <w:b/>
          <w:bCs/>
          <w:sz w:val="24"/>
          <w:szCs w:val="24"/>
        </w:rPr>
      </w:pPr>
      <w:r w:rsidRPr="006E15B0">
        <w:rPr>
          <w:rFonts w:cstheme="minorHAnsi"/>
          <w:b/>
          <w:bCs/>
          <w:sz w:val="24"/>
          <w:szCs w:val="24"/>
        </w:rPr>
        <w:t>CE Amendment 5:</w:t>
      </w:r>
    </w:p>
    <w:p w14:paraId="4B845473" w14:textId="77777777" w:rsidR="00A866EC" w:rsidRDefault="00A866EC" w:rsidP="00A866EC">
      <w:pPr>
        <w:rPr>
          <w:rFonts w:cstheme="minorHAnsi"/>
          <w:b/>
          <w:bCs/>
        </w:rPr>
      </w:pPr>
      <w:r w:rsidRPr="005A0927">
        <w:rPr>
          <w:rFonts w:cstheme="minorHAnsi"/>
          <w:b/>
          <w:bCs/>
        </w:rPr>
        <w:t>Recommendation: To amend the text on page 186 first paragraph</w:t>
      </w:r>
      <w:r>
        <w:rPr>
          <w:rFonts w:cstheme="minorHAnsi"/>
          <w:b/>
          <w:bCs/>
        </w:rPr>
        <w:t>, as follows:</w:t>
      </w:r>
    </w:p>
    <w:p w14:paraId="2EA88D1B" w14:textId="77777777" w:rsidR="00A866EC" w:rsidRPr="000470D0" w:rsidRDefault="00A866EC" w:rsidP="00A866EC">
      <w:pPr>
        <w:rPr>
          <w:rFonts w:cstheme="minorHAnsi"/>
          <w:b/>
          <w:bCs/>
        </w:rPr>
      </w:pPr>
      <w:r>
        <w:rPr>
          <w:rFonts w:ascii="Source Sans Pro" w:hAnsi="Source Sans Pro"/>
          <w:b/>
          <w:bCs/>
          <w:strike/>
          <w:color w:val="FF0000"/>
          <w:sz w:val="20"/>
          <w:szCs w:val="20"/>
        </w:rPr>
        <w:lastRenderedPageBreak/>
        <w:t xml:space="preserve">‘To achieve the above, the studies identify a list of potential projects within the County, some of which are reflected in Chapter 12 </w:t>
      </w:r>
      <w:r>
        <w:rPr>
          <w:rFonts w:ascii="Source Sans Pro" w:hAnsi="Source Sans Pro"/>
          <w:b/>
          <w:bCs/>
          <w:i/>
          <w:iCs/>
          <w:strike/>
          <w:color w:val="FF0000"/>
          <w:sz w:val="20"/>
          <w:szCs w:val="20"/>
        </w:rPr>
        <w:t>Our Neighbourhoods</w:t>
      </w:r>
      <w:r>
        <w:rPr>
          <w:rFonts w:ascii="Source Sans Pro" w:hAnsi="Source Sans Pro"/>
          <w:b/>
          <w:bCs/>
          <w:strike/>
          <w:color w:val="FF0000"/>
          <w:sz w:val="20"/>
          <w:szCs w:val="20"/>
        </w:rPr>
        <w:t xml:space="preserve"> and which are also set out in a report to accompany this Development Plan entitled </w:t>
      </w:r>
      <w:r>
        <w:rPr>
          <w:rFonts w:ascii="Source Sans Pro" w:hAnsi="Source Sans Pro"/>
          <w:b/>
          <w:bCs/>
          <w:i/>
          <w:iCs/>
          <w:strike/>
          <w:color w:val="FF0000"/>
          <w:sz w:val="20"/>
          <w:szCs w:val="20"/>
        </w:rPr>
        <w:t>Sustainable Movement Studies’</w:t>
      </w:r>
      <w:r>
        <w:rPr>
          <w:rFonts w:ascii="Source Sans Pro" w:hAnsi="Source Sans Pro"/>
          <w:b/>
          <w:bCs/>
          <w:strike/>
          <w:color w:val="FF0000"/>
          <w:sz w:val="20"/>
          <w:szCs w:val="20"/>
        </w:rPr>
        <w:t xml:space="preserve">.  </w:t>
      </w:r>
    </w:p>
    <w:p w14:paraId="133A09AC" w14:textId="77777777" w:rsidR="00A866EC" w:rsidRDefault="00A866EC" w:rsidP="00A866EC">
      <w:pPr>
        <w:rPr>
          <w:b/>
          <w:bCs/>
          <w:color w:val="00B050"/>
        </w:rPr>
      </w:pPr>
      <w:r>
        <w:rPr>
          <w:b/>
          <w:bCs/>
          <w:color w:val="00B050"/>
        </w:rPr>
        <w:t xml:space="preserve">‘The studies have identified a number of potential projects within the County which will be set out in a Sustainable Movement Report for the County which will accompany the Plan’. </w:t>
      </w:r>
    </w:p>
    <w:p w14:paraId="3491BC30" w14:textId="77777777" w:rsidR="00A866EC" w:rsidRPr="005A0927" w:rsidRDefault="00A866EC" w:rsidP="00A866EC">
      <w:pPr>
        <w:rPr>
          <w:rFonts w:cstheme="minorHAnsi"/>
        </w:rPr>
      </w:pPr>
      <w:r w:rsidRPr="005A0927">
        <w:rPr>
          <w:rFonts w:cstheme="minorHAnsi"/>
          <w:b/>
          <w:bCs/>
        </w:rPr>
        <w:t>Reason:</w:t>
      </w:r>
      <w:r w:rsidRPr="005A0927">
        <w:rPr>
          <w:rFonts w:cstheme="minorHAnsi"/>
        </w:rPr>
        <w:t xml:space="preserve"> </w:t>
      </w:r>
    </w:p>
    <w:p w14:paraId="55ED59D3" w14:textId="77777777" w:rsidR="00A866EC" w:rsidRPr="005A0927" w:rsidRDefault="00A866EC" w:rsidP="00A866EC">
      <w:pPr>
        <w:rPr>
          <w:rFonts w:cstheme="minorHAnsi"/>
          <w:b/>
          <w:bCs/>
          <w:lang w:val="en-GB"/>
        </w:rPr>
      </w:pPr>
      <w:r w:rsidRPr="005A0927">
        <w:rPr>
          <w:rFonts w:cstheme="minorHAnsi"/>
        </w:rPr>
        <w:t xml:space="preserve">To </w:t>
      </w:r>
      <w:proofErr w:type="gramStart"/>
      <w:r w:rsidRPr="005A0927">
        <w:rPr>
          <w:rFonts w:cstheme="minorHAnsi"/>
        </w:rPr>
        <w:t>more</w:t>
      </w:r>
      <w:r w:rsidRPr="005A0927">
        <w:rPr>
          <w:rFonts w:cstheme="minorHAnsi"/>
          <w:b/>
          <w:bCs/>
        </w:rPr>
        <w:t xml:space="preserve"> </w:t>
      </w:r>
      <w:r w:rsidRPr="005A0927">
        <w:rPr>
          <w:rFonts w:cstheme="minorHAnsi"/>
        </w:rPr>
        <w:t>correctly reflect the timeframe</w:t>
      </w:r>
      <w:proofErr w:type="gramEnd"/>
      <w:r w:rsidRPr="005A0927">
        <w:rPr>
          <w:rFonts w:cstheme="minorHAnsi"/>
        </w:rPr>
        <w:t xml:space="preserve"> for the Sustainable Movement Studies document. </w:t>
      </w:r>
    </w:p>
    <w:p w14:paraId="0D9BCC12" w14:textId="77777777" w:rsidR="00A866EC" w:rsidRPr="005A0927" w:rsidRDefault="00A866EC" w:rsidP="00A866EC">
      <w:pPr>
        <w:rPr>
          <w:rFonts w:cstheme="minorHAnsi"/>
          <w:b/>
          <w:bCs/>
          <w:lang w:val="en-GB"/>
        </w:rPr>
      </w:pPr>
    </w:p>
    <w:p w14:paraId="2CF08EE7"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8 – Community Infrastructure and Open Space</w:t>
      </w:r>
    </w:p>
    <w:p w14:paraId="23A70EE2" w14:textId="77777777" w:rsidR="00A866EC" w:rsidRPr="00EB1E0C" w:rsidRDefault="00A866EC" w:rsidP="00A866EC">
      <w:pPr>
        <w:rPr>
          <w:rFonts w:cstheme="minorHAnsi"/>
          <w:b/>
          <w:bCs/>
          <w:sz w:val="24"/>
          <w:szCs w:val="24"/>
          <w:lang w:val="en-GB"/>
        </w:rPr>
      </w:pPr>
      <w:r w:rsidRPr="00EB1E0C">
        <w:rPr>
          <w:rFonts w:cstheme="minorHAnsi"/>
          <w:b/>
          <w:bCs/>
          <w:sz w:val="24"/>
          <w:szCs w:val="24"/>
          <w:lang w:val="en-GB"/>
        </w:rPr>
        <w:t xml:space="preserve">CE Amendment </w:t>
      </w:r>
      <w:r>
        <w:rPr>
          <w:rFonts w:cstheme="minorHAnsi"/>
          <w:b/>
          <w:bCs/>
          <w:sz w:val="24"/>
          <w:szCs w:val="24"/>
          <w:lang w:val="en-GB"/>
        </w:rPr>
        <w:t>6:</w:t>
      </w:r>
    </w:p>
    <w:p w14:paraId="5AF2BB35" w14:textId="77777777" w:rsidR="00A866EC" w:rsidRPr="00D56C8C" w:rsidRDefault="00A866EC" w:rsidP="00A866EC">
      <w:pPr>
        <w:rPr>
          <w:rFonts w:cstheme="minorHAnsi"/>
          <w:lang w:val="en-GB"/>
        </w:rPr>
      </w:pPr>
      <w:r w:rsidRPr="00D56C8C">
        <w:rPr>
          <w:rFonts w:cstheme="minorHAnsi"/>
          <w:b/>
          <w:bCs/>
          <w:lang w:val="en-GB"/>
        </w:rPr>
        <w:t>Recommendation</w:t>
      </w:r>
      <w:r w:rsidRPr="00D56C8C">
        <w:rPr>
          <w:rFonts w:cstheme="minorHAnsi"/>
          <w:lang w:val="en-GB"/>
        </w:rPr>
        <w:t>: Amend COS 5 SLO 1</w:t>
      </w:r>
    </w:p>
    <w:p w14:paraId="2D04C88E" w14:textId="77777777" w:rsidR="00A866EC" w:rsidRPr="00D56C8C" w:rsidRDefault="00A866EC" w:rsidP="00A866EC">
      <w:pPr>
        <w:pStyle w:val="NormalWeb"/>
        <w:rPr>
          <w:rStyle w:val="Strong"/>
          <w:rFonts w:asciiTheme="minorHAnsi" w:hAnsiTheme="minorHAnsi" w:cstheme="minorHAnsi"/>
        </w:rPr>
      </w:pPr>
      <w:r w:rsidRPr="00D56C8C">
        <w:rPr>
          <w:rStyle w:val="Strong"/>
          <w:rFonts w:asciiTheme="minorHAnsi" w:hAnsiTheme="minorHAnsi" w:cstheme="minorHAnsi"/>
        </w:rPr>
        <w:t>From:</w:t>
      </w:r>
    </w:p>
    <w:p w14:paraId="2B8EC36F" w14:textId="77777777" w:rsidR="00A866EC" w:rsidRPr="00D56C8C" w:rsidRDefault="00A866EC" w:rsidP="00A866EC">
      <w:pPr>
        <w:pStyle w:val="NormalWeb"/>
        <w:rPr>
          <w:rFonts w:asciiTheme="minorHAnsi" w:hAnsiTheme="minorHAnsi" w:cstheme="minorHAnsi"/>
        </w:rPr>
      </w:pPr>
      <w:r w:rsidRPr="00D56C8C">
        <w:rPr>
          <w:rStyle w:val="Strong"/>
          <w:rFonts w:asciiTheme="minorHAnsi" w:hAnsiTheme="minorHAnsi" w:cstheme="minorHAnsi"/>
        </w:rPr>
        <w:t>COS 5 SLO1:</w:t>
      </w:r>
      <w:r w:rsidRPr="00D56C8C">
        <w:rPr>
          <w:rFonts w:asciiTheme="minorHAnsi" w:hAnsiTheme="minorHAnsi" w:cstheme="minorHAnsi"/>
        </w:rPr>
        <w:t xml:space="preserve"> </w:t>
      </w:r>
    </w:p>
    <w:p w14:paraId="1EEC369E" w14:textId="77777777" w:rsidR="00A866EC" w:rsidRPr="00D56C8C" w:rsidRDefault="00A866EC" w:rsidP="00A866EC">
      <w:pPr>
        <w:pStyle w:val="NormalWeb"/>
        <w:rPr>
          <w:rFonts w:asciiTheme="minorHAnsi" w:hAnsiTheme="minorHAnsi" w:cstheme="minorHAnsi"/>
        </w:rPr>
      </w:pPr>
      <w:r>
        <w:rPr>
          <w:rFonts w:asciiTheme="minorHAnsi" w:hAnsiTheme="minorHAnsi" w:cstheme="minorHAnsi"/>
        </w:rPr>
        <w:t>‘</w:t>
      </w:r>
      <w:r w:rsidRPr="00D56C8C">
        <w:rPr>
          <w:rFonts w:asciiTheme="minorHAnsi" w:hAnsiTheme="minorHAnsi" w:cstheme="minorHAnsi"/>
        </w:rPr>
        <w:t>To identify and set aside land in order to ensure the delivery of the Burgage South Neighbourhood Park as identified in the Newcastle Local Area Plan (2012), and to pursue all means of achieving this including proactive engagement with stakeholders and through the consideration of planning applications affecting the area</w:t>
      </w:r>
      <w:r>
        <w:rPr>
          <w:rFonts w:asciiTheme="minorHAnsi" w:hAnsiTheme="minorHAnsi" w:cstheme="minorHAnsi"/>
        </w:rPr>
        <w:t>’</w:t>
      </w:r>
      <w:r w:rsidRPr="00D56C8C">
        <w:rPr>
          <w:rFonts w:asciiTheme="minorHAnsi" w:hAnsiTheme="minorHAnsi" w:cstheme="minorHAnsi"/>
        </w:rPr>
        <w:t xml:space="preserve">.   </w:t>
      </w:r>
    </w:p>
    <w:p w14:paraId="66F81533" w14:textId="77777777" w:rsidR="00A866EC" w:rsidRPr="00D56C8C" w:rsidRDefault="00A866EC" w:rsidP="00A866EC">
      <w:pPr>
        <w:pStyle w:val="NormalWeb"/>
        <w:rPr>
          <w:rFonts w:asciiTheme="minorHAnsi" w:hAnsiTheme="minorHAnsi" w:cstheme="minorHAnsi"/>
          <w:b/>
          <w:bCs/>
        </w:rPr>
      </w:pPr>
      <w:r w:rsidRPr="00D56C8C">
        <w:rPr>
          <w:rFonts w:asciiTheme="minorHAnsi" w:hAnsiTheme="minorHAnsi" w:cstheme="minorHAnsi"/>
          <w:b/>
          <w:bCs/>
        </w:rPr>
        <w:t>To:</w:t>
      </w:r>
    </w:p>
    <w:p w14:paraId="56524282" w14:textId="77777777" w:rsidR="00A866EC" w:rsidRPr="00D56C8C" w:rsidRDefault="00A866EC" w:rsidP="00A866EC">
      <w:pPr>
        <w:pStyle w:val="NormalWeb"/>
        <w:rPr>
          <w:rFonts w:asciiTheme="minorHAnsi" w:hAnsiTheme="minorHAnsi" w:cstheme="minorHAnsi"/>
        </w:rPr>
      </w:pPr>
      <w:r>
        <w:rPr>
          <w:rFonts w:asciiTheme="minorHAnsi" w:hAnsiTheme="minorHAnsi" w:cstheme="minorHAnsi"/>
        </w:rPr>
        <w:t>‘</w:t>
      </w:r>
      <w:r w:rsidRPr="00D56C8C">
        <w:rPr>
          <w:rFonts w:asciiTheme="minorHAnsi" w:hAnsiTheme="minorHAnsi" w:cstheme="minorHAnsi"/>
        </w:rPr>
        <w:t xml:space="preserve">To identify and set aside land, </w:t>
      </w:r>
      <w:r w:rsidRPr="00D56C8C">
        <w:rPr>
          <w:rFonts w:asciiTheme="minorHAnsi" w:hAnsiTheme="minorHAnsi" w:cstheme="minorHAnsi"/>
          <w:color w:val="FF0000"/>
        </w:rPr>
        <w:t xml:space="preserve">ensuring the delivery of the quantum of OS within the general area of </w:t>
      </w:r>
      <w:r w:rsidRPr="00D56C8C">
        <w:rPr>
          <w:rFonts w:asciiTheme="minorHAnsi" w:hAnsiTheme="minorHAnsi" w:cstheme="minorHAnsi"/>
        </w:rPr>
        <w:t>the Burgage South Neighbourhood Park as identified in the Newcastle Local Area Plan (2012), and to pursue all means of achieving this including proactive engagement with stakeholders and through the consideration of planning applications affecting the area</w:t>
      </w:r>
      <w:r>
        <w:rPr>
          <w:rFonts w:asciiTheme="minorHAnsi" w:hAnsiTheme="minorHAnsi" w:cstheme="minorHAnsi"/>
        </w:rPr>
        <w:t>’</w:t>
      </w:r>
      <w:r w:rsidRPr="00D56C8C">
        <w:rPr>
          <w:rFonts w:asciiTheme="minorHAnsi" w:hAnsiTheme="minorHAnsi" w:cstheme="minorHAnsi"/>
        </w:rPr>
        <w:t xml:space="preserve">.   </w:t>
      </w:r>
    </w:p>
    <w:p w14:paraId="2CCE4E2B" w14:textId="77777777" w:rsidR="00A866EC" w:rsidRPr="00D56C8C" w:rsidRDefault="00A866EC" w:rsidP="00A866EC">
      <w:pPr>
        <w:pStyle w:val="NormalWeb"/>
        <w:rPr>
          <w:rFonts w:asciiTheme="minorHAnsi" w:hAnsiTheme="minorHAnsi" w:cstheme="minorHAnsi"/>
        </w:rPr>
      </w:pPr>
      <w:r w:rsidRPr="00D56C8C">
        <w:rPr>
          <w:rFonts w:asciiTheme="minorHAnsi" w:hAnsiTheme="minorHAnsi" w:cstheme="minorHAnsi"/>
          <w:b/>
          <w:bCs/>
        </w:rPr>
        <w:t xml:space="preserve">Reason: </w:t>
      </w:r>
      <w:r w:rsidRPr="00D56C8C">
        <w:rPr>
          <w:rFonts w:asciiTheme="minorHAnsi" w:hAnsiTheme="minorHAnsi" w:cstheme="minorHAnsi"/>
        </w:rPr>
        <w:t>To reflect the requirements of the LAP</w:t>
      </w:r>
    </w:p>
    <w:p w14:paraId="01999267" w14:textId="77777777" w:rsidR="00A866EC" w:rsidRPr="00EB1E0C" w:rsidRDefault="00A866EC" w:rsidP="00A866EC">
      <w:pPr>
        <w:rPr>
          <w:rFonts w:cstheme="minorHAnsi"/>
          <w:b/>
          <w:bCs/>
          <w:sz w:val="24"/>
          <w:szCs w:val="24"/>
        </w:rPr>
      </w:pPr>
      <w:r w:rsidRPr="00EB1E0C">
        <w:rPr>
          <w:rFonts w:cstheme="minorHAnsi"/>
          <w:b/>
          <w:bCs/>
          <w:sz w:val="24"/>
          <w:szCs w:val="24"/>
        </w:rPr>
        <w:t xml:space="preserve">CE Amendment </w:t>
      </w:r>
      <w:r>
        <w:rPr>
          <w:rFonts w:cstheme="minorHAnsi"/>
          <w:b/>
          <w:bCs/>
          <w:sz w:val="24"/>
          <w:szCs w:val="24"/>
        </w:rPr>
        <w:t>7:</w:t>
      </w:r>
    </w:p>
    <w:p w14:paraId="7B923788" w14:textId="77777777" w:rsidR="00A866EC" w:rsidRPr="00096A1A" w:rsidRDefault="00A866EC" w:rsidP="00A866EC">
      <w:pPr>
        <w:rPr>
          <w:rFonts w:cstheme="minorHAnsi"/>
          <w:sz w:val="24"/>
          <w:szCs w:val="24"/>
        </w:rPr>
      </w:pPr>
      <w:r w:rsidRPr="00096A1A">
        <w:rPr>
          <w:rFonts w:cstheme="minorHAnsi"/>
          <w:b/>
          <w:bCs/>
          <w:sz w:val="24"/>
          <w:szCs w:val="24"/>
        </w:rPr>
        <w:t>Recommendation</w:t>
      </w:r>
      <w:r w:rsidRPr="00096A1A">
        <w:rPr>
          <w:rFonts w:cstheme="minorHAnsi"/>
          <w:sz w:val="24"/>
          <w:szCs w:val="24"/>
        </w:rPr>
        <w:t xml:space="preserve">: Amend Objective CO5 Objective 1 adding in the words </w:t>
      </w:r>
      <w:r w:rsidRPr="00096A1A">
        <w:rPr>
          <w:rFonts w:cstheme="minorHAnsi"/>
          <w:i/>
          <w:iCs/>
          <w:sz w:val="24"/>
          <w:szCs w:val="24"/>
        </w:rPr>
        <w:t>‘in line with Table 8.1’</w:t>
      </w:r>
      <w:r w:rsidRPr="00096A1A">
        <w:rPr>
          <w:rFonts w:cstheme="minorHAnsi"/>
          <w:sz w:val="24"/>
          <w:szCs w:val="24"/>
        </w:rPr>
        <w:t xml:space="preserve"> after the word </w:t>
      </w:r>
      <w:r w:rsidRPr="00096A1A">
        <w:rPr>
          <w:rFonts w:cstheme="minorHAnsi"/>
          <w:i/>
          <w:iCs/>
          <w:sz w:val="24"/>
          <w:szCs w:val="24"/>
        </w:rPr>
        <w:t>‘County’</w:t>
      </w:r>
      <w:r w:rsidRPr="00096A1A">
        <w:rPr>
          <w:rFonts w:cstheme="minorHAnsi"/>
          <w:sz w:val="24"/>
          <w:szCs w:val="24"/>
        </w:rPr>
        <w:t>, so that the objective reads as follows:</w:t>
      </w:r>
    </w:p>
    <w:p w14:paraId="33694C80" w14:textId="77777777" w:rsidR="00A866EC" w:rsidRPr="00096A1A" w:rsidRDefault="00A866EC" w:rsidP="00A866EC">
      <w:pPr>
        <w:rPr>
          <w:rFonts w:cstheme="minorHAnsi"/>
          <w:i/>
          <w:iCs/>
          <w:sz w:val="24"/>
          <w:szCs w:val="24"/>
        </w:rPr>
      </w:pPr>
      <w:r w:rsidRPr="00096A1A">
        <w:rPr>
          <w:rFonts w:cstheme="minorHAnsi"/>
          <w:i/>
          <w:iCs/>
          <w:sz w:val="24"/>
          <w:szCs w:val="24"/>
        </w:rPr>
        <w:t xml:space="preserve">‘To support a hierarchy of multi-functional, accessible parks and public open spaces across the County </w:t>
      </w:r>
      <w:r w:rsidRPr="00096A1A">
        <w:rPr>
          <w:rFonts w:cstheme="minorHAnsi"/>
          <w:b/>
          <w:bCs/>
          <w:i/>
          <w:iCs/>
          <w:color w:val="00B050"/>
          <w:sz w:val="24"/>
          <w:szCs w:val="24"/>
        </w:rPr>
        <w:t>in line with Table 8.1,</w:t>
      </w:r>
      <w:r w:rsidRPr="00096A1A">
        <w:rPr>
          <w:rFonts w:cstheme="minorHAnsi"/>
          <w:i/>
          <w:iCs/>
          <w:color w:val="00B050"/>
          <w:sz w:val="24"/>
          <w:szCs w:val="24"/>
        </w:rPr>
        <w:t xml:space="preserve"> </w:t>
      </w:r>
      <w:r w:rsidRPr="00096A1A">
        <w:rPr>
          <w:rFonts w:cstheme="minorHAnsi"/>
          <w:i/>
          <w:iCs/>
          <w:sz w:val="24"/>
          <w:szCs w:val="24"/>
        </w:rPr>
        <w:t>based on existing populations and planned growth in accordance with the overall standard of 2.4ha per 1,000 population’.</w:t>
      </w:r>
    </w:p>
    <w:p w14:paraId="69A8A5AF" w14:textId="77777777" w:rsidR="00A866EC" w:rsidRPr="00096A1A" w:rsidRDefault="00A866EC" w:rsidP="00A866EC">
      <w:pPr>
        <w:rPr>
          <w:rFonts w:cstheme="minorHAnsi"/>
          <w:sz w:val="24"/>
          <w:szCs w:val="24"/>
        </w:rPr>
      </w:pPr>
      <w:r w:rsidRPr="00096A1A">
        <w:rPr>
          <w:rFonts w:cstheme="minorHAnsi"/>
          <w:b/>
          <w:bCs/>
          <w:sz w:val="24"/>
          <w:szCs w:val="24"/>
        </w:rPr>
        <w:t>Reason</w:t>
      </w:r>
      <w:r w:rsidRPr="00096A1A">
        <w:rPr>
          <w:rFonts w:cstheme="minorHAnsi"/>
          <w:sz w:val="24"/>
          <w:szCs w:val="24"/>
        </w:rPr>
        <w:t>: To be clear that Table 8.1 identifies the hierarchy of open space</w:t>
      </w:r>
    </w:p>
    <w:p w14:paraId="05E92CF4" w14:textId="77777777" w:rsidR="00A866EC" w:rsidRDefault="00A866EC" w:rsidP="00A866EC">
      <w:pPr>
        <w:rPr>
          <w:rFonts w:cstheme="minorHAnsi"/>
          <w:b/>
          <w:bCs/>
          <w:sz w:val="28"/>
          <w:szCs w:val="28"/>
          <w:lang w:val="en-GB"/>
        </w:rPr>
      </w:pPr>
    </w:p>
    <w:p w14:paraId="5D6E4236"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9 – Economic Development and Employment</w:t>
      </w:r>
    </w:p>
    <w:p w14:paraId="69EF0CF2" w14:textId="77777777" w:rsidR="00A866EC" w:rsidRPr="005A0927" w:rsidRDefault="00A866EC" w:rsidP="00A866EC">
      <w:pPr>
        <w:rPr>
          <w:rFonts w:cstheme="minorHAnsi"/>
          <w:sz w:val="28"/>
          <w:szCs w:val="28"/>
          <w:lang w:val="en-GB"/>
        </w:rPr>
      </w:pPr>
      <w:r w:rsidRPr="005A0927">
        <w:rPr>
          <w:rFonts w:cstheme="minorHAnsi"/>
          <w:sz w:val="28"/>
          <w:szCs w:val="28"/>
          <w:lang w:val="en-GB"/>
        </w:rPr>
        <w:t>N/A</w:t>
      </w:r>
    </w:p>
    <w:p w14:paraId="12D09F5F"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lastRenderedPageBreak/>
        <w:t>Chapter 10 – Energy</w:t>
      </w:r>
    </w:p>
    <w:p w14:paraId="687EB1DD" w14:textId="77777777" w:rsidR="00A866EC" w:rsidRPr="005A0927" w:rsidRDefault="00A866EC" w:rsidP="00A866EC">
      <w:pPr>
        <w:rPr>
          <w:rFonts w:cstheme="minorHAnsi"/>
          <w:sz w:val="28"/>
          <w:szCs w:val="28"/>
          <w:lang w:val="en-GB"/>
        </w:rPr>
      </w:pPr>
      <w:r w:rsidRPr="005A0927">
        <w:rPr>
          <w:rFonts w:cstheme="minorHAnsi"/>
          <w:sz w:val="28"/>
          <w:szCs w:val="28"/>
          <w:lang w:val="en-GB"/>
        </w:rPr>
        <w:t>N/A</w:t>
      </w:r>
    </w:p>
    <w:p w14:paraId="5F7A4785"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11 – Infrastructure and Environmental Services</w:t>
      </w:r>
    </w:p>
    <w:p w14:paraId="7116AA28" w14:textId="77777777" w:rsidR="00A866EC" w:rsidRPr="005A0927" w:rsidRDefault="00A866EC" w:rsidP="00A866EC">
      <w:pPr>
        <w:rPr>
          <w:rFonts w:cstheme="minorHAnsi"/>
          <w:sz w:val="28"/>
          <w:szCs w:val="28"/>
          <w:lang w:val="en-GB"/>
        </w:rPr>
      </w:pPr>
      <w:r w:rsidRPr="005A0927">
        <w:rPr>
          <w:rFonts w:cstheme="minorHAnsi"/>
          <w:sz w:val="28"/>
          <w:szCs w:val="28"/>
          <w:lang w:val="en-GB"/>
        </w:rPr>
        <w:t>N/A</w:t>
      </w:r>
    </w:p>
    <w:p w14:paraId="0D8AAF81"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12 – Our Neighbourhoods</w:t>
      </w:r>
    </w:p>
    <w:p w14:paraId="1C7B9BCB"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 xml:space="preserve">N/A  </w:t>
      </w:r>
    </w:p>
    <w:p w14:paraId="4D146980"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Chapter 13 – Implementation and Monitoring</w:t>
      </w:r>
    </w:p>
    <w:p w14:paraId="23203A87" w14:textId="77777777" w:rsidR="00A866EC" w:rsidRPr="00EB1E0C" w:rsidRDefault="00A866EC" w:rsidP="00A866EC">
      <w:pPr>
        <w:rPr>
          <w:rFonts w:cstheme="minorHAnsi"/>
          <w:b/>
          <w:bCs/>
          <w:sz w:val="24"/>
          <w:szCs w:val="24"/>
          <w:lang w:val="en-GB"/>
        </w:rPr>
      </w:pPr>
      <w:r w:rsidRPr="00EB1E0C">
        <w:rPr>
          <w:rFonts w:cstheme="minorHAnsi"/>
          <w:b/>
          <w:bCs/>
          <w:sz w:val="24"/>
          <w:szCs w:val="24"/>
          <w:lang w:val="en-GB"/>
        </w:rPr>
        <w:t xml:space="preserve">CE Amendment </w:t>
      </w:r>
      <w:r>
        <w:rPr>
          <w:rFonts w:cstheme="minorHAnsi"/>
          <w:b/>
          <w:bCs/>
          <w:sz w:val="24"/>
          <w:szCs w:val="24"/>
          <w:lang w:val="en-GB"/>
        </w:rPr>
        <w:t>8:</w:t>
      </w:r>
    </w:p>
    <w:p w14:paraId="26721D85" w14:textId="77777777" w:rsidR="00A866EC" w:rsidRPr="005A0927" w:rsidRDefault="00A866EC" w:rsidP="00A866EC">
      <w:pPr>
        <w:rPr>
          <w:rFonts w:cstheme="minorHAnsi"/>
          <w:b/>
          <w:bCs/>
          <w:lang w:val="en-GB"/>
        </w:rPr>
      </w:pPr>
      <w:r w:rsidRPr="005A0927">
        <w:rPr>
          <w:rFonts w:cstheme="minorHAnsi"/>
          <w:b/>
          <w:bCs/>
          <w:lang w:val="en-GB"/>
        </w:rPr>
        <w:t>Recommendation</w:t>
      </w:r>
      <w:r w:rsidRPr="005A0927">
        <w:rPr>
          <w:rFonts w:cstheme="minorHAnsi"/>
          <w:lang w:val="en-GB"/>
        </w:rPr>
        <w:t>: Amend Table 13.24 as shown below:</w:t>
      </w:r>
    </w:p>
    <w:p w14:paraId="02E32DF1" w14:textId="77777777" w:rsidR="00A866EC" w:rsidRPr="005A0927" w:rsidRDefault="00A866EC" w:rsidP="00A866EC">
      <w:pPr>
        <w:rPr>
          <w:rFonts w:cstheme="minorHAnsi"/>
          <w:b/>
          <w:bCs/>
          <w:color w:val="000000"/>
          <w:sz w:val="19"/>
          <w:szCs w:val="19"/>
        </w:rPr>
      </w:pPr>
      <w:r w:rsidRPr="005A0927">
        <w:rPr>
          <w:rFonts w:cstheme="minorHAnsi"/>
          <w:b/>
          <w:bCs/>
          <w:color w:val="000000"/>
          <w:sz w:val="19"/>
          <w:szCs w:val="19"/>
        </w:rPr>
        <w:t>Table 13.24: Minimum Bicycle Parking</w:t>
      </w:r>
      <w:r w:rsidRPr="005A0927">
        <w:rPr>
          <w:rFonts w:cstheme="minorHAnsi"/>
          <w:b/>
          <w:bCs/>
          <w:color w:val="00B050"/>
          <w:sz w:val="19"/>
          <w:szCs w:val="19"/>
        </w:rPr>
        <w:t xml:space="preserve">/Storage </w:t>
      </w:r>
      <w:r w:rsidRPr="005A0927">
        <w:rPr>
          <w:rFonts w:cstheme="minorHAnsi"/>
          <w:b/>
          <w:bCs/>
          <w:color w:val="000000"/>
          <w:sz w:val="19"/>
          <w:szCs w:val="19"/>
        </w:rPr>
        <w:t>Rates</w:t>
      </w:r>
    </w:p>
    <w:tbl>
      <w:tblPr>
        <w:tblW w:w="0" w:type="auto"/>
        <w:tblInd w:w="-5" w:type="dxa"/>
        <w:tblCellMar>
          <w:left w:w="0" w:type="dxa"/>
          <w:right w:w="0" w:type="dxa"/>
        </w:tblCellMar>
        <w:tblLook w:val="04A0" w:firstRow="1" w:lastRow="0" w:firstColumn="1" w:lastColumn="0" w:noHBand="0" w:noVBand="1"/>
      </w:tblPr>
      <w:tblGrid>
        <w:gridCol w:w="2252"/>
        <w:gridCol w:w="2252"/>
        <w:gridCol w:w="2251"/>
        <w:gridCol w:w="2256"/>
      </w:tblGrid>
      <w:tr w:rsidR="00A866EC" w14:paraId="2C29DACF" w14:textId="77777777" w:rsidTr="00FD60D6">
        <w:tc>
          <w:tcPr>
            <w:tcW w:w="2254" w:type="dxa"/>
            <w:tcBorders>
              <w:top w:val="single" w:sz="8" w:space="0" w:color="auto"/>
              <w:left w:val="single" w:sz="8" w:space="0" w:color="auto"/>
              <w:bottom w:val="single" w:sz="8" w:space="0" w:color="auto"/>
              <w:right w:val="single" w:sz="8" w:space="0" w:color="auto"/>
            </w:tcBorders>
            <w:shd w:val="clear" w:color="auto" w:fill="8C191C"/>
            <w:tcMar>
              <w:top w:w="0" w:type="dxa"/>
              <w:left w:w="108" w:type="dxa"/>
              <w:bottom w:w="0" w:type="dxa"/>
              <w:right w:w="108" w:type="dxa"/>
            </w:tcMar>
            <w:hideMark/>
          </w:tcPr>
          <w:p w14:paraId="606639FC" w14:textId="77777777" w:rsidR="00A866EC" w:rsidRPr="005A0927" w:rsidRDefault="00A866EC" w:rsidP="00FD60D6">
            <w:pPr>
              <w:rPr>
                <w:rFonts w:cstheme="minorHAnsi"/>
                <w:b/>
                <w:bCs/>
                <w:color w:val="FFFFFF"/>
                <w:sz w:val="24"/>
                <w:szCs w:val="24"/>
              </w:rPr>
            </w:pPr>
            <w:r w:rsidRPr="005A0927">
              <w:rPr>
                <w:rFonts w:cstheme="minorHAnsi"/>
                <w:b/>
                <w:bCs/>
                <w:color w:val="FFFFFF"/>
                <w:sz w:val="24"/>
                <w:szCs w:val="24"/>
              </w:rPr>
              <w:t>CATEGORY</w:t>
            </w:r>
          </w:p>
        </w:tc>
        <w:tc>
          <w:tcPr>
            <w:tcW w:w="2254" w:type="dxa"/>
            <w:tcBorders>
              <w:top w:val="single" w:sz="8" w:space="0" w:color="auto"/>
              <w:left w:val="nil"/>
              <w:bottom w:val="single" w:sz="8" w:space="0" w:color="auto"/>
              <w:right w:val="single" w:sz="8" w:space="0" w:color="auto"/>
            </w:tcBorders>
            <w:shd w:val="clear" w:color="auto" w:fill="8C191C"/>
            <w:tcMar>
              <w:top w:w="0" w:type="dxa"/>
              <w:left w:w="108" w:type="dxa"/>
              <w:bottom w:w="0" w:type="dxa"/>
              <w:right w:w="108" w:type="dxa"/>
            </w:tcMar>
            <w:hideMark/>
          </w:tcPr>
          <w:p w14:paraId="4CCB64AC" w14:textId="77777777" w:rsidR="00A866EC" w:rsidRPr="005A0927" w:rsidRDefault="00A866EC" w:rsidP="00FD60D6">
            <w:pPr>
              <w:rPr>
                <w:rFonts w:cstheme="minorHAnsi"/>
                <w:b/>
                <w:bCs/>
                <w:color w:val="FFFFFF"/>
                <w:sz w:val="24"/>
                <w:szCs w:val="24"/>
              </w:rPr>
            </w:pPr>
            <w:r w:rsidRPr="005A0927">
              <w:rPr>
                <w:rFonts w:cstheme="minorHAnsi"/>
                <w:b/>
                <w:bCs/>
                <w:color w:val="FFFFFF"/>
                <w:sz w:val="24"/>
                <w:szCs w:val="24"/>
              </w:rPr>
              <w:t>LAND-USE</w:t>
            </w:r>
          </w:p>
        </w:tc>
        <w:tc>
          <w:tcPr>
            <w:tcW w:w="2254" w:type="dxa"/>
            <w:tcBorders>
              <w:top w:val="single" w:sz="8" w:space="0" w:color="auto"/>
              <w:left w:val="nil"/>
              <w:bottom w:val="single" w:sz="8" w:space="0" w:color="auto"/>
              <w:right w:val="single" w:sz="8" w:space="0" w:color="auto"/>
            </w:tcBorders>
            <w:shd w:val="clear" w:color="auto" w:fill="8C191C"/>
            <w:tcMar>
              <w:top w:w="0" w:type="dxa"/>
              <w:left w:w="108" w:type="dxa"/>
              <w:bottom w:w="0" w:type="dxa"/>
              <w:right w:w="108" w:type="dxa"/>
            </w:tcMar>
            <w:hideMark/>
          </w:tcPr>
          <w:p w14:paraId="31E1E916" w14:textId="77777777" w:rsidR="00A866EC" w:rsidRPr="005A0927" w:rsidRDefault="00A866EC" w:rsidP="00FD60D6">
            <w:pPr>
              <w:rPr>
                <w:rFonts w:cstheme="minorHAnsi"/>
                <w:b/>
                <w:bCs/>
                <w:color w:val="FFFFFF"/>
                <w:sz w:val="24"/>
                <w:szCs w:val="24"/>
              </w:rPr>
            </w:pPr>
            <w:r w:rsidRPr="005A0927">
              <w:rPr>
                <w:rFonts w:cstheme="minorHAnsi"/>
                <w:b/>
                <w:bCs/>
                <w:color w:val="FFFFFF"/>
                <w:sz w:val="24"/>
                <w:szCs w:val="24"/>
              </w:rPr>
              <w:t>LONG TERM</w:t>
            </w:r>
          </w:p>
        </w:tc>
        <w:tc>
          <w:tcPr>
            <w:tcW w:w="2259" w:type="dxa"/>
            <w:tcBorders>
              <w:top w:val="single" w:sz="8" w:space="0" w:color="auto"/>
              <w:left w:val="nil"/>
              <w:bottom w:val="single" w:sz="8" w:space="0" w:color="auto"/>
              <w:right w:val="single" w:sz="8" w:space="0" w:color="auto"/>
            </w:tcBorders>
            <w:shd w:val="clear" w:color="auto" w:fill="8C191C"/>
            <w:tcMar>
              <w:top w:w="0" w:type="dxa"/>
              <w:left w:w="108" w:type="dxa"/>
              <w:bottom w:w="0" w:type="dxa"/>
              <w:right w:w="108" w:type="dxa"/>
            </w:tcMar>
          </w:tcPr>
          <w:p w14:paraId="42B7B939" w14:textId="77777777" w:rsidR="00A866EC" w:rsidRPr="005A0927" w:rsidRDefault="00A866EC" w:rsidP="00FD60D6">
            <w:pPr>
              <w:rPr>
                <w:rFonts w:cstheme="minorHAnsi"/>
                <w:b/>
                <w:bCs/>
                <w:color w:val="FFFFFF"/>
                <w:sz w:val="24"/>
                <w:szCs w:val="24"/>
              </w:rPr>
            </w:pPr>
            <w:r w:rsidRPr="005A0927">
              <w:rPr>
                <w:rFonts w:cstheme="minorHAnsi"/>
                <w:b/>
                <w:bCs/>
                <w:color w:val="FFFFFF"/>
                <w:sz w:val="24"/>
                <w:szCs w:val="24"/>
              </w:rPr>
              <w:t>SHORT STAY</w:t>
            </w:r>
          </w:p>
          <w:p w14:paraId="1D499D72" w14:textId="77777777" w:rsidR="00A866EC" w:rsidRPr="005A0927" w:rsidRDefault="00A866EC" w:rsidP="00FD60D6">
            <w:pPr>
              <w:rPr>
                <w:rFonts w:cstheme="minorHAnsi"/>
                <w:b/>
                <w:bCs/>
                <w:color w:val="FFFFFF"/>
                <w:sz w:val="24"/>
                <w:szCs w:val="24"/>
              </w:rPr>
            </w:pPr>
          </w:p>
        </w:tc>
      </w:tr>
      <w:tr w:rsidR="00A866EC" w14:paraId="2AB7CEF3" w14:textId="77777777" w:rsidTr="00FD60D6">
        <w:tc>
          <w:tcPr>
            <w:tcW w:w="2254" w:type="dxa"/>
            <w:tcBorders>
              <w:top w:val="nil"/>
              <w:left w:val="single" w:sz="8" w:space="0" w:color="auto"/>
              <w:bottom w:val="nil"/>
              <w:right w:val="single" w:sz="8" w:space="0" w:color="auto"/>
            </w:tcBorders>
            <w:shd w:val="clear" w:color="auto" w:fill="F4C4C5"/>
            <w:tcMar>
              <w:top w:w="0" w:type="dxa"/>
              <w:left w:w="108" w:type="dxa"/>
              <w:bottom w:w="0" w:type="dxa"/>
              <w:right w:w="108" w:type="dxa"/>
            </w:tcMar>
            <w:hideMark/>
          </w:tcPr>
          <w:p w14:paraId="5CBBFA1C" w14:textId="77777777" w:rsidR="00A866EC" w:rsidRPr="005A0927" w:rsidRDefault="00A866EC" w:rsidP="00FD60D6">
            <w:pPr>
              <w:rPr>
                <w:rFonts w:cstheme="minorHAnsi"/>
                <w:color w:val="000000"/>
                <w:sz w:val="20"/>
                <w:szCs w:val="20"/>
              </w:rPr>
            </w:pPr>
            <w:r w:rsidRPr="005A0927">
              <w:rPr>
                <w:rFonts w:cstheme="minorHAnsi"/>
                <w:b/>
                <w:bCs/>
                <w:color w:val="000000"/>
                <w:sz w:val="20"/>
                <w:szCs w:val="20"/>
              </w:rPr>
              <w:t>Accommodation</w:t>
            </w:r>
          </w:p>
        </w:tc>
        <w:tc>
          <w:tcPr>
            <w:tcW w:w="2254" w:type="dxa"/>
            <w:tcBorders>
              <w:top w:val="nil"/>
              <w:left w:val="nil"/>
              <w:bottom w:val="single" w:sz="8" w:space="0" w:color="auto"/>
              <w:right w:val="single" w:sz="8" w:space="0" w:color="auto"/>
            </w:tcBorders>
            <w:shd w:val="clear" w:color="auto" w:fill="FCEEEE"/>
            <w:tcMar>
              <w:top w:w="0" w:type="dxa"/>
              <w:left w:w="108" w:type="dxa"/>
              <w:bottom w:w="0" w:type="dxa"/>
              <w:right w:w="108" w:type="dxa"/>
            </w:tcMar>
            <w:hideMark/>
          </w:tcPr>
          <w:p w14:paraId="3276E5E1" w14:textId="77777777" w:rsidR="00A866EC" w:rsidRPr="005A0927" w:rsidRDefault="00A866EC" w:rsidP="00FD60D6">
            <w:pPr>
              <w:rPr>
                <w:rFonts w:cstheme="minorHAnsi"/>
                <w:color w:val="000000"/>
                <w:sz w:val="20"/>
                <w:szCs w:val="20"/>
              </w:rPr>
            </w:pPr>
            <w:r w:rsidRPr="005A0927">
              <w:rPr>
                <w:rFonts w:cstheme="minorHAnsi"/>
                <w:color w:val="000000"/>
                <w:sz w:val="20"/>
                <w:szCs w:val="20"/>
              </w:rPr>
              <w:t>Hotel</w:t>
            </w:r>
            <w:r w:rsidRPr="005A0927">
              <w:rPr>
                <w:rFonts w:cstheme="minorHAnsi"/>
                <w:color w:val="000000"/>
                <w:sz w:val="20"/>
                <w:szCs w:val="20"/>
                <w:vertAlign w:val="superscript"/>
              </w:rPr>
              <w:t>1</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165DBD2F" w14:textId="77777777" w:rsidR="00A866EC" w:rsidRPr="005A0927" w:rsidRDefault="00A866EC" w:rsidP="00FD60D6">
            <w:pPr>
              <w:rPr>
                <w:rFonts w:cstheme="minorHAnsi"/>
                <w:color w:val="000000"/>
                <w:sz w:val="20"/>
                <w:szCs w:val="20"/>
              </w:rPr>
            </w:pPr>
            <w:r w:rsidRPr="005A0927">
              <w:rPr>
                <w:rFonts w:cstheme="minorHAnsi"/>
                <w:color w:val="000000"/>
                <w:sz w:val="20"/>
                <w:szCs w:val="20"/>
              </w:rPr>
              <w:t>1 per 5 staff</w:t>
            </w:r>
          </w:p>
        </w:tc>
        <w:tc>
          <w:tcPr>
            <w:tcW w:w="2259" w:type="dxa"/>
            <w:tcBorders>
              <w:top w:val="nil"/>
              <w:left w:val="nil"/>
              <w:bottom w:val="single" w:sz="8" w:space="0" w:color="auto"/>
              <w:right w:val="single" w:sz="8" w:space="0" w:color="auto"/>
            </w:tcBorders>
            <w:tcMar>
              <w:top w:w="0" w:type="dxa"/>
              <w:left w:w="108" w:type="dxa"/>
              <w:bottom w:w="0" w:type="dxa"/>
              <w:right w:w="108" w:type="dxa"/>
            </w:tcMar>
            <w:hideMark/>
          </w:tcPr>
          <w:p w14:paraId="252F82C0" w14:textId="77777777" w:rsidR="00A866EC" w:rsidRPr="005A0927" w:rsidRDefault="00A866EC" w:rsidP="00FD60D6">
            <w:pPr>
              <w:rPr>
                <w:rFonts w:cstheme="minorHAnsi"/>
                <w:color w:val="000000"/>
                <w:sz w:val="20"/>
                <w:szCs w:val="20"/>
              </w:rPr>
            </w:pPr>
            <w:r w:rsidRPr="005A0927">
              <w:rPr>
                <w:rFonts w:cstheme="minorHAnsi"/>
                <w:color w:val="000000"/>
                <w:sz w:val="20"/>
                <w:szCs w:val="20"/>
              </w:rPr>
              <w:t>1 per 10 bedrooms</w:t>
            </w:r>
          </w:p>
        </w:tc>
      </w:tr>
      <w:tr w:rsidR="00A866EC" w14:paraId="00442D16" w14:textId="77777777" w:rsidTr="00FD60D6">
        <w:tc>
          <w:tcPr>
            <w:tcW w:w="2254" w:type="dxa"/>
            <w:tcBorders>
              <w:top w:val="nil"/>
              <w:left w:val="single" w:sz="8" w:space="0" w:color="auto"/>
              <w:bottom w:val="nil"/>
              <w:right w:val="single" w:sz="8" w:space="0" w:color="auto"/>
            </w:tcBorders>
            <w:shd w:val="clear" w:color="auto" w:fill="F4C4C5"/>
            <w:tcMar>
              <w:top w:w="0" w:type="dxa"/>
              <w:left w:w="108" w:type="dxa"/>
              <w:bottom w:w="0" w:type="dxa"/>
              <w:right w:w="108" w:type="dxa"/>
            </w:tcMar>
          </w:tcPr>
          <w:p w14:paraId="688B19E4" w14:textId="77777777" w:rsidR="00A866EC" w:rsidRPr="005A0927" w:rsidRDefault="00A866EC" w:rsidP="00FD60D6">
            <w:pPr>
              <w:rPr>
                <w:rFonts w:cstheme="minorHAnsi"/>
                <w:color w:val="000000"/>
                <w:sz w:val="20"/>
                <w:szCs w:val="20"/>
              </w:rPr>
            </w:pPr>
          </w:p>
        </w:tc>
        <w:tc>
          <w:tcPr>
            <w:tcW w:w="2254" w:type="dxa"/>
            <w:tcBorders>
              <w:top w:val="nil"/>
              <w:left w:val="nil"/>
              <w:bottom w:val="single" w:sz="8" w:space="0" w:color="auto"/>
              <w:right w:val="single" w:sz="8" w:space="0" w:color="auto"/>
            </w:tcBorders>
            <w:shd w:val="clear" w:color="auto" w:fill="FCEEEE"/>
            <w:tcMar>
              <w:top w:w="0" w:type="dxa"/>
              <w:left w:w="108" w:type="dxa"/>
              <w:bottom w:w="0" w:type="dxa"/>
              <w:right w:w="108" w:type="dxa"/>
            </w:tcMar>
            <w:hideMark/>
          </w:tcPr>
          <w:p w14:paraId="3B6D22F5" w14:textId="77777777" w:rsidR="00A866EC" w:rsidRPr="005A0927" w:rsidRDefault="00A866EC" w:rsidP="00FD60D6">
            <w:pPr>
              <w:rPr>
                <w:rFonts w:cstheme="minorHAnsi"/>
                <w:color w:val="000000"/>
                <w:sz w:val="20"/>
                <w:szCs w:val="20"/>
              </w:rPr>
            </w:pPr>
            <w:r w:rsidRPr="005A0927">
              <w:rPr>
                <w:rFonts w:cstheme="minorHAnsi"/>
                <w:color w:val="000000"/>
                <w:sz w:val="20"/>
                <w:szCs w:val="20"/>
              </w:rPr>
              <w:t>Nursing Home</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64E2F6C1" w14:textId="77777777" w:rsidR="00A866EC" w:rsidRPr="005A0927" w:rsidRDefault="00A866EC" w:rsidP="00FD60D6">
            <w:pPr>
              <w:rPr>
                <w:rFonts w:cstheme="minorHAnsi"/>
                <w:color w:val="000000"/>
                <w:sz w:val="20"/>
                <w:szCs w:val="20"/>
              </w:rPr>
            </w:pPr>
            <w:r w:rsidRPr="005A0927">
              <w:rPr>
                <w:rFonts w:cstheme="minorHAnsi"/>
                <w:color w:val="000000"/>
                <w:sz w:val="20"/>
                <w:szCs w:val="20"/>
              </w:rPr>
              <w:t>1 per 5 staff</w:t>
            </w:r>
          </w:p>
        </w:tc>
        <w:tc>
          <w:tcPr>
            <w:tcW w:w="2259" w:type="dxa"/>
            <w:tcBorders>
              <w:top w:val="nil"/>
              <w:left w:val="nil"/>
              <w:bottom w:val="single" w:sz="8" w:space="0" w:color="auto"/>
              <w:right w:val="single" w:sz="8" w:space="0" w:color="auto"/>
            </w:tcBorders>
            <w:tcMar>
              <w:top w:w="0" w:type="dxa"/>
              <w:left w:w="108" w:type="dxa"/>
              <w:bottom w:w="0" w:type="dxa"/>
              <w:right w:w="108" w:type="dxa"/>
            </w:tcMar>
            <w:hideMark/>
          </w:tcPr>
          <w:p w14:paraId="72213D93" w14:textId="77777777" w:rsidR="00A866EC" w:rsidRPr="005A0927" w:rsidRDefault="00A866EC" w:rsidP="00FD60D6">
            <w:pPr>
              <w:rPr>
                <w:rFonts w:cstheme="minorHAnsi"/>
                <w:color w:val="000000"/>
                <w:sz w:val="20"/>
                <w:szCs w:val="20"/>
              </w:rPr>
            </w:pPr>
            <w:r w:rsidRPr="005A0927">
              <w:rPr>
                <w:rFonts w:cstheme="minorHAnsi"/>
                <w:color w:val="000000"/>
                <w:sz w:val="20"/>
                <w:szCs w:val="20"/>
              </w:rPr>
              <w:t>1 per 10 residents</w:t>
            </w:r>
          </w:p>
        </w:tc>
      </w:tr>
      <w:tr w:rsidR="00A866EC" w14:paraId="3F1516DC" w14:textId="77777777" w:rsidTr="00FD60D6">
        <w:tc>
          <w:tcPr>
            <w:tcW w:w="2254" w:type="dxa"/>
            <w:tcBorders>
              <w:top w:val="nil"/>
              <w:left w:val="single" w:sz="8" w:space="0" w:color="auto"/>
              <w:bottom w:val="nil"/>
              <w:right w:val="single" w:sz="8" w:space="0" w:color="auto"/>
            </w:tcBorders>
            <w:shd w:val="clear" w:color="auto" w:fill="F4C4C5"/>
            <w:tcMar>
              <w:top w:w="0" w:type="dxa"/>
              <w:left w:w="108" w:type="dxa"/>
              <w:bottom w:w="0" w:type="dxa"/>
              <w:right w:w="108" w:type="dxa"/>
            </w:tcMar>
          </w:tcPr>
          <w:p w14:paraId="5282620F" w14:textId="77777777" w:rsidR="00A866EC" w:rsidRPr="005A0927" w:rsidRDefault="00A866EC" w:rsidP="00FD60D6">
            <w:pPr>
              <w:rPr>
                <w:rFonts w:cstheme="minorHAnsi"/>
                <w:color w:val="000000"/>
                <w:sz w:val="20"/>
                <w:szCs w:val="20"/>
              </w:rPr>
            </w:pPr>
          </w:p>
        </w:tc>
        <w:tc>
          <w:tcPr>
            <w:tcW w:w="2254" w:type="dxa"/>
            <w:tcBorders>
              <w:top w:val="nil"/>
              <w:left w:val="nil"/>
              <w:bottom w:val="single" w:sz="8" w:space="0" w:color="auto"/>
              <w:right w:val="single" w:sz="8" w:space="0" w:color="auto"/>
            </w:tcBorders>
            <w:shd w:val="clear" w:color="auto" w:fill="FCEEEE"/>
            <w:tcMar>
              <w:top w:w="0" w:type="dxa"/>
              <w:left w:w="108" w:type="dxa"/>
              <w:bottom w:w="0" w:type="dxa"/>
              <w:right w:w="108" w:type="dxa"/>
            </w:tcMar>
            <w:hideMark/>
          </w:tcPr>
          <w:p w14:paraId="6EF8B4B6" w14:textId="77777777" w:rsidR="00A866EC" w:rsidRPr="005A0927" w:rsidRDefault="00A866EC" w:rsidP="00FD60D6">
            <w:pPr>
              <w:rPr>
                <w:rFonts w:cstheme="minorHAnsi"/>
                <w:color w:val="000000"/>
                <w:sz w:val="20"/>
                <w:szCs w:val="20"/>
              </w:rPr>
            </w:pPr>
            <w:r w:rsidRPr="005A0927">
              <w:rPr>
                <w:rFonts w:cstheme="minorHAnsi"/>
                <w:color w:val="000000"/>
                <w:sz w:val="20"/>
                <w:szCs w:val="20"/>
              </w:rPr>
              <w:t>Residential Apartment</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56399B7C" w14:textId="77777777" w:rsidR="00A866EC" w:rsidRPr="005A0927" w:rsidRDefault="00A866EC" w:rsidP="00FD60D6">
            <w:pPr>
              <w:rPr>
                <w:rFonts w:cstheme="minorHAnsi"/>
                <w:strike/>
                <w:color w:val="FF0000"/>
                <w:sz w:val="20"/>
                <w:szCs w:val="20"/>
              </w:rPr>
            </w:pPr>
            <w:r w:rsidRPr="005A0927">
              <w:rPr>
                <w:rFonts w:cstheme="minorHAnsi"/>
                <w:strike/>
                <w:color w:val="FF0000"/>
                <w:sz w:val="20"/>
                <w:szCs w:val="20"/>
              </w:rPr>
              <w:t>1 per 5 apartments</w:t>
            </w:r>
          </w:p>
          <w:p w14:paraId="7B0EB724" w14:textId="77777777" w:rsidR="00A866EC" w:rsidRPr="005A0927" w:rsidRDefault="00A866EC" w:rsidP="00FD60D6">
            <w:pPr>
              <w:rPr>
                <w:rFonts w:cstheme="minorHAnsi"/>
                <w:b/>
                <w:bCs/>
                <w:color w:val="FF0000"/>
                <w:sz w:val="20"/>
                <w:szCs w:val="20"/>
              </w:rPr>
            </w:pPr>
            <w:r w:rsidRPr="005A0927">
              <w:rPr>
                <w:rFonts w:cstheme="minorHAnsi"/>
                <w:b/>
                <w:bCs/>
                <w:color w:val="00B050"/>
                <w:sz w:val="20"/>
                <w:szCs w:val="20"/>
              </w:rPr>
              <w:t>1 per bedroom</w:t>
            </w:r>
          </w:p>
        </w:tc>
        <w:tc>
          <w:tcPr>
            <w:tcW w:w="2259" w:type="dxa"/>
            <w:tcBorders>
              <w:top w:val="nil"/>
              <w:left w:val="nil"/>
              <w:bottom w:val="single" w:sz="8" w:space="0" w:color="auto"/>
              <w:right w:val="single" w:sz="8" w:space="0" w:color="auto"/>
            </w:tcBorders>
            <w:tcMar>
              <w:top w:w="0" w:type="dxa"/>
              <w:left w:w="108" w:type="dxa"/>
              <w:bottom w:w="0" w:type="dxa"/>
              <w:right w:w="108" w:type="dxa"/>
            </w:tcMar>
            <w:hideMark/>
          </w:tcPr>
          <w:p w14:paraId="7E94CAC6" w14:textId="77777777" w:rsidR="00A866EC" w:rsidRPr="005A0927" w:rsidRDefault="00A866EC" w:rsidP="00FD60D6">
            <w:pPr>
              <w:rPr>
                <w:rFonts w:cstheme="minorHAnsi"/>
                <w:strike/>
                <w:color w:val="FF0000"/>
                <w:sz w:val="20"/>
                <w:szCs w:val="20"/>
              </w:rPr>
            </w:pPr>
            <w:r w:rsidRPr="005A0927">
              <w:rPr>
                <w:rFonts w:cstheme="minorHAnsi"/>
                <w:strike/>
                <w:color w:val="FF0000"/>
                <w:sz w:val="20"/>
                <w:szCs w:val="20"/>
              </w:rPr>
              <w:t>1 per 10 apartments</w:t>
            </w:r>
          </w:p>
          <w:p w14:paraId="2D3400F2" w14:textId="77777777" w:rsidR="00A866EC" w:rsidRPr="005A0927" w:rsidRDefault="00A866EC" w:rsidP="00FD60D6">
            <w:pPr>
              <w:rPr>
                <w:rFonts w:cstheme="minorHAnsi"/>
                <w:b/>
                <w:bCs/>
                <w:color w:val="FF0000"/>
                <w:sz w:val="20"/>
                <w:szCs w:val="20"/>
              </w:rPr>
            </w:pPr>
            <w:r w:rsidRPr="005A0927">
              <w:rPr>
                <w:rFonts w:cstheme="minorHAnsi"/>
                <w:b/>
                <w:bCs/>
                <w:color w:val="00B050"/>
                <w:sz w:val="20"/>
                <w:szCs w:val="20"/>
              </w:rPr>
              <w:t>1 per two apartments</w:t>
            </w:r>
          </w:p>
        </w:tc>
      </w:tr>
      <w:tr w:rsidR="00A866EC" w14:paraId="7B30315C" w14:textId="77777777" w:rsidTr="00FD60D6">
        <w:tc>
          <w:tcPr>
            <w:tcW w:w="2254" w:type="dxa"/>
            <w:tcBorders>
              <w:top w:val="nil"/>
              <w:left w:val="single" w:sz="8" w:space="0" w:color="auto"/>
              <w:bottom w:val="single" w:sz="8" w:space="0" w:color="auto"/>
              <w:right w:val="single" w:sz="8" w:space="0" w:color="auto"/>
            </w:tcBorders>
            <w:shd w:val="clear" w:color="auto" w:fill="F4C4C5"/>
            <w:tcMar>
              <w:top w:w="0" w:type="dxa"/>
              <w:left w:w="108" w:type="dxa"/>
              <w:bottom w:w="0" w:type="dxa"/>
              <w:right w:w="108" w:type="dxa"/>
            </w:tcMar>
          </w:tcPr>
          <w:p w14:paraId="271AD2AF" w14:textId="77777777" w:rsidR="00A866EC" w:rsidRPr="005A0927" w:rsidRDefault="00A866EC" w:rsidP="00FD60D6">
            <w:pPr>
              <w:rPr>
                <w:rFonts w:cstheme="minorHAnsi"/>
                <w:color w:val="000000"/>
                <w:sz w:val="20"/>
                <w:szCs w:val="20"/>
              </w:rPr>
            </w:pPr>
          </w:p>
        </w:tc>
        <w:tc>
          <w:tcPr>
            <w:tcW w:w="2254" w:type="dxa"/>
            <w:tcBorders>
              <w:top w:val="nil"/>
              <w:left w:val="nil"/>
              <w:bottom w:val="single" w:sz="8" w:space="0" w:color="auto"/>
              <w:right w:val="single" w:sz="8" w:space="0" w:color="auto"/>
            </w:tcBorders>
            <w:shd w:val="clear" w:color="auto" w:fill="FCEEEE"/>
            <w:tcMar>
              <w:top w:w="0" w:type="dxa"/>
              <w:left w:w="108" w:type="dxa"/>
              <w:bottom w:w="0" w:type="dxa"/>
              <w:right w:w="108" w:type="dxa"/>
            </w:tcMar>
            <w:hideMark/>
          </w:tcPr>
          <w:p w14:paraId="4B115878" w14:textId="77777777" w:rsidR="00A866EC" w:rsidRPr="005A0927" w:rsidRDefault="00A866EC" w:rsidP="00FD60D6">
            <w:pPr>
              <w:rPr>
                <w:rFonts w:cstheme="minorHAnsi"/>
                <w:color w:val="000000"/>
                <w:sz w:val="20"/>
                <w:szCs w:val="20"/>
              </w:rPr>
            </w:pPr>
            <w:r w:rsidRPr="005A0927">
              <w:rPr>
                <w:rFonts w:cstheme="minorHAnsi"/>
                <w:color w:val="000000"/>
                <w:sz w:val="20"/>
                <w:szCs w:val="20"/>
              </w:rPr>
              <w:t>Student Accommodation</w:t>
            </w:r>
          </w:p>
        </w:tc>
        <w:tc>
          <w:tcPr>
            <w:tcW w:w="2254" w:type="dxa"/>
            <w:tcBorders>
              <w:top w:val="nil"/>
              <w:left w:val="nil"/>
              <w:bottom w:val="single" w:sz="8" w:space="0" w:color="auto"/>
              <w:right w:val="single" w:sz="8" w:space="0" w:color="auto"/>
            </w:tcBorders>
            <w:tcMar>
              <w:top w:w="0" w:type="dxa"/>
              <w:left w:w="108" w:type="dxa"/>
              <w:bottom w:w="0" w:type="dxa"/>
              <w:right w:w="108" w:type="dxa"/>
            </w:tcMar>
            <w:hideMark/>
          </w:tcPr>
          <w:p w14:paraId="737BC5B6" w14:textId="77777777" w:rsidR="00A866EC" w:rsidRPr="005A0927" w:rsidRDefault="00A866EC" w:rsidP="00FD60D6">
            <w:pPr>
              <w:rPr>
                <w:rFonts w:cstheme="minorHAnsi"/>
                <w:color w:val="000000"/>
                <w:sz w:val="20"/>
                <w:szCs w:val="20"/>
              </w:rPr>
            </w:pPr>
            <w:r w:rsidRPr="005A0927">
              <w:rPr>
                <w:rFonts w:cstheme="minorHAnsi"/>
                <w:color w:val="000000"/>
                <w:sz w:val="20"/>
                <w:szCs w:val="20"/>
              </w:rPr>
              <w:t>1 per bedroom</w:t>
            </w:r>
          </w:p>
        </w:tc>
        <w:tc>
          <w:tcPr>
            <w:tcW w:w="2259" w:type="dxa"/>
            <w:tcBorders>
              <w:top w:val="nil"/>
              <w:left w:val="nil"/>
              <w:bottom w:val="single" w:sz="8" w:space="0" w:color="auto"/>
              <w:right w:val="single" w:sz="8" w:space="0" w:color="auto"/>
            </w:tcBorders>
            <w:tcMar>
              <w:top w:w="0" w:type="dxa"/>
              <w:left w:w="108" w:type="dxa"/>
              <w:bottom w:w="0" w:type="dxa"/>
              <w:right w:w="108" w:type="dxa"/>
            </w:tcMar>
            <w:hideMark/>
          </w:tcPr>
          <w:p w14:paraId="6E5CDA50" w14:textId="77777777" w:rsidR="00A866EC" w:rsidRPr="005A0927" w:rsidRDefault="00A866EC" w:rsidP="00FD60D6">
            <w:pPr>
              <w:rPr>
                <w:rFonts w:cstheme="minorHAnsi"/>
                <w:color w:val="000000"/>
                <w:sz w:val="20"/>
                <w:szCs w:val="20"/>
              </w:rPr>
            </w:pPr>
            <w:r w:rsidRPr="005A0927">
              <w:rPr>
                <w:rFonts w:cstheme="minorHAnsi"/>
                <w:color w:val="000000"/>
                <w:sz w:val="20"/>
                <w:szCs w:val="20"/>
              </w:rPr>
              <w:t>1 per 5 bedrooms</w:t>
            </w:r>
          </w:p>
        </w:tc>
      </w:tr>
    </w:tbl>
    <w:p w14:paraId="02E291D5" w14:textId="77777777" w:rsidR="00A866EC" w:rsidRPr="005A0927" w:rsidRDefault="00A866EC" w:rsidP="00A866EC">
      <w:pPr>
        <w:rPr>
          <w:rFonts w:cstheme="minorHAnsi"/>
          <w:b/>
          <w:bCs/>
          <w:color w:val="000000"/>
        </w:rPr>
      </w:pPr>
    </w:p>
    <w:p w14:paraId="49015226" w14:textId="77777777" w:rsidR="00A866EC" w:rsidRPr="005A0927" w:rsidRDefault="00A866EC" w:rsidP="00A866EC">
      <w:pPr>
        <w:rPr>
          <w:rFonts w:cstheme="minorHAnsi"/>
          <w:b/>
          <w:bCs/>
          <w:color w:val="000000"/>
        </w:rPr>
      </w:pPr>
      <w:r w:rsidRPr="005A0927">
        <w:rPr>
          <w:rFonts w:cstheme="minorHAnsi"/>
          <w:b/>
          <w:bCs/>
          <w:color w:val="000000"/>
        </w:rPr>
        <w:t>Reason:</w:t>
      </w:r>
    </w:p>
    <w:p w14:paraId="52B9575E" w14:textId="77777777" w:rsidR="00A866EC" w:rsidRPr="005A0927" w:rsidRDefault="00A866EC" w:rsidP="00A866EC">
      <w:pPr>
        <w:rPr>
          <w:rFonts w:cstheme="minorHAnsi"/>
          <w:b/>
          <w:bCs/>
          <w:color w:val="000000"/>
        </w:rPr>
      </w:pPr>
      <w:proofErr w:type="gramStart"/>
      <w:r w:rsidRPr="005A0927">
        <w:rPr>
          <w:rFonts w:cstheme="minorHAnsi"/>
          <w:color w:val="000000"/>
        </w:rPr>
        <w:t>In order to</w:t>
      </w:r>
      <w:proofErr w:type="gramEnd"/>
      <w:r w:rsidRPr="005A0927">
        <w:rPr>
          <w:rFonts w:cstheme="minorHAnsi"/>
          <w:color w:val="000000"/>
        </w:rPr>
        <w:t xml:space="preserve"> reflect bicycle parking/storage standards as set out in the document </w:t>
      </w:r>
      <w:r w:rsidRPr="005A0927">
        <w:rPr>
          <w:rFonts w:cstheme="minorHAnsi"/>
          <w:i/>
          <w:iCs/>
          <w:color w:val="000000"/>
        </w:rPr>
        <w:t>Sustainable Urban Housing: Design Standards for New Apartments (Guidelines for Planning Authorities),</w:t>
      </w:r>
      <w:r w:rsidRPr="005A0927">
        <w:rPr>
          <w:rFonts w:cstheme="minorHAnsi"/>
          <w:color w:val="000000"/>
        </w:rPr>
        <w:t xml:space="preserve"> 2020</w:t>
      </w:r>
    </w:p>
    <w:p w14:paraId="2B59A0A5" w14:textId="77777777" w:rsidR="00A866EC" w:rsidRPr="00EB1E0C" w:rsidRDefault="00A866EC" w:rsidP="00A866EC">
      <w:pPr>
        <w:rPr>
          <w:rFonts w:cstheme="minorHAnsi"/>
          <w:b/>
          <w:bCs/>
          <w:sz w:val="24"/>
          <w:szCs w:val="24"/>
          <w:lang w:val="en-GB"/>
        </w:rPr>
      </w:pPr>
      <w:r w:rsidRPr="00EB1E0C">
        <w:rPr>
          <w:rFonts w:cstheme="minorHAnsi"/>
          <w:b/>
          <w:bCs/>
          <w:sz w:val="24"/>
          <w:szCs w:val="24"/>
          <w:lang w:val="en-GB"/>
        </w:rPr>
        <w:t xml:space="preserve">CE Amendment </w:t>
      </w:r>
      <w:r>
        <w:rPr>
          <w:rFonts w:cstheme="minorHAnsi"/>
          <w:b/>
          <w:bCs/>
          <w:sz w:val="24"/>
          <w:szCs w:val="24"/>
          <w:lang w:val="en-GB"/>
        </w:rPr>
        <w:t>9:</w:t>
      </w:r>
    </w:p>
    <w:p w14:paraId="28749835" w14:textId="77777777" w:rsidR="00A866EC" w:rsidRPr="005C6BFF" w:rsidRDefault="00A866EC" w:rsidP="00A866EC">
      <w:pPr>
        <w:rPr>
          <w:rFonts w:cstheme="minorHAnsi"/>
          <w:lang w:val="en-GB"/>
        </w:rPr>
      </w:pPr>
      <w:r w:rsidRPr="005C6BFF">
        <w:rPr>
          <w:rFonts w:cstheme="minorHAnsi"/>
          <w:b/>
          <w:bCs/>
          <w:lang w:val="en-GB"/>
        </w:rPr>
        <w:t xml:space="preserve">Recommendation: </w:t>
      </w:r>
      <w:r w:rsidRPr="005C6BFF">
        <w:rPr>
          <w:rFonts w:cstheme="minorHAnsi"/>
          <w:lang w:val="en-GB"/>
        </w:rPr>
        <w:t>Insert a new map in Section 13.9.5 of Chapter 13 titled ‘Simplified Map for Areas of Significance for Airports’ [see below]</w:t>
      </w:r>
    </w:p>
    <w:p w14:paraId="1C0000EC" w14:textId="77777777" w:rsidR="00A866EC" w:rsidRPr="005C6BFF" w:rsidRDefault="00A866EC" w:rsidP="00A866EC">
      <w:pPr>
        <w:rPr>
          <w:rFonts w:cstheme="minorHAnsi"/>
          <w:lang w:val="en-GB"/>
        </w:rPr>
      </w:pPr>
      <w:r w:rsidRPr="005C6BFF">
        <w:rPr>
          <w:rFonts w:cstheme="minorHAnsi"/>
          <w:b/>
          <w:bCs/>
          <w:lang w:val="en-GB"/>
        </w:rPr>
        <w:t>Reason:</w:t>
      </w:r>
      <w:r w:rsidRPr="005C6BFF">
        <w:rPr>
          <w:rFonts w:cstheme="minorHAnsi"/>
          <w:lang w:val="en-GB"/>
        </w:rPr>
        <w:t xml:space="preserve"> This map has been developed as a composite map to help with the identification of areas that are subject to airport restrictions and to help identify applications that may need to be referred to the relevant airport authorities.</w:t>
      </w:r>
    </w:p>
    <w:p w14:paraId="47302524" w14:textId="77777777" w:rsidR="00A866EC" w:rsidRPr="005A0927" w:rsidRDefault="00A866EC" w:rsidP="00A866EC">
      <w:pPr>
        <w:rPr>
          <w:rFonts w:cstheme="minorHAnsi"/>
          <w:lang w:val="en-GB"/>
        </w:rPr>
      </w:pPr>
      <w:r w:rsidRPr="005A0927">
        <w:rPr>
          <w:rFonts w:cstheme="minorHAnsi"/>
          <w:noProof/>
          <w:lang w:val="en-GB"/>
        </w:rPr>
        <w:lastRenderedPageBreak/>
        <w:drawing>
          <wp:inline distT="0" distB="0" distL="0" distR="0" wp14:anchorId="6FA419DE" wp14:editId="05815A87">
            <wp:extent cx="5731510" cy="4645660"/>
            <wp:effectExtent l="0" t="0" r="2540" b="254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4"/>
                    <a:stretch>
                      <a:fillRect/>
                    </a:stretch>
                  </pic:blipFill>
                  <pic:spPr>
                    <a:xfrm>
                      <a:off x="0" y="0"/>
                      <a:ext cx="5731510" cy="4645660"/>
                    </a:xfrm>
                    <a:prstGeom prst="rect">
                      <a:avLst/>
                    </a:prstGeom>
                  </pic:spPr>
                </pic:pic>
              </a:graphicData>
            </a:graphic>
          </wp:inline>
        </w:drawing>
      </w:r>
    </w:p>
    <w:p w14:paraId="1D0DB3E4" w14:textId="77777777" w:rsidR="00A866EC" w:rsidRPr="005A0927" w:rsidRDefault="00A866EC" w:rsidP="00A866EC">
      <w:pPr>
        <w:rPr>
          <w:rFonts w:cstheme="minorHAnsi"/>
          <w:lang w:val="en-GB"/>
        </w:rPr>
      </w:pPr>
    </w:p>
    <w:p w14:paraId="31BAF531" w14:textId="77777777" w:rsidR="00A866EC" w:rsidRPr="005A0927" w:rsidRDefault="00A866EC" w:rsidP="00A866EC">
      <w:pPr>
        <w:rPr>
          <w:rFonts w:cstheme="minorHAnsi"/>
          <w:b/>
          <w:bCs/>
          <w:sz w:val="28"/>
          <w:szCs w:val="28"/>
          <w:lang w:val="en-GB"/>
        </w:rPr>
      </w:pPr>
      <w:r w:rsidRPr="005A0927">
        <w:rPr>
          <w:rFonts w:cstheme="minorHAnsi"/>
          <w:b/>
          <w:bCs/>
          <w:sz w:val="28"/>
          <w:szCs w:val="28"/>
          <w:lang w:val="en-GB"/>
        </w:rPr>
        <w:t>General Proofing</w:t>
      </w:r>
    </w:p>
    <w:p w14:paraId="6C5D1797" w14:textId="77777777" w:rsidR="00A866EC" w:rsidRPr="005A0927" w:rsidRDefault="00A866EC" w:rsidP="00A866EC">
      <w:pPr>
        <w:rPr>
          <w:rFonts w:cstheme="minorHAnsi"/>
          <w:b/>
          <w:bCs/>
          <w:sz w:val="24"/>
          <w:szCs w:val="24"/>
          <w:lang w:val="en-GB"/>
        </w:rPr>
      </w:pPr>
      <w:r w:rsidRPr="005A0927">
        <w:rPr>
          <w:rFonts w:cstheme="minorHAnsi"/>
          <w:b/>
          <w:bCs/>
          <w:sz w:val="24"/>
          <w:szCs w:val="24"/>
          <w:lang w:val="en-GB"/>
        </w:rPr>
        <w:t>CE Amendment 1</w:t>
      </w:r>
      <w:r>
        <w:rPr>
          <w:rFonts w:cstheme="minorHAnsi"/>
          <w:b/>
          <w:bCs/>
          <w:sz w:val="24"/>
          <w:szCs w:val="24"/>
          <w:lang w:val="en-GB"/>
        </w:rPr>
        <w:t>0:</w:t>
      </w:r>
    </w:p>
    <w:p w14:paraId="4A5EDDF0" w14:textId="77777777" w:rsidR="00A866EC" w:rsidRPr="005A0927" w:rsidRDefault="00A866EC" w:rsidP="00A866EC">
      <w:pPr>
        <w:rPr>
          <w:rFonts w:cstheme="minorHAnsi"/>
          <w:sz w:val="24"/>
          <w:szCs w:val="24"/>
          <w:lang w:val="en-GB"/>
        </w:rPr>
      </w:pPr>
      <w:r w:rsidRPr="005A0927">
        <w:rPr>
          <w:rFonts w:cstheme="minorHAnsi"/>
          <w:b/>
          <w:bCs/>
          <w:sz w:val="24"/>
          <w:szCs w:val="24"/>
          <w:lang w:val="en-GB"/>
        </w:rPr>
        <w:t xml:space="preserve">Recommendation: </w:t>
      </w:r>
      <w:r w:rsidRPr="005A0927">
        <w:rPr>
          <w:rFonts w:cstheme="minorHAnsi"/>
          <w:sz w:val="24"/>
          <w:szCs w:val="24"/>
          <w:lang w:val="en-GB"/>
        </w:rPr>
        <w:t>To correct typographical errors, update references to documents and minor edits where no change to the meaning of text, policy or objectives within the written statement or maps occurs.</w:t>
      </w:r>
    </w:p>
    <w:p w14:paraId="34751130" w14:textId="77777777" w:rsidR="00A866EC" w:rsidRPr="005A0927" w:rsidRDefault="00A866EC" w:rsidP="00A866EC">
      <w:pPr>
        <w:rPr>
          <w:rFonts w:cstheme="minorHAnsi"/>
          <w:sz w:val="24"/>
          <w:szCs w:val="24"/>
          <w:lang w:val="en-GB"/>
        </w:rPr>
      </w:pPr>
      <w:r w:rsidRPr="005A0927">
        <w:rPr>
          <w:rFonts w:cstheme="minorHAnsi"/>
          <w:b/>
          <w:bCs/>
          <w:sz w:val="24"/>
          <w:szCs w:val="24"/>
          <w:lang w:val="en-GB"/>
        </w:rPr>
        <w:t>Reason:</w:t>
      </w:r>
      <w:r w:rsidRPr="005A0927">
        <w:rPr>
          <w:rFonts w:cstheme="minorHAnsi"/>
          <w:sz w:val="24"/>
          <w:szCs w:val="24"/>
          <w:lang w:val="en-GB"/>
        </w:rPr>
        <w:t xml:space="preserve"> To ensure that the Plan amends typographical errors and minor edits and reflects current policy documents where these may have changed since the writing of the CE Draft prior to publication as the Draft Plan.</w:t>
      </w:r>
    </w:p>
    <w:p w14:paraId="0A211F7B" w14:textId="77777777" w:rsidR="00A866EC" w:rsidRPr="005A0927" w:rsidRDefault="00A866EC" w:rsidP="00A866EC">
      <w:pPr>
        <w:rPr>
          <w:rFonts w:cstheme="minorHAnsi"/>
          <w:b/>
          <w:bCs/>
          <w:sz w:val="24"/>
          <w:szCs w:val="24"/>
          <w:lang w:val="en-GB"/>
        </w:rPr>
      </w:pPr>
      <w:r w:rsidRPr="005A0927">
        <w:rPr>
          <w:rFonts w:cstheme="minorHAnsi"/>
          <w:b/>
          <w:bCs/>
          <w:sz w:val="24"/>
          <w:szCs w:val="24"/>
          <w:lang w:val="en-GB"/>
        </w:rPr>
        <w:t>CE Amendment 1</w:t>
      </w:r>
      <w:r>
        <w:rPr>
          <w:rFonts w:cstheme="minorHAnsi"/>
          <w:b/>
          <w:bCs/>
          <w:sz w:val="24"/>
          <w:szCs w:val="24"/>
          <w:lang w:val="en-GB"/>
        </w:rPr>
        <w:t>1:</w:t>
      </w:r>
    </w:p>
    <w:p w14:paraId="33C15846" w14:textId="77777777" w:rsidR="00A866EC" w:rsidRPr="005A0927" w:rsidRDefault="00A866EC" w:rsidP="00A866EC">
      <w:pPr>
        <w:rPr>
          <w:rFonts w:cstheme="minorHAnsi"/>
          <w:sz w:val="24"/>
          <w:szCs w:val="24"/>
          <w:lang w:val="en-GB"/>
        </w:rPr>
      </w:pPr>
      <w:r w:rsidRPr="005A0927">
        <w:rPr>
          <w:rFonts w:cstheme="minorHAnsi"/>
          <w:sz w:val="24"/>
          <w:szCs w:val="24"/>
          <w:lang w:val="en-GB"/>
        </w:rPr>
        <w:t xml:space="preserve">To replace all instances of the words ‘elderly persons’ with the words ‘older </w:t>
      </w:r>
      <w:proofErr w:type="gramStart"/>
      <w:r w:rsidRPr="005A0927">
        <w:rPr>
          <w:rFonts w:cstheme="minorHAnsi"/>
          <w:sz w:val="24"/>
          <w:szCs w:val="24"/>
          <w:lang w:val="en-GB"/>
        </w:rPr>
        <w:t>persons’</w:t>
      </w:r>
      <w:proofErr w:type="gramEnd"/>
      <w:r w:rsidRPr="005A0927">
        <w:rPr>
          <w:rFonts w:cstheme="minorHAnsi"/>
          <w:sz w:val="24"/>
          <w:szCs w:val="24"/>
          <w:lang w:val="en-GB"/>
        </w:rPr>
        <w:t xml:space="preserve">.  </w:t>
      </w:r>
    </w:p>
    <w:p w14:paraId="1B643DD0" w14:textId="77777777" w:rsidR="00A866EC" w:rsidRPr="005A0927" w:rsidRDefault="00A866EC" w:rsidP="00A866EC">
      <w:pPr>
        <w:rPr>
          <w:rFonts w:cstheme="minorHAnsi"/>
          <w:sz w:val="20"/>
          <w:szCs w:val="20"/>
          <w:lang w:val="en-GB"/>
        </w:rPr>
      </w:pPr>
    </w:p>
    <w:p w14:paraId="3744A25B" w14:textId="77777777" w:rsidR="00E26136" w:rsidRDefault="00E26136"/>
    <w:sectPr w:rsidR="00E26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EC"/>
    <w:rsid w:val="007E40F3"/>
    <w:rsid w:val="008C2FA8"/>
    <w:rsid w:val="00A866EC"/>
    <w:rsid w:val="00E261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D1D5"/>
  <w15:chartTrackingRefBased/>
  <w15:docId w15:val="{0699CCCC-B499-433B-BF4B-B1FF73F4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6EC"/>
    <w:pPr>
      <w:spacing w:before="100" w:beforeAutospacing="1" w:after="100" w:afterAutospacing="1" w:line="240" w:lineRule="auto"/>
    </w:pPr>
    <w:rPr>
      <w:rFonts w:ascii="Calibri" w:hAnsi="Calibri" w:cs="Calibri"/>
      <w:lang w:eastAsia="en-IE"/>
    </w:rPr>
  </w:style>
  <w:style w:type="character" w:styleId="Strong">
    <w:name w:val="Strong"/>
    <w:basedOn w:val="DefaultParagraphFont"/>
    <w:uiPriority w:val="22"/>
    <w:qFormat/>
    <w:rsid w:val="00A86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1493</Words>
  <Characters>8514</Characters>
  <Application>Microsoft Office Word</Application>
  <DocSecurity>4</DocSecurity>
  <Lines>70</Lines>
  <Paragraphs>19</Paragraphs>
  <ScaleCrop>false</ScaleCrop>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Duff</dc:creator>
  <cp:keywords/>
  <dc:description/>
  <cp:lastModifiedBy>Edel Colgan</cp:lastModifiedBy>
  <cp:revision>2</cp:revision>
  <dcterms:created xsi:type="dcterms:W3CDTF">2021-06-24T14:10:00Z</dcterms:created>
  <dcterms:modified xsi:type="dcterms:W3CDTF">2021-06-24T14:10:00Z</dcterms:modified>
</cp:coreProperties>
</file>