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2A16" w14:textId="388ABCAE" w:rsidR="00263C31" w:rsidRDefault="00B95849" w:rsidP="00B95849">
      <w:pPr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 xml:space="preserve">Draft </w:t>
      </w:r>
      <w:r w:rsidR="00FF68C6" w:rsidRPr="00B2298C">
        <w:rPr>
          <w:b/>
          <w:bCs/>
          <w:sz w:val="24"/>
          <w:szCs w:val="24"/>
          <w:u w:val="single"/>
          <w:lang w:val="en-GB"/>
        </w:rPr>
        <w:t>Dublin Regional Electric Vehicle Charging Strategy</w:t>
      </w:r>
    </w:p>
    <w:p w14:paraId="1117B908" w14:textId="67A3A6A7" w:rsidR="00B95849" w:rsidRDefault="00B95849" w:rsidP="00B95849">
      <w:pPr>
        <w:jc w:val="center"/>
        <w:rPr>
          <w:b/>
          <w:bCs/>
          <w:sz w:val="24"/>
          <w:szCs w:val="24"/>
          <w:u w:val="single"/>
          <w:lang w:val="en-GB"/>
        </w:rPr>
      </w:pPr>
    </w:p>
    <w:p w14:paraId="25A1FA9F" w14:textId="2C9D1B2C" w:rsidR="00442AA0" w:rsidRPr="00F6673F" w:rsidRDefault="00442AA0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F6673F">
        <w:rPr>
          <w:b/>
          <w:bCs/>
          <w:sz w:val="24"/>
          <w:szCs w:val="24"/>
          <w:u w:val="single"/>
          <w:lang w:val="en-GB"/>
        </w:rPr>
        <w:t>Overview</w:t>
      </w:r>
    </w:p>
    <w:p w14:paraId="7CF6902C" w14:textId="741A4955" w:rsidR="00442AA0" w:rsidRPr="00F6673F" w:rsidRDefault="00F76F9A" w:rsidP="00F6673F">
      <w:pPr>
        <w:jc w:val="both"/>
        <w:rPr>
          <w:sz w:val="24"/>
          <w:szCs w:val="24"/>
          <w:lang w:val="en-GB"/>
        </w:rPr>
      </w:pPr>
      <w:r w:rsidRPr="00F6673F">
        <w:rPr>
          <w:sz w:val="24"/>
          <w:szCs w:val="24"/>
          <w:lang w:val="en-GB"/>
        </w:rPr>
        <w:t>To</w:t>
      </w:r>
      <w:r w:rsidR="008E0BF6" w:rsidRPr="00F6673F">
        <w:rPr>
          <w:sz w:val="24"/>
          <w:szCs w:val="24"/>
          <w:lang w:val="en-GB"/>
        </w:rPr>
        <w:t xml:space="preserve"> inform the LAs on the requirements for numbers, type and optimal locations of chargers, it was agreed that a consultancy team would be best suited to develop the strategy.</w:t>
      </w:r>
      <w:r w:rsidR="00666B35" w:rsidRPr="00F6673F">
        <w:rPr>
          <w:sz w:val="24"/>
          <w:szCs w:val="24"/>
          <w:lang w:val="en-GB"/>
        </w:rPr>
        <w:t xml:space="preserve"> The Dublin CARO and Smart Dublin team were included on the steering group due their work in climate action and smart technology projects across the Dublin region.</w:t>
      </w:r>
    </w:p>
    <w:p w14:paraId="5FD30361" w14:textId="288F7E05" w:rsidR="00F6673F" w:rsidRPr="00F6673F" w:rsidRDefault="00442AA0" w:rsidP="00F6673F">
      <w:pPr>
        <w:jc w:val="both"/>
        <w:rPr>
          <w:sz w:val="24"/>
          <w:szCs w:val="24"/>
        </w:rPr>
      </w:pPr>
      <w:r w:rsidRPr="00F6673F">
        <w:rPr>
          <w:sz w:val="24"/>
          <w:szCs w:val="24"/>
        </w:rPr>
        <w:t>The objective of th</w:t>
      </w:r>
      <w:r w:rsidR="00E744E7">
        <w:rPr>
          <w:sz w:val="24"/>
          <w:szCs w:val="24"/>
        </w:rPr>
        <w:t>e strategy</w:t>
      </w:r>
      <w:r w:rsidRPr="00F6673F">
        <w:rPr>
          <w:sz w:val="24"/>
          <w:szCs w:val="24"/>
        </w:rPr>
        <w:t xml:space="preserve"> </w:t>
      </w:r>
      <w:r w:rsidR="00E744E7">
        <w:rPr>
          <w:sz w:val="24"/>
          <w:szCs w:val="24"/>
        </w:rPr>
        <w:t>was</w:t>
      </w:r>
      <w:r w:rsidRPr="00F6673F">
        <w:rPr>
          <w:sz w:val="24"/>
          <w:szCs w:val="24"/>
        </w:rPr>
        <w:t xml:space="preserve"> to produce an EV charging network strategy for the Dublin region</w:t>
      </w:r>
      <w:r w:rsidR="00F6673F" w:rsidRPr="00F6673F">
        <w:rPr>
          <w:sz w:val="24"/>
          <w:szCs w:val="24"/>
        </w:rPr>
        <w:t xml:space="preserve">, </w:t>
      </w:r>
      <w:r w:rsidRPr="00F6673F">
        <w:rPr>
          <w:sz w:val="24"/>
          <w:szCs w:val="24"/>
        </w:rPr>
        <w:t>tak</w:t>
      </w:r>
      <w:r w:rsidR="00F6673F" w:rsidRPr="00F6673F">
        <w:rPr>
          <w:sz w:val="24"/>
          <w:szCs w:val="24"/>
        </w:rPr>
        <w:t>ing</w:t>
      </w:r>
      <w:r w:rsidRPr="00F6673F">
        <w:rPr>
          <w:sz w:val="24"/>
          <w:szCs w:val="24"/>
        </w:rPr>
        <w:t xml:space="preserve"> account of the following factors: </w:t>
      </w:r>
    </w:p>
    <w:p w14:paraId="4B9B54C5" w14:textId="1AA0F4BC" w:rsidR="00F6673F" w:rsidRPr="00F6673F" w:rsidRDefault="00442AA0" w:rsidP="00F6673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6673F">
        <w:rPr>
          <w:sz w:val="24"/>
          <w:szCs w:val="24"/>
        </w:rPr>
        <w:t xml:space="preserve">Future Electric Vehicle numbers and charging needs. </w:t>
      </w:r>
    </w:p>
    <w:p w14:paraId="77801660" w14:textId="4DE66E97" w:rsidR="00F6673F" w:rsidRPr="00F6673F" w:rsidRDefault="00442AA0" w:rsidP="00F6673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6673F">
        <w:rPr>
          <w:sz w:val="24"/>
          <w:szCs w:val="24"/>
        </w:rPr>
        <w:t xml:space="preserve">Current and future consumer preferences (e.g. slow vs. rapid charging including the provision of hubs). </w:t>
      </w:r>
    </w:p>
    <w:p w14:paraId="22F103C3" w14:textId="5C5FAFFA" w:rsidR="00F6673F" w:rsidRPr="00F6673F" w:rsidRDefault="00442AA0" w:rsidP="00F6673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6673F">
        <w:rPr>
          <w:sz w:val="24"/>
          <w:szCs w:val="24"/>
        </w:rPr>
        <w:t xml:space="preserve">European Union and Irish Government policy and legislative requirements. </w:t>
      </w:r>
    </w:p>
    <w:p w14:paraId="4ADB8298" w14:textId="41251EFB" w:rsidR="00F6673F" w:rsidRPr="00F6673F" w:rsidRDefault="00442AA0" w:rsidP="00F6673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6673F">
        <w:rPr>
          <w:sz w:val="24"/>
          <w:szCs w:val="24"/>
        </w:rPr>
        <w:t xml:space="preserve">International best practice. </w:t>
      </w:r>
    </w:p>
    <w:p w14:paraId="4ED96012" w14:textId="166C41AB" w:rsidR="00F6673F" w:rsidRPr="00F6673F" w:rsidRDefault="00442AA0" w:rsidP="00F6673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6673F">
        <w:rPr>
          <w:sz w:val="24"/>
          <w:szCs w:val="24"/>
        </w:rPr>
        <w:t xml:space="preserve">suitable locations/mix of fast/slow EVCPs having regard to the balance that might be required in line with policy of encouraging a modal shift to public transport etc. </w:t>
      </w:r>
    </w:p>
    <w:p w14:paraId="0B31E22B" w14:textId="4CF68685" w:rsidR="00C63419" w:rsidRPr="00B2298C" w:rsidRDefault="00E744E7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National Objectives</w:t>
      </w:r>
    </w:p>
    <w:p w14:paraId="048A53A1" w14:textId="04E199D3" w:rsidR="00C63419" w:rsidRDefault="00C63419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strategy </w:t>
      </w:r>
      <w:r w:rsidR="00BD76A0">
        <w:rPr>
          <w:sz w:val="24"/>
          <w:szCs w:val="24"/>
          <w:lang w:val="en-GB"/>
        </w:rPr>
        <w:t xml:space="preserve">describes the </w:t>
      </w:r>
      <w:r w:rsidR="00FA4670">
        <w:rPr>
          <w:sz w:val="24"/>
          <w:szCs w:val="24"/>
          <w:lang w:val="en-GB"/>
        </w:rPr>
        <w:t xml:space="preserve">National </w:t>
      </w:r>
      <w:r w:rsidR="00BD76A0">
        <w:rPr>
          <w:sz w:val="24"/>
          <w:szCs w:val="24"/>
          <w:lang w:val="en-GB"/>
        </w:rPr>
        <w:t>targets</w:t>
      </w:r>
      <w:r w:rsidR="00FA4670">
        <w:rPr>
          <w:sz w:val="24"/>
          <w:szCs w:val="24"/>
          <w:lang w:val="en-GB"/>
        </w:rPr>
        <w:t xml:space="preserve"> on </w:t>
      </w:r>
      <w:r w:rsidR="00BD76A0">
        <w:rPr>
          <w:sz w:val="24"/>
          <w:szCs w:val="24"/>
          <w:lang w:val="en-GB"/>
        </w:rPr>
        <w:t xml:space="preserve">electric vehicle uptake </w:t>
      </w:r>
      <w:r w:rsidR="00723E5A">
        <w:rPr>
          <w:sz w:val="24"/>
          <w:szCs w:val="24"/>
          <w:lang w:val="en-GB"/>
        </w:rPr>
        <w:t>by 2030</w:t>
      </w:r>
      <w:r w:rsidR="00F57FD6">
        <w:rPr>
          <w:sz w:val="24"/>
          <w:szCs w:val="24"/>
          <w:lang w:val="en-GB"/>
        </w:rPr>
        <w:t>.</w:t>
      </w:r>
      <w:r w:rsidR="0028198C">
        <w:rPr>
          <w:sz w:val="24"/>
          <w:szCs w:val="24"/>
          <w:lang w:val="en-GB"/>
        </w:rPr>
        <w:t xml:space="preserve"> It describes the current political </w:t>
      </w:r>
      <w:r w:rsidR="00FE3B81">
        <w:rPr>
          <w:sz w:val="24"/>
          <w:szCs w:val="24"/>
          <w:lang w:val="en-GB"/>
        </w:rPr>
        <w:t>environment and</w:t>
      </w:r>
      <w:r w:rsidR="00CA5AA7">
        <w:rPr>
          <w:sz w:val="24"/>
          <w:szCs w:val="24"/>
          <w:lang w:val="en-GB"/>
        </w:rPr>
        <w:t xml:space="preserve"> programme for Government </w:t>
      </w:r>
      <w:r w:rsidR="00F57FD6">
        <w:rPr>
          <w:sz w:val="24"/>
          <w:szCs w:val="24"/>
          <w:lang w:val="en-GB"/>
        </w:rPr>
        <w:t>and the Green objectives</w:t>
      </w:r>
      <w:r w:rsidR="00767828">
        <w:rPr>
          <w:sz w:val="24"/>
          <w:szCs w:val="24"/>
          <w:lang w:val="en-GB"/>
        </w:rPr>
        <w:t>. It</w:t>
      </w:r>
      <w:r w:rsidR="00340E8A">
        <w:rPr>
          <w:sz w:val="24"/>
          <w:szCs w:val="24"/>
          <w:lang w:val="en-GB"/>
        </w:rPr>
        <w:t xml:space="preserve"> outlines the national targets on carbon reductions by 2030 and </w:t>
      </w:r>
      <w:r w:rsidR="00BA210B">
        <w:rPr>
          <w:sz w:val="24"/>
          <w:szCs w:val="24"/>
          <w:lang w:val="en-GB"/>
        </w:rPr>
        <w:t>carbon neutrality by 2050</w:t>
      </w:r>
      <w:r w:rsidR="00F1207A">
        <w:rPr>
          <w:sz w:val="24"/>
          <w:szCs w:val="24"/>
          <w:lang w:val="en-GB"/>
        </w:rPr>
        <w:t>, including a ban on fossil fuelled vehicles by 2030.</w:t>
      </w:r>
    </w:p>
    <w:p w14:paraId="09771B59" w14:textId="431B18EB" w:rsidR="00F1207A" w:rsidRDefault="00952F24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report defines the significance </w:t>
      </w:r>
      <w:r w:rsidR="005F2000">
        <w:rPr>
          <w:sz w:val="24"/>
          <w:szCs w:val="24"/>
          <w:lang w:val="en-GB"/>
        </w:rPr>
        <w:t xml:space="preserve">proportion of the national fleet </w:t>
      </w:r>
      <w:r w:rsidR="0070745B">
        <w:rPr>
          <w:sz w:val="24"/>
          <w:szCs w:val="24"/>
          <w:lang w:val="en-GB"/>
        </w:rPr>
        <w:t>within the Dublin region</w:t>
      </w:r>
      <w:r w:rsidR="00A71D39">
        <w:rPr>
          <w:sz w:val="24"/>
          <w:szCs w:val="24"/>
          <w:lang w:val="en-GB"/>
        </w:rPr>
        <w:t xml:space="preserve"> (25%)</w:t>
      </w:r>
      <w:r w:rsidR="0070745B">
        <w:rPr>
          <w:sz w:val="24"/>
          <w:szCs w:val="24"/>
          <w:lang w:val="en-GB"/>
        </w:rPr>
        <w:t>.</w:t>
      </w:r>
    </w:p>
    <w:p w14:paraId="6B6DBDA7" w14:textId="032D3E58" w:rsidR="005D7E92" w:rsidRDefault="00E81D5A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States</w:t>
      </w:r>
      <w:r w:rsidR="00A4416B">
        <w:rPr>
          <w:sz w:val="24"/>
          <w:szCs w:val="24"/>
          <w:lang w:val="en-GB"/>
        </w:rPr>
        <w:t xml:space="preserve"> </w:t>
      </w:r>
      <w:r w:rsidR="00E744E7">
        <w:rPr>
          <w:sz w:val="24"/>
          <w:szCs w:val="24"/>
          <w:lang w:val="en-GB"/>
        </w:rPr>
        <w:t>the requirement</w:t>
      </w:r>
      <w:r>
        <w:rPr>
          <w:sz w:val="24"/>
          <w:szCs w:val="24"/>
          <w:lang w:val="en-GB"/>
        </w:rPr>
        <w:t xml:space="preserve"> t</w:t>
      </w:r>
      <w:r w:rsidR="001F1B2B">
        <w:rPr>
          <w:sz w:val="24"/>
          <w:szCs w:val="24"/>
          <w:lang w:val="en-GB"/>
        </w:rPr>
        <w:t xml:space="preserve">o deliver </w:t>
      </w:r>
      <w:r w:rsidR="00B600DF">
        <w:rPr>
          <w:sz w:val="24"/>
          <w:szCs w:val="24"/>
          <w:lang w:val="en-GB"/>
        </w:rPr>
        <w:t>a comprehensive EV charging network over the next 10 years.</w:t>
      </w:r>
    </w:p>
    <w:p w14:paraId="41FA5516" w14:textId="32F8D44E" w:rsidR="005D7E92" w:rsidRPr="00A4416B" w:rsidRDefault="00101CAE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A4416B">
        <w:rPr>
          <w:b/>
          <w:bCs/>
          <w:sz w:val="24"/>
          <w:szCs w:val="24"/>
          <w:u w:val="single"/>
          <w:lang w:val="en-GB"/>
        </w:rPr>
        <w:t xml:space="preserve">Current EV </w:t>
      </w:r>
      <w:r w:rsidR="00465B85" w:rsidRPr="00A4416B">
        <w:rPr>
          <w:b/>
          <w:bCs/>
          <w:sz w:val="24"/>
          <w:szCs w:val="24"/>
          <w:u w:val="single"/>
          <w:lang w:val="en-GB"/>
        </w:rPr>
        <w:t xml:space="preserve">Public </w:t>
      </w:r>
      <w:r w:rsidRPr="00A4416B">
        <w:rPr>
          <w:b/>
          <w:bCs/>
          <w:sz w:val="24"/>
          <w:szCs w:val="24"/>
          <w:u w:val="single"/>
          <w:lang w:val="en-GB"/>
        </w:rPr>
        <w:t>Charging Network</w:t>
      </w:r>
    </w:p>
    <w:p w14:paraId="1C43DA92" w14:textId="2FFD3584" w:rsidR="00B572B4" w:rsidRDefault="00B53DF5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170 charging points </w:t>
      </w:r>
      <w:r w:rsidR="00B32D30">
        <w:rPr>
          <w:sz w:val="24"/>
          <w:szCs w:val="24"/>
          <w:lang w:val="en-GB"/>
        </w:rPr>
        <w:t xml:space="preserve">in Dublin region, </w:t>
      </w:r>
      <w:r>
        <w:rPr>
          <w:sz w:val="24"/>
          <w:szCs w:val="24"/>
          <w:lang w:val="en-GB"/>
        </w:rPr>
        <w:t xml:space="preserve">65% are 22kw, 10% are </w:t>
      </w:r>
      <w:r w:rsidR="008E3381">
        <w:rPr>
          <w:sz w:val="24"/>
          <w:szCs w:val="24"/>
          <w:lang w:val="en-GB"/>
        </w:rPr>
        <w:t>50kw</w:t>
      </w:r>
      <w:r w:rsidR="00B32D30">
        <w:rPr>
          <w:sz w:val="24"/>
          <w:szCs w:val="24"/>
          <w:lang w:val="en-GB"/>
        </w:rPr>
        <w:t xml:space="preserve"> remainder are 7kw and 11kw.</w:t>
      </w:r>
    </w:p>
    <w:p w14:paraId="1FFACC9E" w14:textId="3C65DB94" w:rsidR="00A71D39" w:rsidRDefault="00A71D39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26 Public charging points in SDCC at 14 locations.</w:t>
      </w:r>
    </w:p>
    <w:p w14:paraId="2147F4FF" w14:textId="422B731D" w:rsidR="004D42F6" w:rsidRPr="005862EB" w:rsidRDefault="004D42F6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Type of EV Charging</w:t>
      </w:r>
    </w:p>
    <w:p w14:paraId="0EEBC251" w14:textId="2D2F4A72" w:rsidR="007E0AA3" w:rsidRDefault="00E744E7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strategy outline</w:t>
      </w:r>
      <w:r w:rsidR="009E26A8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the</w:t>
      </w:r>
      <w:r w:rsidR="00FE35BE">
        <w:rPr>
          <w:sz w:val="24"/>
          <w:szCs w:val="24"/>
          <w:lang w:val="en-GB"/>
        </w:rPr>
        <w:t xml:space="preserve"> type</w:t>
      </w:r>
      <w:r w:rsidR="009E26A8">
        <w:rPr>
          <w:sz w:val="24"/>
          <w:szCs w:val="24"/>
          <w:lang w:val="en-GB"/>
        </w:rPr>
        <w:t>s</w:t>
      </w:r>
      <w:r w:rsidR="00FE35BE">
        <w:rPr>
          <w:sz w:val="24"/>
          <w:szCs w:val="24"/>
          <w:lang w:val="en-GB"/>
        </w:rPr>
        <w:t xml:space="preserve"> of EV charging</w:t>
      </w:r>
      <w:r w:rsidR="009E26A8">
        <w:rPr>
          <w:sz w:val="24"/>
          <w:szCs w:val="24"/>
          <w:lang w:val="en-GB"/>
        </w:rPr>
        <w:t xml:space="preserve"> that will make up the </w:t>
      </w:r>
      <w:r w:rsidR="00D2074F">
        <w:rPr>
          <w:sz w:val="24"/>
          <w:szCs w:val="24"/>
          <w:lang w:val="en-GB"/>
        </w:rPr>
        <w:t>comprehensive</w:t>
      </w:r>
      <w:r w:rsidR="009E26A8">
        <w:rPr>
          <w:sz w:val="24"/>
          <w:szCs w:val="24"/>
          <w:lang w:val="en-GB"/>
        </w:rPr>
        <w:t xml:space="preserve"> network and the</w:t>
      </w:r>
      <w:r w:rsidR="00D2074F">
        <w:rPr>
          <w:sz w:val="24"/>
          <w:szCs w:val="24"/>
          <w:lang w:val="en-GB"/>
        </w:rPr>
        <w:t xml:space="preserve"> strategy </w:t>
      </w:r>
      <w:r w:rsidR="009E26A8">
        <w:rPr>
          <w:sz w:val="24"/>
          <w:szCs w:val="24"/>
          <w:lang w:val="en-GB"/>
        </w:rPr>
        <w:t>deals with the first 3 types namely:</w:t>
      </w:r>
    </w:p>
    <w:p w14:paraId="0F6BDD10" w14:textId="4029B2B8" w:rsidR="0033649F" w:rsidRPr="00D50A75" w:rsidRDefault="003E2865" w:rsidP="00D50A75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GB"/>
        </w:rPr>
      </w:pPr>
      <w:r w:rsidRPr="00D50A75">
        <w:rPr>
          <w:sz w:val="24"/>
          <w:szCs w:val="24"/>
          <w:lang w:val="en-GB"/>
        </w:rPr>
        <w:t>Residential (home and on-street)</w:t>
      </w:r>
    </w:p>
    <w:p w14:paraId="1ABA1AA8" w14:textId="27447650" w:rsidR="003E2865" w:rsidRPr="00D50A75" w:rsidRDefault="00914613" w:rsidP="00D50A75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GB"/>
        </w:rPr>
      </w:pPr>
      <w:r w:rsidRPr="00D50A75">
        <w:rPr>
          <w:sz w:val="24"/>
          <w:szCs w:val="24"/>
          <w:lang w:val="en-GB"/>
        </w:rPr>
        <w:t>En-route charging</w:t>
      </w:r>
    </w:p>
    <w:p w14:paraId="087BADF0" w14:textId="62347F51" w:rsidR="00914613" w:rsidRPr="00D50A75" w:rsidRDefault="0097230D" w:rsidP="00D50A75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GB"/>
        </w:rPr>
      </w:pPr>
      <w:r w:rsidRPr="00D50A75">
        <w:rPr>
          <w:sz w:val="24"/>
          <w:szCs w:val="24"/>
          <w:lang w:val="en-GB"/>
        </w:rPr>
        <w:t>Destination charging</w:t>
      </w:r>
    </w:p>
    <w:p w14:paraId="13051ED8" w14:textId="5B5372D3" w:rsidR="0097230D" w:rsidRPr="00D50A75" w:rsidRDefault="0097230D" w:rsidP="00D50A75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GB"/>
        </w:rPr>
      </w:pPr>
      <w:r w:rsidRPr="00D50A75">
        <w:rPr>
          <w:sz w:val="24"/>
          <w:szCs w:val="24"/>
          <w:lang w:val="en-GB"/>
        </w:rPr>
        <w:t>Workplace charging</w:t>
      </w:r>
    </w:p>
    <w:p w14:paraId="7F52143A" w14:textId="4BC0DFA8" w:rsidR="00AE56E8" w:rsidRDefault="00146D64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Residential charging has been split into </w:t>
      </w:r>
      <w:r w:rsidR="00D50A75">
        <w:rPr>
          <w:sz w:val="24"/>
          <w:szCs w:val="24"/>
          <w:lang w:val="en-GB"/>
        </w:rPr>
        <w:t>on-street and hub charging</w:t>
      </w:r>
      <w:r w:rsidR="0032534B">
        <w:rPr>
          <w:sz w:val="24"/>
          <w:szCs w:val="24"/>
          <w:lang w:val="en-GB"/>
        </w:rPr>
        <w:t xml:space="preserve">. </w:t>
      </w:r>
      <w:r w:rsidR="00021B4F">
        <w:rPr>
          <w:sz w:val="24"/>
          <w:szCs w:val="24"/>
          <w:lang w:val="en-GB"/>
        </w:rPr>
        <w:t xml:space="preserve">A key trend is the </w:t>
      </w:r>
      <w:r w:rsidR="00AA4AA4">
        <w:rPr>
          <w:sz w:val="24"/>
          <w:szCs w:val="24"/>
          <w:lang w:val="en-GB"/>
        </w:rPr>
        <w:t>shift to coordinated hub</w:t>
      </w:r>
      <w:r w:rsidR="00AA22C7">
        <w:rPr>
          <w:sz w:val="24"/>
          <w:szCs w:val="24"/>
          <w:lang w:val="en-GB"/>
        </w:rPr>
        <w:t>-</w:t>
      </w:r>
      <w:r w:rsidR="00AA4AA4">
        <w:rPr>
          <w:sz w:val="24"/>
          <w:szCs w:val="24"/>
          <w:lang w:val="en-GB"/>
        </w:rPr>
        <w:t>based deployment</w:t>
      </w:r>
      <w:r w:rsidR="00AA22C7">
        <w:rPr>
          <w:sz w:val="24"/>
          <w:szCs w:val="24"/>
          <w:lang w:val="en-GB"/>
        </w:rPr>
        <w:t xml:space="preserve">, utilising </w:t>
      </w:r>
      <w:r w:rsidR="003907E4">
        <w:rPr>
          <w:sz w:val="24"/>
          <w:szCs w:val="24"/>
          <w:lang w:val="en-GB"/>
        </w:rPr>
        <w:t>load balancing/management</w:t>
      </w:r>
      <w:r w:rsidR="00431E37">
        <w:rPr>
          <w:sz w:val="24"/>
          <w:szCs w:val="24"/>
          <w:lang w:val="en-GB"/>
        </w:rPr>
        <w:t xml:space="preserve"> which offers benefits where </w:t>
      </w:r>
      <w:r w:rsidR="007B550F">
        <w:rPr>
          <w:sz w:val="24"/>
          <w:szCs w:val="24"/>
          <w:lang w:val="en-GB"/>
        </w:rPr>
        <w:t xml:space="preserve">(power) </w:t>
      </w:r>
      <w:r w:rsidR="00431E37">
        <w:rPr>
          <w:sz w:val="24"/>
          <w:szCs w:val="24"/>
          <w:lang w:val="en-GB"/>
        </w:rPr>
        <w:t>capacity is limited</w:t>
      </w:r>
      <w:r w:rsidR="007B550F">
        <w:rPr>
          <w:sz w:val="24"/>
          <w:szCs w:val="24"/>
          <w:lang w:val="en-GB"/>
        </w:rPr>
        <w:t>.</w:t>
      </w:r>
    </w:p>
    <w:p w14:paraId="3E2A5193" w14:textId="24B31818" w:rsidR="00EE08A3" w:rsidRDefault="00BB10D6" w:rsidP="00EE08A3">
      <w:pPr>
        <w:jc w:val="both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Residential Charging</w:t>
      </w:r>
    </w:p>
    <w:p w14:paraId="51077103" w14:textId="77777777" w:rsidR="00BB10D6" w:rsidRDefault="00BB10D6" w:rsidP="00BB10D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South Dublin 86% of properties have access to off street parking while 14% rely on on-street parking. Large areas of South Dublin have a high availability of off-street parking. Majority of EV owners in South Dublin will be able to charge their cars at home. (international evidence that 75%-80% of EV owners charge at home)</w:t>
      </w:r>
    </w:p>
    <w:p w14:paraId="05B021A5" w14:textId="3B9045ED" w:rsidR="00BB10D6" w:rsidRPr="00BB10D6" w:rsidRDefault="00BB10D6" w:rsidP="00EE08A3">
      <w:pPr>
        <w:jc w:val="both"/>
        <w:rPr>
          <w:sz w:val="24"/>
          <w:szCs w:val="24"/>
          <w:lang w:val="en-GB"/>
        </w:rPr>
      </w:pPr>
      <w:r w:rsidRPr="00BB10D6">
        <w:rPr>
          <w:sz w:val="24"/>
          <w:szCs w:val="24"/>
          <w:lang w:val="en-GB"/>
        </w:rPr>
        <w:t>Two</w:t>
      </w:r>
      <w:r>
        <w:rPr>
          <w:sz w:val="24"/>
          <w:szCs w:val="24"/>
          <w:lang w:val="en-GB"/>
        </w:rPr>
        <w:t xml:space="preserve"> types of residential charging are outlined in the Strategy, there are Rapid Hub Charging sites and On-Street Charging.</w:t>
      </w:r>
    </w:p>
    <w:p w14:paraId="59705EBC" w14:textId="6EDB8BD4" w:rsidR="00EE08A3" w:rsidRDefault="00EE08A3" w:rsidP="00EE08A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Rapid hub</w:t>
      </w:r>
      <w:r w:rsidR="00BB10D6">
        <w:rPr>
          <w:sz w:val="24"/>
          <w:szCs w:val="24"/>
          <w:lang w:val="en-GB"/>
        </w:rPr>
        <w:t xml:space="preserve">s are sites which provide </w:t>
      </w:r>
      <w:r>
        <w:rPr>
          <w:sz w:val="24"/>
          <w:szCs w:val="24"/>
          <w:lang w:val="en-GB"/>
        </w:rPr>
        <w:t xml:space="preserve">quick charging at </w:t>
      </w:r>
      <w:r w:rsidR="00F76F9A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>centralised location</w:t>
      </w:r>
      <w:r w:rsidR="00BB10D6">
        <w:rPr>
          <w:sz w:val="24"/>
          <w:szCs w:val="24"/>
          <w:lang w:val="en-GB"/>
        </w:rPr>
        <w:t xml:space="preserve"> and they are</w:t>
      </w:r>
      <w:r>
        <w:rPr>
          <w:sz w:val="24"/>
          <w:szCs w:val="24"/>
          <w:lang w:val="en-GB"/>
        </w:rPr>
        <w:t xml:space="preserve"> </w:t>
      </w:r>
      <w:r w:rsidR="00F76F9A">
        <w:rPr>
          <w:sz w:val="24"/>
          <w:szCs w:val="24"/>
          <w:lang w:val="en-GB"/>
        </w:rPr>
        <w:t>like</w:t>
      </w:r>
      <w:r>
        <w:rPr>
          <w:sz w:val="24"/>
          <w:szCs w:val="24"/>
          <w:lang w:val="en-GB"/>
        </w:rPr>
        <w:t xml:space="preserve"> petrol station</w:t>
      </w:r>
      <w:r w:rsidR="00BB10D6">
        <w:rPr>
          <w:sz w:val="24"/>
          <w:szCs w:val="24"/>
          <w:lang w:val="en-GB"/>
        </w:rPr>
        <w:t>s. Rapid Hubs are seen as the preferred solution to EV Charging for the residential charging.</w:t>
      </w:r>
    </w:p>
    <w:p w14:paraId="0E2C1A5C" w14:textId="28D773F5" w:rsidR="0097230D" w:rsidRDefault="00BB10D6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alternative to the Rapid Hubs is the s</w:t>
      </w:r>
      <w:r w:rsidR="00970F8E">
        <w:rPr>
          <w:sz w:val="24"/>
          <w:szCs w:val="24"/>
          <w:lang w:val="en-GB"/>
        </w:rPr>
        <w:t>low</w:t>
      </w:r>
      <w:r>
        <w:rPr>
          <w:sz w:val="24"/>
          <w:szCs w:val="24"/>
          <w:lang w:val="en-GB"/>
        </w:rPr>
        <w:t>er</w:t>
      </w:r>
      <w:r w:rsidR="00970F8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“O</w:t>
      </w:r>
      <w:r w:rsidR="00970F8E">
        <w:rPr>
          <w:sz w:val="24"/>
          <w:szCs w:val="24"/>
          <w:lang w:val="en-GB"/>
        </w:rPr>
        <w:t>n</w:t>
      </w:r>
      <w:r w:rsidR="00D452E4">
        <w:rPr>
          <w:sz w:val="24"/>
          <w:szCs w:val="24"/>
          <w:lang w:val="en-GB"/>
        </w:rPr>
        <w:t>-</w:t>
      </w:r>
      <w:r w:rsidR="00970F8E">
        <w:rPr>
          <w:sz w:val="24"/>
          <w:szCs w:val="24"/>
          <w:lang w:val="en-GB"/>
        </w:rPr>
        <w:t>Street</w:t>
      </w:r>
      <w:r>
        <w:rPr>
          <w:sz w:val="24"/>
          <w:szCs w:val="24"/>
          <w:lang w:val="en-GB"/>
        </w:rPr>
        <w:t>” Charging which requires o</w:t>
      </w:r>
      <w:r w:rsidR="001C1351">
        <w:rPr>
          <w:sz w:val="24"/>
          <w:szCs w:val="24"/>
          <w:lang w:val="en-GB"/>
        </w:rPr>
        <w:t>vernight charging near</w:t>
      </w:r>
      <w:r>
        <w:rPr>
          <w:sz w:val="24"/>
          <w:szCs w:val="24"/>
          <w:lang w:val="en-GB"/>
        </w:rPr>
        <w:t>er to</w:t>
      </w:r>
      <w:r w:rsidR="001C1351">
        <w:rPr>
          <w:sz w:val="24"/>
          <w:szCs w:val="24"/>
          <w:lang w:val="en-GB"/>
        </w:rPr>
        <w:t xml:space="preserve"> home</w:t>
      </w:r>
      <w:r>
        <w:rPr>
          <w:sz w:val="24"/>
          <w:szCs w:val="24"/>
          <w:lang w:val="en-GB"/>
        </w:rPr>
        <w:t>.</w:t>
      </w:r>
    </w:p>
    <w:p w14:paraId="5E6EE526" w14:textId="1278C921" w:rsidR="00B2005D" w:rsidRDefault="00EE08A3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Rapid hub charging can be delivered in a way that consistent with a move away from private car ownership, in favour of more sustainable transport models.</w:t>
      </w:r>
    </w:p>
    <w:p w14:paraId="3EC8B554" w14:textId="00B981EB" w:rsidR="005555A3" w:rsidRDefault="005555A3" w:rsidP="00F6673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</w:t>
      </w:r>
      <w:r w:rsidR="00BB10D6">
        <w:rPr>
          <w:sz w:val="24"/>
          <w:szCs w:val="24"/>
          <w:lang w:val="en-GB"/>
        </w:rPr>
        <w:t>the infrastructure</w:t>
      </w:r>
      <w:r>
        <w:rPr>
          <w:sz w:val="24"/>
          <w:szCs w:val="24"/>
          <w:lang w:val="en-GB"/>
        </w:rPr>
        <w:t xml:space="preserve"> is not strategic and demand led it will result in poor usage and return on investment</w:t>
      </w:r>
      <w:r w:rsidR="00BB10D6">
        <w:rPr>
          <w:sz w:val="24"/>
          <w:szCs w:val="24"/>
          <w:lang w:val="en-GB"/>
        </w:rPr>
        <w:t>.</w:t>
      </w:r>
    </w:p>
    <w:p w14:paraId="2AF36E8F" w14:textId="1774AA9A" w:rsidR="005555A3" w:rsidRPr="005555A3" w:rsidRDefault="005555A3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555A3">
        <w:rPr>
          <w:b/>
          <w:bCs/>
          <w:sz w:val="24"/>
          <w:szCs w:val="24"/>
          <w:u w:val="single"/>
          <w:lang w:val="en-GB"/>
        </w:rPr>
        <w:t>Metrics for suitable Rapid Hub Charging</w:t>
      </w:r>
    </w:p>
    <w:p w14:paraId="403CD5E8" w14:textId="3C32ACA0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High traffic volumes</w:t>
      </w:r>
    </w:p>
    <w:p w14:paraId="7F15458C" w14:textId="5FFF967F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Number of amenities</w:t>
      </w:r>
    </w:p>
    <w:p w14:paraId="6B3D6392" w14:textId="154A6A0C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Taxi Ranks and Club Car locations</w:t>
      </w:r>
    </w:p>
    <w:p w14:paraId="62D3146A" w14:textId="6F2A936C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EV uptake in area</w:t>
      </w:r>
    </w:p>
    <w:p w14:paraId="4F668AAC" w14:textId="70D829F6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Off street parking in area</w:t>
      </w:r>
    </w:p>
    <w:p w14:paraId="2FCEABDE" w14:textId="2B306F3B" w:rsidR="005555A3" w:rsidRPr="005555A3" w:rsidRDefault="005555A3" w:rsidP="005555A3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Grid capacity</w:t>
      </w:r>
    </w:p>
    <w:p w14:paraId="4E52B5E4" w14:textId="61299546" w:rsidR="004C42E6" w:rsidRPr="00BB10D6" w:rsidRDefault="005555A3" w:rsidP="00F6673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5555A3">
        <w:rPr>
          <w:sz w:val="24"/>
          <w:szCs w:val="24"/>
          <w:lang w:val="en-GB"/>
        </w:rPr>
        <w:t>Potential sites</w:t>
      </w:r>
    </w:p>
    <w:p w14:paraId="6C803AD7" w14:textId="5C8669BF" w:rsidR="00F3764C" w:rsidRDefault="004B0418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Alignment with wider mobility trends</w:t>
      </w:r>
    </w:p>
    <w:p w14:paraId="7989F6CC" w14:textId="16FD27E4" w:rsidR="004B0418" w:rsidRPr="004B0418" w:rsidRDefault="004B0418" w:rsidP="00F6673F">
      <w:pPr>
        <w:jc w:val="both"/>
        <w:rPr>
          <w:sz w:val="24"/>
          <w:szCs w:val="24"/>
          <w:lang w:val="en-GB"/>
        </w:rPr>
      </w:pPr>
      <w:r w:rsidRPr="004B0418">
        <w:rPr>
          <w:sz w:val="24"/>
          <w:szCs w:val="24"/>
          <w:lang w:val="en-GB"/>
        </w:rPr>
        <w:t>Siting</w:t>
      </w:r>
      <w:r>
        <w:rPr>
          <w:sz w:val="24"/>
          <w:szCs w:val="24"/>
          <w:lang w:val="en-GB"/>
        </w:rPr>
        <w:t xml:space="preserve"> charging infrastructure should align with and compliment wider modal shift plans, to support sustainable travel</w:t>
      </w:r>
      <w:r w:rsidR="008A35A5">
        <w:rPr>
          <w:sz w:val="24"/>
          <w:szCs w:val="24"/>
          <w:lang w:val="en-GB"/>
        </w:rPr>
        <w:t xml:space="preserve"> (</w:t>
      </w:r>
      <w:r w:rsidR="00F76F9A">
        <w:rPr>
          <w:sz w:val="24"/>
          <w:szCs w:val="24"/>
          <w:lang w:val="en-GB"/>
        </w:rPr>
        <w:t>e.g.,</w:t>
      </w:r>
      <w:r w:rsidR="008A35A5">
        <w:rPr>
          <w:sz w:val="24"/>
          <w:szCs w:val="24"/>
          <w:lang w:val="en-GB"/>
        </w:rPr>
        <w:t xml:space="preserve"> public transport park and ride)</w:t>
      </w:r>
    </w:p>
    <w:p w14:paraId="4BE835C8" w14:textId="33B14BA6" w:rsidR="00E85E6F" w:rsidRPr="00E85E6F" w:rsidRDefault="00E85E6F" w:rsidP="00F3764C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E85E6F">
        <w:rPr>
          <w:b/>
          <w:bCs/>
          <w:sz w:val="24"/>
          <w:szCs w:val="24"/>
          <w:u w:val="single"/>
          <w:lang w:val="en-GB"/>
        </w:rPr>
        <w:t>Projected EV requirement</w:t>
      </w:r>
    </w:p>
    <w:p w14:paraId="3EA0941C" w14:textId="1678CC88" w:rsidR="00E85E6F" w:rsidRDefault="00E85E6F" w:rsidP="00F3764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Demand analysis up to 2030 based on</w:t>
      </w:r>
      <w:r w:rsidR="00272D64">
        <w:rPr>
          <w:sz w:val="24"/>
          <w:szCs w:val="24"/>
          <w:lang w:val="en-GB"/>
        </w:rPr>
        <w:t xml:space="preserve"> </w:t>
      </w:r>
      <w:r w:rsidR="00272D64" w:rsidRPr="00F76F9A">
        <w:rPr>
          <w:sz w:val="24"/>
          <w:szCs w:val="24"/>
          <w:lang w:val="en-GB"/>
        </w:rPr>
        <w:t xml:space="preserve">Curtailed </w:t>
      </w:r>
      <w:r w:rsidR="000E7B5B" w:rsidRPr="00F76F9A">
        <w:rPr>
          <w:sz w:val="24"/>
          <w:szCs w:val="24"/>
          <w:lang w:val="en-GB"/>
        </w:rPr>
        <w:t>Medium</w:t>
      </w:r>
      <w:r w:rsidR="000E7B5B">
        <w:rPr>
          <w:sz w:val="24"/>
          <w:szCs w:val="24"/>
          <w:lang w:val="en-GB"/>
        </w:rPr>
        <w:t xml:space="preserve"> uptake</w:t>
      </w:r>
      <w:r>
        <w:rPr>
          <w:sz w:val="24"/>
          <w:szCs w:val="24"/>
          <w:lang w:val="en-GB"/>
        </w:rPr>
        <w:t>.</w:t>
      </w:r>
    </w:p>
    <w:p w14:paraId="586AEC78" w14:textId="73634276" w:rsidR="00AF06B1" w:rsidRDefault="00AF06B1" w:rsidP="00F3764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With a mixed technology scenario, by 2025 South Dublin would require</w:t>
      </w:r>
    </w:p>
    <w:p w14:paraId="41F998F6" w14:textId="18BD706A" w:rsidR="00AF06B1" w:rsidRDefault="000E7B5B" w:rsidP="00F3764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176</w:t>
      </w:r>
      <w:r w:rsidR="00AF06B1">
        <w:rPr>
          <w:sz w:val="24"/>
          <w:szCs w:val="24"/>
          <w:lang w:val="en-GB"/>
        </w:rPr>
        <w:t xml:space="preserve"> on-street chargers plus </w:t>
      </w:r>
      <w:r>
        <w:rPr>
          <w:sz w:val="24"/>
          <w:szCs w:val="24"/>
          <w:lang w:val="en-GB"/>
        </w:rPr>
        <w:t>12</w:t>
      </w:r>
      <w:r w:rsidR="00AF06B1">
        <w:rPr>
          <w:sz w:val="24"/>
          <w:szCs w:val="24"/>
          <w:lang w:val="en-GB"/>
        </w:rPr>
        <w:t xml:space="preserve"> rapid hubs, </w:t>
      </w:r>
      <w:r>
        <w:rPr>
          <w:sz w:val="24"/>
          <w:szCs w:val="24"/>
          <w:lang w:val="en-GB"/>
        </w:rPr>
        <w:t>13</w:t>
      </w:r>
      <w:r w:rsidR="00AF06B1">
        <w:rPr>
          <w:sz w:val="24"/>
          <w:szCs w:val="24"/>
          <w:lang w:val="en-GB"/>
        </w:rPr>
        <w:t xml:space="preserve"> en-route chargers and </w:t>
      </w:r>
      <w:r>
        <w:rPr>
          <w:sz w:val="24"/>
          <w:szCs w:val="24"/>
          <w:lang w:val="en-GB"/>
        </w:rPr>
        <w:t>129</w:t>
      </w:r>
      <w:r w:rsidR="00AF06B1">
        <w:rPr>
          <w:sz w:val="24"/>
          <w:szCs w:val="24"/>
          <w:lang w:val="en-GB"/>
        </w:rPr>
        <w:t xml:space="preserve"> destination charge points by 2025.</w:t>
      </w:r>
    </w:p>
    <w:p w14:paraId="62DA928E" w14:textId="66E62C43" w:rsidR="0033169A" w:rsidRDefault="000E7B5B" w:rsidP="00F3764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685</w:t>
      </w:r>
      <w:r w:rsidR="0033169A">
        <w:rPr>
          <w:sz w:val="24"/>
          <w:szCs w:val="24"/>
          <w:lang w:val="en-GB"/>
        </w:rPr>
        <w:t xml:space="preserve"> on-street chargers plus </w:t>
      </w:r>
      <w:r>
        <w:rPr>
          <w:sz w:val="24"/>
          <w:szCs w:val="24"/>
          <w:lang w:val="en-GB"/>
        </w:rPr>
        <w:t>47</w:t>
      </w:r>
      <w:r w:rsidR="0033169A">
        <w:rPr>
          <w:sz w:val="24"/>
          <w:szCs w:val="24"/>
          <w:lang w:val="en-GB"/>
        </w:rPr>
        <w:t xml:space="preserve"> rapid hubs, </w:t>
      </w:r>
      <w:r>
        <w:rPr>
          <w:sz w:val="24"/>
          <w:szCs w:val="24"/>
          <w:lang w:val="en-GB"/>
        </w:rPr>
        <w:t>38</w:t>
      </w:r>
      <w:r w:rsidR="0033169A">
        <w:rPr>
          <w:sz w:val="24"/>
          <w:szCs w:val="24"/>
          <w:lang w:val="en-GB"/>
        </w:rPr>
        <w:t xml:space="preserve"> en-route and </w:t>
      </w:r>
      <w:r>
        <w:rPr>
          <w:sz w:val="24"/>
          <w:szCs w:val="24"/>
          <w:lang w:val="en-GB"/>
        </w:rPr>
        <w:t>481</w:t>
      </w:r>
      <w:r w:rsidR="0033169A">
        <w:rPr>
          <w:sz w:val="24"/>
          <w:szCs w:val="24"/>
          <w:lang w:val="en-GB"/>
        </w:rPr>
        <w:t xml:space="preserve"> destination charge points by 2030.</w:t>
      </w:r>
    </w:p>
    <w:p w14:paraId="401F0936" w14:textId="77777777" w:rsidR="00272D64" w:rsidRDefault="0033169A" w:rsidP="00F3764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Medium take-up analysis predicts a 40% reduction on these figures.</w:t>
      </w:r>
      <w:r w:rsidR="000E7B5B" w:rsidRPr="000E7B5B">
        <w:rPr>
          <w:sz w:val="24"/>
          <w:szCs w:val="24"/>
          <w:lang w:val="en-GB"/>
        </w:rPr>
        <w:t xml:space="preserve"> </w:t>
      </w:r>
    </w:p>
    <w:p w14:paraId="5AA710F1" w14:textId="77777777" w:rsidR="00F76F9A" w:rsidRDefault="00F76F9A" w:rsidP="00F6673F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53FEED82" w14:textId="6B4895C8" w:rsidR="0033169A" w:rsidRDefault="0033169A" w:rsidP="00F6673F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BE1283">
        <w:rPr>
          <w:b/>
          <w:bCs/>
          <w:sz w:val="24"/>
          <w:szCs w:val="24"/>
          <w:u w:val="single"/>
          <w:lang w:val="en-GB"/>
        </w:rPr>
        <w:t xml:space="preserve">Business </w:t>
      </w:r>
      <w:r w:rsidR="00272D64">
        <w:rPr>
          <w:b/>
          <w:bCs/>
          <w:sz w:val="24"/>
          <w:szCs w:val="24"/>
          <w:u w:val="single"/>
          <w:lang w:val="en-GB"/>
        </w:rPr>
        <w:t xml:space="preserve">Model </w:t>
      </w:r>
      <w:r w:rsidR="000F3FB4">
        <w:rPr>
          <w:b/>
          <w:bCs/>
          <w:sz w:val="24"/>
          <w:szCs w:val="24"/>
          <w:u w:val="single"/>
          <w:lang w:val="en-GB"/>
        </w:rPr>
        <w:t>and Costs</w:t>
      </w:r>
    </w:p>
    <w:p w14:paraId="58012010" w14:textId="72B7EBC2" w:rsidR="009F510D" w:rsidRPr="009F510D" w:rsidRDefault="009F510D" w:rsidP="00F6673F">
      <w:pPr>
        <w:jc w:val="both"/>
        <w:rPr>
          <w:sz w:val="24"/>
          <w:szCs w:val="24"/>
          <w:lang w:val="en-GB"/>
        </w:rPr>
      </w:pPr>
      <w:r w:rsidRPr="009F510D">
        <w:rPr>
          <w:sz w:val="24"/>
          <w:szCs w:val="24"/>
          <w:lang w:val="en-GB"/>
        </w:rPr>
        <w:t>There are many models of delivery</w:t>
      </w:r>
      <w:r>
        <w:rPr>
          <w:sz w:val="24"/>
          <w:szCs w:val="24"/>
          <w:lang w:val="en-GB"/>
        </w:rPr>
        <w:t xml:space="preserve"> that are outlined in the Strategy as follows:</w:t>
      </w:r>
    </w:p>
    <w:p w14:paraId="0C86CE03" w14:textId="601F3C3C" w:rsidR="00272D64" w:rsidRPr="00272D64" w:rsidRDefault="00272D64" w:rsidP="00272D64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 w:rsidRPr="00272D64">
        <w:rPr>
          <w:sz w:val="24"/>
          <w:szCs w:val="24"/>
          <w:lang w:val="en-GB"/>
        </w:rPr>
        <w:t>Own and Operate</w:t>
      </w:r>
    </w:p>
    <w:p w14:paraId="2956AF7A" w14:textId="7B93C785" w:rsidR="00272D64" w:rsidRPr="00272D64" w:rsidRDefault="00272D64" w:rsidP="00272D64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 w:rsidRPr="00272D64">
        <w:rPr>
          <w:sz w:val="24"/>
          <w:szCs w:val="24"/>
          <w:lang w:val="en-GB"/>
        </w:rPr>
        <w:t>External Operator</w:t>
      </w:r>
      <w:r>
        <w:rPr>
          <w:sz w:val="24"/>
          <w:szCs w:val="24"/>
          <w:lang w:val="en-GB"/>
        </w:rPr>
        <w:t xml:space="preserve"> (external contractor to provide O&amp;M)</w:t>
      </w:r>
    </w:p>
    <w:p w14:paraId="5DEC5347" w14:textId="45D821FB" w:rsidR="00272D64" w:rsidRDefault="00272D64" w:rsidP="00272D64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 w:rsidRPr="00272D64">
        <w:rPr>
          <w:sz w:val="24"/>
          <w:szCs w:val="24"/>
          <w:lang w:val="en-GB"/>
        </w:rPr>
        <w:t>Private Sector match Funding</w:t>
      </w:r>
    </w:p>
    <w:p w14:paraId="0F9C680A" w14:textId="2C21759E" w:rsidR="00272D64" w:rsidRDefault="00272D64" w:rsidP="00272D64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Concession </w:t>
      </w:r>
    </w:p>
    <w:p w14:paraId="7A335CB5" w14:textId="08F01BE4" w:rsidR="00272D64" w:rsidRDefault="00272D64" w:rsidP="00272D64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Lease</w:t>
      </w:r>
    </w:p>
    <w:p w14:paraId="7E6AA6EE" w14:textId="77777777" w:rsidR="00F76F9A" w:rsidRDefault="00F76F9A" w:rsidP="00F76F9A">
      <w:pPr>
        <w:pStyle w:val="ListParagraph"/>
        <w:jc w:val="both"/>
        <w:rPr>
          <w:sz w:val="24"/>
          <w:szCs w:val="24"/>
          <w:lang w:val="en-GB"/>
        </w:rPr>
      </w:pPr>
    </w:p>
    <w:p w14:paraId="213A7F60" w14:textId="1319B60F" w:rsidR="00841A54" w:rsidRPr="005E75C0" w:rsidRDefault="00841A54" w:rsidP="00841A54">
      <w:pPr>
        <w:jc w:val="both"/>
        <w:rPr>
          <w:b/>
          <w:bCs/>
          <w:sz w:val="24"/>
          <w:szCs w:val="24"/>
          <w:u w:val="single"/>
        </w:rPr>
      </w:pPr>
      <w:r w:rsidRPr="005E75C0">
        <w:rPr>
          <w:b/>
          <w:bCs/>
          <w:sz w:val="24"/>
          <w:szCs w:val="24"/>
          <w:u w:val="single"/>
        </w:rPr>
        <w:t>Risk Assessment</w:t>
      </w:r>
    </w:p>
    <w:p w14:paraId="5C6A066F" w14:textId="53CB5759" w:rsidR="00841A54" w:rsidRDefault="00841A54" w:rsidP="00841A54">
      <w:pPr>
        <w:jc w:val="both"/>
        <w:rPr>
          <w:sz w:val="24"/>
          <w:szCs w:val="24"/>
        </w:rPr>
      </w:pPr>
      <w:r>
        <w:rPr>
          <w:sz w:val="24"/>
          <w:szCs w:val="24"/>
        </w:rPr>
        <w:t>The report examines the potential risks associated with the delivery of the EV charging network. The RA is examined under 4 main categories</w:t>
      </w:r>
    </w:p>
    <w:p w14:paraId="7934554B" w14:textId="624F9773" w:rsidR="00841A54" w:rsidRPr="00841A54" w:rsidRDefault="00841A54" w:rsidP="00841A5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41A54">
        <w:rPr>
          <w:sz w:val="24"/>
          <w:szCs w:val="24"/>
        </w:rPr>
        <w:t>Market</w:t>
      </w:r>
    </w:p>
    <w:p w14:paraId="2271F903" w14:textId="3CF325A8" w:rsidR="00841A54" w:rsidRPr="00841A54" w:rsidRDefault="00841A54" w:rsidP="00841A5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41A54">
        <w:rPr>
          <w:sz w:val="24"/>
          <w:szCs w:val="24"/>
        </w:rPr>
        <w:t>Deployment</w:t>
      </w:r>
    </w:p>
    <w:p w14:paraId="56F874B9" w14:textId="0696D997" w:rsidR="00841A54" w:rsidRPr="00841A54" w:rsidRDefault="00841A54" w:rsidP="00841A5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41A54">
        <w:rPr>
          <w:sz w:val="24"/>
          <w:szCs w:val="24"/>
        </w:rPr>
        <w:t>Mobility trends</w:t>
      </w:r>
    </w:p>
    <w:p w14:paraId="17869790" w14:textId="76D1ECAF" w:rsidR="00841A54" w:rsidRPr="000F3FB4" w:rsidRDefault="00841A54" w:rsidP="00841A5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41A54">
        <w:rPr>
          <w:sz w:val="24"/>
          <w:szCs w:val="24"/>
        </w:rPr>
        <w:t>Policy and Funding</w:t>
      </w:r>
    </w:p>
    <w:p w14:paraId="0F5A0C7D" w14:textId="77777777" w:rsidR="00F76F9A" w:rsidRDefault="00F76F9A" w:rsidP="00093BBE">
      <w:pPr>
        <w:jc w:val="both"/>
        <w:rPr>
          <w:b/>
          <w:bCs/>
          <w:sz w:val="24"/>
          <w:szCs w:val="24"/>
          <w:u w:val="single"/>
        </w:rPr>
      </w:pPr>
    </w:p>
    <w:p w14:paraId="5B9B99BB" w14:textId="5C930600" w:rsidR="00093BBE" w:rsidRPr="005E75C0" w:rsidRDefault="00093BBE" w:rsidP="00093BBE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Next Steps</w:t>
      </w:r>
    </w:p>
    <w:p w14:paraId="7B658DF2" w14:textId="02B4BCFF" w:rsidR="00093BBE" w:rsidRDefault="00093BBE" w:rsidP="00093B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14FC4">
        <w:rPr>
          <w:sz w:val="24"/>
          <w:szCs w:val="24"/>
        </w:rPr>
        <w:t xml:space="preserve">next steps being </w:t>
      </w:r>
      <w:r w:rsidR="00F76F9A">
        <w:rPr>
          <w:sz w:val="24"/>
          <w:szCs w:val="24"/>
        </w:rPr>
        <w:t>examined</w:t>
      </w:r>
      <w:r w:rsidR="00F14FC4">
        <w:rPr>
          <w:sz w:val="24"/>
          <w:szCs w:val="24"/>
        </w:rPr>
        <w:t xml:space="preserve"> are:</w:t>
      </w:r>
    </w:p>
    <w:p w14:paraId="02037627" w14:textId="148BE6BF" w:rsidR="00093BBE" w:rsidRPr="00841A54" w:rsidRDefault="00F76F9A" w:rsidP="00093BBE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Engage with</w:t>
      </w:r>
      <w:r w:rsidR="00093BBE">
        <w:rPr>
          <w:sz w:val="24"/>
          <w:szCs w:val="24"/>
        </w:rPr>
        <w:t xml:space="preserve"> Department </w:t>
      </w:r>
      <w:r>
        <w:rPr>
          <w:sz w:val="24"/>
          <w:szCs w:val="24"/>
        </w:rPr>
        <w:t>on capital funding streams</w:t>
      </w:r>
      <w:r w:rsidR="00F14FC4">
        <w:rPr>
          <w:sz w:val="24"/>
          <w:szCs w:val="24"/>
        </w:rPr>
        <w:t>.</w:t>
      </w:r>
    </w:p>
    <w:p w14:paraId="59D865BF" w14:textId="61D9879B" w:rsidR="00093BBE" w:rsidRPr="00841A54" w:rsidRDefault="002D0958" w:rsidP="00093BBE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 contract and procurement options </w:t>
      </w:r>
      <w:r w:rsidR="00F76F9A">
        <w:rPr>
          <w:sz w:val="24"/>
          <w:szCs w:val="24"/>
        </w:rPr>
        <w:t>to</w:t>
      </w:r>
      <w:r w:rsidR="007E5388">
        <w:rPr>
          <w:sz w:val="24"/>
          <w:szCs w:val="24"/>
        </w:rPr>
        <w:t xml:space="preserve"> deliver a consistent</w:t>
      </w:r>
      <w:r w:rsidR="00F14FC4">
        <w:rPr>
          <w:sz w:val="24"/>
          <w:szCs w:val="24"/>
        </w:rPr>
        <w:t>, interoperable network of EV charge points</w:t>
      </w:r>
      <w:r w:rsidR="007E5388">
        <w:rPr>
          <w:sz w:val="24"/>
          <w:szCs w:val="24"/>
        </w:rPr>
        <w:t>.</w:t>
      </w:r>
    </w:p>
    <w:p w14:paraId="5DC43757" w14:textId="27CB2C19" w:rsidR="00093BBE" w:rsidRPr="00841A54" w:rsidRDefault="00F76F9A" w:rsidP="00093BBE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Exercise to be carried out on</w:t>
      </w:r>
      <w:r w:rsidR="002D0958">
        <w:rPr>
          <w:sz w:val="24"/>
          <w:szCs w:val="24"/>
        </w:rPr>
        <w:t xml:space="preserve"> potential location</w:t>
      </w:r>
      <w:r w:rsidR="00F14FC4">
        <w:rPr>
          <w:sz w:val="24"/>
          <w:szCs w:val="24"/>
        </w:rPr>
        <w:t>s</w:t>
      </w:r>
      <w:r w:rsidR="002D0958">
        <w:rPr>
          <w:sz w:val="24"/>
          <w:szCs w:val="24"/>
        </w:rPr>
        <w:t xml:space="preserve"> and power </w:t>
      </w:r>
      <w:r w:rsidR="00F14FC4">
        <w:rPr>
          <w:sz w:val="24"/>
          <w:szCs w:val="24"/>
        </w:rPr>
        <w:t>availability.</w:t>
      </w:r>
    </w:p>
    <w:p w14:paraId="4B8BE51D" w14:textId="725544E2" w:rsidR="00093BBE" w:rsidRPr="000F3FB4" w:rsidRDefault="00093BBE" w:rsidP="002D0958">
      <w:pPr>
        <w:pStyle w:val="ListParagraph"/>
        <w:jc w:val="both"/>
        <w:rPr>
          <w:sz w:val="24"/>
          <w:szCs w:val="24"/>
        </w:rPr>
      </w:pPr>
    </w:p>
    <w:p w14:paraId="77ED2250" w14:textId="5F4A56E3" w:rsidR="00841A54" w:rsidRDefault="00841A54" w:rsidP="00F6673F">
      <w:pPr>
        <w:jc w:val="both"/>
        <w:rPr>
          <w:sz w:val="24"/>
          <w:szCs w:val="24"/>
          <w:lang w:val="en-GB"/>
        </w:rPr>
      </w:pPr>
    </w:p>
    <w:p w14:paraId="71E9DBA7" w14:textId="77777777" w:rsidR="009D0682" w:rsidRPr="00841A54" w:rsidRDefault="009D0682" w:rsidP="00F6673F">
      <w:pPr>
        <w:jc w:val="both"/>
        <w:rPr>
          <w:sz w:val="24"/>
          <w:szCs w:val="24"/>
          <w:lang w:val="en-GB"/>
        </w:rPr>
      </w:pPr>
    </w:p>
    <w:sectPr w:rsidR="009D0682" w:rsidRPr="00841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13D2"/>
    <w:multiLevelType w:val="hybridMultilevel"/>
    <w:tmpl w:val="A72CAF58"/>
    <w:lvl w:ilvl="0" w:tplc="DAC447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626"/>
    <w:multiLevelType w:val="hybridMultilevel"/>
    <w:tmpl w:val="FBE8AD02"/>
    <w:lvl w:ilvl="0" w:tplc="DAC447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3ACF"/>
    <w:multiLevelType w:val="hybridMultilevel"/>
    <w:tmpl w:val="A72CF2F4"/>
    <w:lvl w:ilvl="0" w:tplc="DAC447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FC6"/>
    <w:multiLevelType w:val="hybridMultilevel"/>
    <w:tmpl w:val="BC28F4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D33DE"/>
    <w:multiLevelType w:val="hybridMultilevel"/>
    <w:tmpl w:val="2208D730"/>
    <w:lvl w:ilvl="0" w:tplc="DAC447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E192F"/>
    <w:multiLevelType w:val="hybridMultilevel"/>
    <w:tmpl w:val="7B2228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07DB3"/>
    <w:multiLevelType w:val="hybridMultilevel"/>
    <w:tmpl w:val="1BF85B1E"/>
    <w:lvl w:ilvl="0" w:tplc="DAC447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218A6"/>
    <w:multiLevelType w:val="hybridMultilevel"/>
    <w:tmpl w:val="B7F00E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06F9"/>
    <w:multiLevelType w:val="hybridMultilevel"/>
    <w:tmpl w:val="7B2228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B696B"/>
    <w:multiLevelType w:val="hybridMultilevel"/>
    <w:tmpl w:val="E0B407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A0E90"/>
    <w:multiLevelType w:val="hybridMultilevel"/>
    <w:tmpl w:val="9842C0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47DE5"/>
    <w:multiLevelType w:val="hybridMultilevel"/>
    <w:tmpl w:val="064CE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C6"/>
    <w:rsid w:val="00021B4F"/>
    <w:rsid w:val="00093BBE"/>
    <w:rsid w:val="000E7B5B"/>
    <w:rsid w:val="000F3FB4"/>
    <w:rsid w:val="00101CAE"/>
    <w:rsid w:val="00146D64"/>
    <w:rsid w:val="00181F4A"/>
    <w:rsid w:val="001A7BCC"/>
    <w:rsid w:val="001C1351"/>
    <w:rsid w:val="001F1B2B"/>
    <w:rsid w:val="002467C9"/>
    <w:rsid w:val="00263C31"/>
    <w:rsid w:val="00272D64"/>
    <w:rsid w:val="0028198C"/>
    <w:rsid w:val="002D0958"/>
    <w:rsid w:val="0032534B"/>
    <w:rsid w:val="0033169A"/>
    <w:rsid w:val="0033649F"/>
    <w:rsid w:val="00340E8A"/>
    <w:rsid w:val="003907E4"/>
    <w:rsid w:val="003E2865"/>
    <w:rsid w:val="003E2F23"/>
    <w:rsid w:val="00422581"/>
    <w:rsid w:val="00431E37"/>
    <w:rsid w:val="00442AA0"/>
    <w:rsid w:val="00465B85"/>
    <w:rsid w:val="004B0418"/>
    <w:rsid w:val="004C42E6"/>
    <w:rsid w:val="004D42F6"/>
    <w:rsid w:val="004E4A37"/>
    <w:rsid w:val="005555A3"/>
    <w:rsid w:val="00555856"/>
    <w:rsid w:val="005610CB"/>
    <w:rsid w:val="005862EB"/>
    <w:rsid w:val="005A745D"/>
    <w:rsid w:val="005D7E92"/>
    <w:rsid w:val="005E75C0"/>
    <w:rsid w:val="005F2000"/>
    <w:rsid w:val="00604961"/>
    <w:rsid w:val="00666B35"/>
    <w:rsid w:val="00680E1B"/>
    <w:rsid w:val="006F2565"/>
    <w:rsid w:val="0070745B"/>
    <w:rsid w:val="00723E5A"/>
    <w:rsid w:val="00727A4D"/>
    <w:rsid w:val="00734D6B"/>
    <w:rsid w:val="007623A2"/>
    <w:rsid w:val="0076248B"/>
    <w:rsid w:val="00767828"/>
    <w:rsid w:val="007860DA"/>
    <w:rsid w:val="007B550F"/>
    <w:rsid w:val="007E0AA3"/>
    <w:rsid w:val="007E5388"/>
    <w:rsid w:val="00841A54"/>
    <w:rsid w:val="008A35A5"/>
    <w:rsid w:val="008E0BF6"/>
    <w:rsid w:val="008E3381"/>
    <w:rsid w:val="00914613"/>
    <w:rsid w:val="00952F24"/>
    <w:rsid w:val="00970F8E"/>
    <w:rsid w:val="0097230D"/>
    <w:rsid w:val="009969A2"/>
    <w:rsid w:val="009D0682"/>
    <w:rsid w:val="009D7C4C"/>
    <w:rsid w:val="009E26A8"/>
    <w:rsid w:val="009E2716"/>
    <w:rsid w:val="009F510D"/>
    <w:rsid w:val="00A4416B"/>
    <w:rsid w:val="00A71D39"/>
    <w:rsid w:val="00AA22C7"/>
    <w:rsid w:val="00AA4AA4"/>
    <w:rsid w:val="00AC7FB6"/>
    <w:rsid w:val="00AE56E8"/>
    <w:rsid w:val="00AF06B1"/>
    <w:rsid w:val="00B2005D"/>
    <w:rsid w:val="00B2298C"/>
    <w:rsid w:val="00B32D30"/>
    <w:rsid w:val="00B53DF5"/>
    <w:rsid w:val="00B572B4"/>
    <w:rsid w:val="00B600DF"/>
    <w:rsid w:val="00B95849"/>
    <w:rsid w:val="00BA210B"/>
    <w:rsid w:val="00BA7A4B"/>
    <w:rsid w:val="00BB10D6"/>
    <w:rsid w:val="00BD76A0"/>
    <w:rsid w:val="00BE1283"/>
    <w:rsid w:val="00C359BE"/>
    <w:rsid w:val="00C63419"/>
    <w:rsid w:val="00C669CE"/>
    <w:rsid w:val="00CA5AA7"/>
    <w:rsid w:val="00D2074F"/>
    <w:rsid w:val="00D452E4"/>
    <w:rsid w:val="00D50A75"/>
    <w:rsid w:val="00D862B5"/>
    <w:rsid w:val="00DC0A09"/>
    <w:rsid w:val="00DC35B5"/>
    <w:rsid w:val="00E26A3F"/>
    <w:rsid w:val="00E33188"/>
    <w:rsid w:val="00E54996"/>
    <w:rsid w:val="00E744E7"/>
    <w:rsid w:val="00E81D5A"/>
    <w:rsid w:val="00E85E6F"/>
    <w:rsid w:val="00EC2554"/>
    <w:rsid w:val="00EE08A3"/>
    <w:rsid w:val="00F1207A"/>
    <w:rsid w:val="00F14FC4"/>
    <w:rsid w:val="00F179E0"/>
    <w:rsid w:val="00F3764C"/>
    <w:rsid w:val="00F57FD6"/>
    <w:rsid w:val="00F6673F"/>
    <w:rsid w:val="00F76F9A"/>
    <w:rsid w:val="00FA4670"/>
    <w:rsid w:val="00FE35BE"/>
    <w:rsid w:val="00FE3B8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4521"/>
  <w15:chartTrackingRefBased/>
  <w15:docId w15:val="{7ED8A21A-300B-4AEE-AA4D-BE254FEC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Mullen</dc:creator>
  <cp:keywords/>
  <dc:description/>
  <cp:lastModifiedBy>Teresa Walsh</cp:lastModifiedBy>
  <cp:revision>3</cp:revision>
  <dcterms:created xsi:type="dcterms:W3CDTF">2021-02-24T16:49:00Z</dcterms:created>
  <dcterms:modified xsi:type="dcterms:W3CDTF">2021-02-24T17:03:00Z</dcterms:modified>
</cp:coreProperties>
</file>