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F9E61" w14:textId="77777777" w:rsidR="006E0EA3" w:rsidRPr="005D0CB0" w:rsidRDefault="006E0EA3" w:rsidP="005D0CB0">
      <w:pPr>
        <w:pStyle w:val="Default"/>
        <w:jc w:val="both"/>
      </w:pPr>
    </w:p>
    <w:p w14:paraId="6C5BAA22" w14:textId="3A186546" w:rsidR="006E0EA3" w:rsidRPr="005D0CB0" w:rsidRDefault="006E0EA3" w:rsidP="005D0CB0">
      <w:pPr>
        <w:pStyle w:val="Default"/>
        <w:jc w:val="both"/>
        <w:rPr>
          <w:b/>
          <w:bCs/>
        </w:rPr>
      </w:pPr>
      <w:r w:rsidRPr="005D0CB0">
        <w:rPr>
          <w:b/>
          <w:bCs/>
        </w:rPr>
        <w:t>1.</w:t>
      </w:r>
      <w:r w:rsidR="005D0CB0" w:rsidRPr="005D0CB0">
        <w:rPr>
          <w:b/>
          <w:bCs/>
        </w:rPr>
        <w:tab/>
      </w:r>
      <w:r w:rsidRPr="005D0CB0">
        <w:rPr>
          <w:b/>
          <w:bCs/>
        </w:rPr>
        <w:t>Background</w:t>
      </w:r>
    </w:p>
    <w:p w14:paraId="4BD1F4C4" w14:textId="77777777" w:rsidR="006E0EA3" w:rsidRPr="005D0CB0" w:rsidRDefault="006E0EA3" w:rsidP="005D0CB0">
      <w:pPr>
        <w:pStyle w:val="Default"/>
        <w:jc w:val="both"/>
      </w:pPr>
    </w:p>
    <w:p w14:paraId="139AC259" w14:textId="266AC4C2" w:rsidR="006E0EA3" w:rsidRPr="005D0CB0" w:rsidRDefault="00D67377" w:rsidP="005D0CB0">
      <w:pPr>
        <w:pStyle w:val="Default"/>
        <w:jc w:val="both"/>
      </w:pPr>
      <w:r w:rsidRPr="005D0CB0">
        <w:t>1.1</w:t>
      </w:r>
      <w:r w:rsidRPr="005D0CB0">
        <w:tab/>
      </w:r>
      <w:r w:rsidR="006E0EA3" w:rsidRPr="005D0CB0">
        <w:t xml:space="preserve">The Audit Committee Regulations 2014 require the following of the Audit Committee: </w:t>
      </w:r>
    </w:p>
    <w:p w14:paraId="01E1ACBF" w14:textId="77777777" w:rsidR="006E0EA3" w:rsidRPr="005D0CB0" w:rsidRDefault="006E0EA3" w:rsidP="005D0CB0">
      <w:pPr>
        <w:pStyle w:val="Default"/>
        <w:ind w:left="360"/>
        <w:jc w:val="both"/>
      </w:pPr>
    </w:p>
    <w:p w14:paraId="7F335560" w14:textId="77777777" w:rsidR="00D67377" w:rsidRPr="005D0CB0" w:rsidRDefault="00D67377" w:rsidP="005D0CB0">
      <w:pPr>
        <w:pStyle w:val="Default"/>
        <w:numPr>
          <w:ilvl w:val="0"/>
          <w:numId w:val="8"/>
        </w:numPr>
        <w:jc w:val="both"/>
      </w:pPr>
      <w:r w:rsidRPr="005D0CB0">
        <w:t xml:space="preserve">The audit committee shall prepare within three months of the expiration of each calendar year of operation a report detailing its considerations and findings for the year just expired in relation to all matters within its authority, duties and functions, and a review of its performance in accordance with Regulation 13 and any issues impairing that performance. </w:t>
      </w:r>
    </w:p>
    <w:p w14:paraId="1A5313EC" w14:textId="77777777" w:rsidR="005D0CB0" w:rsidRPr="005D0CB0" w:rsidRDefault="005D0CB0" w:rsidP="005D0CB0">
      <w:pPr>
        <w:pStyle w:val="Default"/>
        <w:ind w:left="1080"/>
        <w:jc w:val="both"/>
      </w:pPr>
    </w:p>
    <w:p w14:paraId="78D50C29" w14:textId="6EC86EE4" w:rsidR="006E0EA3" w:rsidRPr="005D0CB0" w:rsidRDefault="006E0EA3" w:rsidP="005D0CB0">
      <w:pPr>
        <w:pStyle w:val="Default"/>
        <w:numPr>
          <w:ilvl w:val="0"/>
          <w:numId w:val="8"/>
        </w:numPr>
        <w:jc w:val="both"/>
      </w:pPr>
      <w:r w:rsidRPr="005D0CB0">
        <w:t xml:space="preserve">The Audit Committee shall operate in accordance with a written charter that shall be adopted by the local authority and it should be reviewed annually by the audit committee and the local authority. </w:t>
      </w:r>
    </w:p>
    <w:p w14:paraId="05C30416" w14:textId="77777777" w:rsidR="00D67377" w:rsidRPr="005D0CB0" w:rsidRDefault="00D67377" w:rsidP="005D0CB0">
      <w:pPr>
        <w:pStyle w:val="Default"/>
        <w:ind w:left="1080"/>
        <w:jc w:val="both"/>
      </w:pPr>
    </w:p>
    <w:p w14:paraId="20DCCF01" w14:textId="056EC688" w:rsidR="006E0EA3" w:rsidRPr="005D0CB0" w:rsidRDefault="006E0EA3" w:rsidP="005D0CB0">
      <w:pPr>
        <w:pStyle w:val="Default"/>
        <w:numPr>
          <w:ilvl w:val="0"/>
          <w:numId w:val="8"/>
        </w:numPr>
        <w:jc w:val="both"/>
      </w:pPr>
      <w:r w:rsidRPr="005D0CB0">
        <w:t xml:space="preserve">The Audit Committee shall prepare an annual work programme </w:t>
      </w:r>
    </w:p>
    <w:p w14:paraId="4A174892" w14:textId="77777777" w:rsidR="00D67377" w:rsidRPr="005D0CB0" w:rsidRDefault="00D67377" w:rsidP="005D0CB0">
      <w:pPr>
        <w:pStyle w:val="Default"/>
        <w:ind w:left="1080"/>
        <w:jc w:val="both"/>
      </w:pPr>
    </w:p>
    <w:p w14:paraId="2E211BE4" w14:textId="77777777" w:rsidR="006E0EA3" w:rsidRPr="005D0CB0" w:rsidRDefault="006E0EA3" w:rsidP="005D0CB0">
      <w:pPr>
        <w:pStyle w:val="Default"/>
        <w:jc w:val="both"/>
      </w:pPr>
    </w:p>
    <w:p w14:paraId="4737C894" w14:textId="24981F76" w:rsidR="006E0EA3" w:rsidRPr="005D0CB0" w:rsidRDefault="006E0EA3" w:rsidP="002F3DE9">
      <w:pPr>
        <w:pStyle w:val="Default"/>
        <w:ind w:left="720" w:hanging="720"/>
        <w:jc w:val="both"/>
      </w:pPr>
      <w:r w:rsidRPr="005D0CB0">
        <w:t>1.2</w:t>
      </w:r>
      <w:r w:rsidR="00D67377" w:rsidRPr="005D0CB0">
        <w:tab/>
      </w:r>
      <w:r w:rsidRPr="005D0CB0">
        <w:t xml:space="preserve">The purpose of this </w:t>
      </w:r>
      <w:r w:rsidR="002F3DE9">
        <w:t xml:space="preserve">cover </w:t>
      </w:r>
      <w:r w:rsidRPr="005D0CB0">
        <w:t xml:space="preserve">report is to </w:t>
      </w:r>
      <w:r w:rsidR="002F3DE9">
        <w:t>outline the documents being shared with the Council and the changes that have been made from previous years.</w:t>
      </w:r>
    </w:p>
    <w:p w14:paraId="53DAC750" w14:textId="77777777" w:rsidR="00D67377" w:rsidRPr="005D0CB0" w:rsidRDefault="00D67377" w:rsidP="005D0CB0">
      <w:pPr>
        <w:pStyle w:val="Default"/>
        <w:ind w:left="1080"/>
        <w:jc w:val="both"/>
      </w:pPr>
    </w:p>
    <w:p w14:paraId="3997D029" w14:textId="002FF837" w:rsidR="006E0EA3" w:rsidRPr="005D0CB0" w:rsidRDefault="006E0EA3" w:rsidP="005D0CB0">
      <w:pPr>
        <w:pStyle w:val="Default"/>
        <w:ind w:left="360"/>
        <w:jc w:val="both"/>
      </w:pPr>
    </w:p>
    <w:p w14:paraId="10198D17" w14:textId="4D4C5B75" w:rsidR="006E0EA3" w:rsidRPr="005D0CB0" w:rsidRDefault="006E0EA3" w:rsidP="005D0CB0">
      <w:pPr>
        <w:pStyle w:val="Default"/>
        <w:jc w:val="both"/>
      </w:pPr>
      <w:r w:rsidRPr="005D0CB0">
        <w:rPr>
          <w:b/>
          <w:bCs/>
        </w:rPr>
        <w:t>2.</w:t>
      </w:r>
      <w:r w:rsidR="00D67377" w:rsidRPr="005D0CB0">
        <w:rPr>
          <w:b/>
          <w:bCs/>
        </w:rPr>
        <w:tab/>
        <w:t>Detail</w:t>
      </w:r>
    </w:p>
    <w:p w14:paraId="1857A93B" w14:textId="77777777" w:rsidR="00D67377" w:rsidRPr="005D0CB0" w:rsidRDefault="00D67377" w:rsidP="005D0CB0">
      <w:pPr>
        <w:pStyle w:val="Default"/>
        <w:jc w:val="both"/>
      </w:pPr>
    </w:p>
    <w:p w14:paraId="76978DDA" w14:textId="77777777" w:rsidR="002F3DE9" w:rsidRDefault="006E0EA3" w:rsidP="005D0CB0">
      <w:pPr>
        <w:pStyle w:val="Default"/>
        <w:ind w:left="720" w:hanging="720"/>
        <w:jc w:val="both"/>
      </w:pPr>
      <w:r w:rsidRPr="005D0CB0">
        <w:t xml:space="preserve">2.1 </w:t>
      </w:r>
      <w:r w:rsidR="00D67377" w:rsidRPr="005D0CB0">
        <w:tab/>
      </w:r>
      <w:r w:rsidR="005D0CB0">
        <w:rPr>
          <w:i/>
          <w:iCs/>
        </w:rPr>
        <w:t xml:space="preserve">The </w:t>
      </w:r>
      <w:r w:rsidR="00D67377" w:rsidRPr="005D0CB0">
        <w:rPr>
          <w:i/>
          <w:iCs/>
        </w:rPr>
        <w:t xml:space="preserve">Annual </w:t>
      </w:r>
      <w:r w:rsidR="005D0CB0">
        <w:rPr>
          <w:i/>
          <w:iCs/>
        </w:rPr>
        <w:t>R</w:t>
      </w:r>
      <w:r w:rsidR="00D67377" w:rsidRPr="005D0CB0">
        <w:rPr>
          <w:i/>
          <w:iCs/>
        </w:rPr>
        <w:t>eport of the Audit Committee</w:t>
      </w:r>
      <w:r w:rsidR="005D0CB0">
        <w:t xml:space="preserve"> </w:t>
      </w:r>
    </w:p>
    <w:p w14:paraId="75206F51" w14:textId="77777777" w:rsidR="002F3DE9" w:rsidRDefault="002F3DE9" w:rsidP="005D0CB0">
      <w:pPr>
        <w:pStyle w:val="Default"/>
        <w:ind w:left="720" w:hanging="720"/>
        <w:jc w:val="both"/>
      </w:pPr>
    </w:p>
    <w:p w14:paraId="67361AE8" w14:textId="2F29E419" w:rsidR="00D67377" w:rsidRPr="005D0CB0" w:rsidRDefault="002F3DE9" w:rsidP="002F3DE9">
      <w:pPr>
        <w:pStyle w:val="Default"/>
        <w:ind w:left="720"/>
        <w:jc w:val="both"/>
      </w:pPr>
      <w:r>
        <w:t>T</w:t>
      </w:r>
      <w:r w:rsidR="00D67377" w:rsidRPr="005D0CB0">
        <w:t>he report outlines the activity of the Committee during 2020</w:t>
      </w:r>
      <w:r>
        <w:t xml:space="preserve"> and was approved by the Audit Committee at its meeting on 17 February 2021.</w:t>
      </w:r>
      <w:r w:rsidR="00D67377" w:rsidRPr="005D0CB0">
        <w:t xml:space="preserve"> </w:t>
      </w:r>
    </w:p>
    <w:p w14:paraId="6DA964FE" w14:textId="77777777" w:rsidR="00D67377" w:rsidRPr="005D0CB0" w:rsidRDefault="00D67377" w:rsidP="005D0CB0">
      <w:pPr>
        <w:pStyle w:val="Default"/>
        <w:jc w:val="both"/>
      </w:pPr>
    </w:p>
    <w:p w14:paraId="126D82CB" w14:textId="77777777" w:rsidR="002F3DE9" w:rsidRDefault="006E0EA3" w:rsidP="005D0CB0">
      <w:pPr>
        <w:pStyle w:val="Default"/>
        <w:ind w:left="720" w:hanging="720"/>
        <w:jc w:val="both"/>
        <w:rPr>
          <w:i/>
          <w:iCs/>
        </w:rPr>
      </w:pPr>
      <w:r w:rsidRPr="005D0CB0">
        <w:t xml:space="preserve">2.2 </w:t>
      </w:r>
      <w:r w:rsidR="00D67377" w:rsidRPr="005D0CB0">
        <w:tab/>
      </w:r>
      <w:r w:rsidR="005D0CB0">
        <w:rPr>
          <w:i/>
          <w:iCs/>
        </w:rPr>
        <w:t xml:space="preserve">The </w:t>
      </w:r>
      <w:r w:rsidR="00D67377" w:rsidRPr="005D0CB0">
        <w:rPr>
          <w:i/>
          <w:iCs/>
        </w:rPr>
        <w:t>Audit Committee Charter</w:t>
      </w:r>
    </w:p>
    <w:p w14:paraId="3298EB7D" w14:textId="77777777" w:rsidR="002F3DE9" w:rsidRDefault="002F3DE9" w:rsidP="005D0CB0">
      <w:pPr>
        <w:pStyle w:val="Default"/>
        <w:ind w:left="720" w:hanging="720"/>
        <w:jc w:val="both"/>
      </w:pPr>
    </w:p>
    <w:p w14:paraId="16DFE354" w14:textId="0E3F6F2E" w:rsidR="00D67377" w:rsidRPr="005D0CB0" w:rsidRDefault="005D0CB0" w:rsidP="002F3DE9">
      <w:pPr>
        <w:pStyle w:val="Default"/>
        <w:ind w:left="720"/>
        <w:jc w:val="both"/>
      </w:pPr>
      <w:r>
        <w:t>The Charter outlines the roles and responsibilities and authority of the Audit Committee.</w:t>
      </w:r>
    </w:p>
    <w:p w14:paraId="2620CD48" w14:textId="77777777" w:rsidR="00D67377" w:rsidRPr="005D0CB0" w:rsidRDefault="00D67377" w:rsidP="005D0CB0">
      <w:pPr>
        <w:pStyle w:val="Default"/>
        <w:jc w:val="both"/>
      </w:pPr>
    </w:p>
    <w:p w14:paraId="53700CBC" w14:textId="77777777" w:rsidR="00D67377" w:rsidRPr="005D0CB0" w:rsidRDefault="00D67377" w:rsidP="005D0CB0">
      <w:pPr>
        <w:pStyle w:val="Default"/>
        <w:ind w:left="720"/>
        <w:jc w:val="both"/>
      </w:pPr>
      <w:r w:rsidRPr="005D0CB0">
        <w:t xml:space="preserve">Paragraph 2.6 has been inserted to reflect the Audit Committees role regarding Protected Disclosures. </w:t>
      </w:r>
    </w:p>
    <w:p w14:paraId="0CA57060" w14:textId="77777777" w:rsidR="00D67377" w:rsidRPr="005D0CB0" w:rsidRDefault="00D67377" w:rsidP="005D0CB0">
      <w:pPr>
        <w:pStyle w:val="Default"/>
        <w:ind w:firstLine="720"/>
        <w:jc w:val="both"/>
      </w:pPr>
    </w:p>
    <w:p w14:paraId="41D4D1D1" w14:textId="77777777" w:rsidR="00D67377" w:rsidRPr="005D0CB0" w:rsidRDefault="00D67377" w:rsidP="005D0CB0">
      <w:pPr>
        <w:pStyle w:val="Default"/>
        <w:ind w:left="720"/>
        <w:jc w:val="both"/>
      </w:pPr>
      <w:r w:rsidRPr="005D0CB0">
        <w:t xml:space="preserve">Section 7, ‘Conflict of Interests’, has been updated arising from the findings of the Committee self-evaluation reported at the Audit Committee meeting in October 2020. </w:t>
      </w:r>
    </w:p>
    <w:p w14:paraId="1C820895" w14:textId="77777777" w:rsidR="00D67377" w:rsidRPr="005D0CB0" w:rsidRDefault="00D67377" w:rsidP="005D0CB0">
      <w:pPr>
        <w:pStyle w:val="Default"/>
        <w:jc w:val="both"/>
      </w:pPr>
    </w:p>
    <w:p w14:paraId="439004CF" w14:textId="462BC86A" w:rsidR="00D67377" w:rsidRPr="005D0CB0" w:rsidRDefault="00D67377" w:rsidP="005D0CB0">
      <w:pPr>
        <w:pStyle w:val="Default"/>
        <w:ind w:left="720"/>
        <w:jc w:val="both"/>
      </w:pPr>
      <w:r w:rsidRPr="005D0CB0">
        <w:t xml:space="preserve">Section 8, ‘Review of Performance and Effectiveness’, has also been amended to reflect the agreed actions taken </w:t>
      </w:r>
      <w:r w:rsidR="005D0CB0" w:rsidRPr="005D0CB0">
        <w:t>regarding</w:t>
      </w:r>
      <w:r w:rsidRPr="005D0CB0">
        <w:t xml:space="preserve"> an annual meeting between the Chair of the Committee and the Chief Executive to discuss and appraise the performance of the Audit Committee. </w:t>
      </w:r>
    </w:p>
    <w:p w14:paraId="662E3534" w14:textId="22BE1194" w:rsidR="006E0EA3" w:rsidRDefault="006E0EA3" w:rsidP="005D0CB0">
      <w:pPr>
        <w:pStyle w:val="Default"/>
        <w:jc w:val="both"/>
      </w:pPr>
    </w:p>
    <w:p w14:paraId="6ED43831" w14:textId="78F9DE59" w:rsidR="002F3DE9" w:rsidRPr="005D0CB0" w:rsidRDefault="002F3DE9" w:rsidP="002F3DE9">
      <w:pPr>
        <w:pStyle w:val="Default"/>
        <w:ind w:left="720" w:hanging="720"/>
        <w:jc w:val="both"/>
      </w:pPr>
      <w:r>
        <w:tab/>
        <w:t xml:space="preserve">The Charter was </w:t>
      </w:r>
      <w:r>
        <w:t>approved by the Audit Committee at its meeting on 17 February 2021.</w:t>
      </w:r>
      <w:r w:rsidRPr="005D0CB0">
        <w:t xml:space="preserve"> </w:t>
      </w:r>
    </w:p>
    <w:p w14:paraId="042291BB" w14:textId="77777777" w:rsidR="002F3DE9" w:rsidRPr="005D0CB0" w:rsidRDefault="002F3DE9" w:rsidP="005D0CB0">
      <w:pPr>
        <w:pStyle w:val="Default"/>
        <w:jc w:val="both"/>
      </w:pPr>
    </w:p>
    <w:p w14:paraId="0E4FFE5D" w14:textId="77777777" w:rsidR="002F3DE9" w:rsidRDefault="006E0EA3" w:rsidP="005D0CB0">
      <w:pPr>
        <w:pStyle w:val="Default"/>
        <w:ind w:left="720" w:hanging="720"/>
        <w:jc w:val="both"/>
      </w:pPr>
      <w:r w:rsidRPr="005D0CB0">
        <w:t>2.3</w:t>
      </w:r>
      <w:r w:rsidR="00D67377" w:rsidRPr="005D0CB0">
        <w:tab/>
      </w:r>
      <w:r w:rsidR="005D0CB0" w:rsidRPr="002F3DE9">
        <w:rPr>
          <w:i/>
          <w:iCs/>
        </w:rPr>
        <w:t xml:space="preserve">The </w:t>
      </w:r>
      <w:r w:rsidRPr="002F3DE9">
        <w:rPr>
          <w:i/>
          <w:iCs/>
        </w:rPr>
        <w:t>Audit Committee Work Programme</w:t>
      </w:r>
      <w:r w:rsidRPr="005D0CB0">
        <w:t xml:space="preserve"> </w:t>
      </w:r>
    </w:p>
    <w:p w14:paraId="381EE06C" w14:textId="77777777" w:rsidR="002F3DE9" w:rsidRDefault="002F3DE9" w:rsidP="005D0CB0">
      <w:pPr>
        <w:pStyle w:val="Default"/>
        <w:ind w:left="720" w:hanging="720"/>
        <w:jc w:val="both"/>
      </w:pPr>
    </w:p>
    <w:p w14:paraId="69EC691B" w14:textId="2DDDFC25" w:rsidR="006E0EA3" w:rsidRPr="005D0CB0" w:rsidRDefault="006E0EA3" w:rsidP="002F3DE9">
      <w:pPr>
        <w:pStyle w:val="Default"/>
        <w:ind w:left="720"/>
        <w:jc w:val="both"/>
      </w:pPr>
      <w:r w:rsidRPr="005D0CB0">
        <w:t>In line with 2.</w:t>
      </w:r>
      <w:r w:rsidR="005D0CB0">
        <w:t>2</w:t>
      </w:r>
      <w:r w:rsidRPr="005D0CB0">
        <w:t xml:space="preserve"> above</w:t>
      </w:r>
      <w:r w:rsidR="005D0CB0">
        <w:t xml:space="preserve">, </w:t>
      </w:r>
      <w:r w:rsidRPr="005D0CB0">
        <w:t xml:space="preserve">an additional element has been added at point 6 regarding ‘Protected Disclosures’. </w:t>
      </w:r>
    </w:p>
    <w:p w14:paraId="64BE19EE" w14:textId="707BA129" w:rsidR="00D67377" w:rsidRPr="005D0CB0" w:rsidRDefault="00D67377" w:rsidP="005D0CB0">
      <w:pPr>
        <w:pStyle w:val="Default"/>
        <w:jc w:val="both"/>
        <w:rPr>
          <w:b/>
          <w:bCs/>
          <w:color w:val="auto"/>
        </w:rPr>
      </w:pPr>
      <w:r w:rsidRPr="005D0CB0">
        <w:rPr>
          <w:b/>
          <w:bCs/>
          <w:color w:val="auto"/>
        </w:rPr>
        <w:lastRenderedPageBreak/>
        <w:t>3.</w:t>
      </w:r>
      <w:r w:rsidR="005D0CB0">
        <w:rPr>
          <w:b/>
          <w:bCs/>
          <w:color w:val="auto"/>
        </w:rPr>
        <w:tab/>
      </w:r>
      <w:r w:rsidR="005D0CB0" w:rsidRPr="005D0CB0">
        <w:rPr>
          <w:b/>
          <w:bCs/>
          <w:color w:val="auto"/>
        </w:rPr>
        <w:t>D</w:t>
      </w:r>
      <w:r w:rsidRPr="005D0CB0">
        <w:rPr>
          <w:b/>
          <w:bCs/>
          <w:color w:val="auto"/>
        </w:rPr>
        <w:t>ecision</w:t>
      </w:r>
    </w:p>
    <w:p w14:paraId="282C1076" w14:textId="3D8050B0" w:rsidR="00D67377" w:rsidRPr="005D0CB0" w:rsidRDefault="00D67377" w:rsidP="005D0CB0">
      <w:pPr>
        <w:pStyle w:val="Default"/>
        <w:jc w:val="both"/>
        <w:rPr>
          <w:color w:val="auto"/>
        </w:rPr>
      </w:pPr>
    </w:p>
    <w:p w14:paraId="4B9A4438" w14:textId="6468F860" w:rsidR="00D67377" w:rsidRPr="005D0CB0" w:rsidRDefault="005D0CB0" w:rsidP="002F3DE9">
      <w:pPr>
        <w:pStyle w:val="Default"/>
        <w:ind w:left="720" w:hanging="720"/>
        <w:jc w:val="both"/>
        <w:rPr>
          <w:color w:val="auto"/>
        </w:rPr>
      </w:pPr>
      <w:r>
        <w:rPr>
          <w:color w:val="auto"/>
        </w:rPr>
        <w:t>3.1</w:t>
      </w:r>
      <w:r>
        <w:rPr>
          <w:color w:val="auto"/>
        </w:rPr>
        <w:tab/>
      </w:r>
      <w:r w:rsidR="00D67377" w:rsidRPr="005D0CB0">
        <w:rPr>
          <w:color w:val="auto"/>
        </w:rPr>
        <w:t xml:space="preserve">Council is asked to note that the Audit Committee has fulfilled its duties with respect to </w:t>
      </w:r>
      <w:r w:rsidR="002F3DE9">
        <w:rPr>
          <w:color w:val="auto"/>
        </w:rPr>
        <w:t>the presentation of the following documents:</w:t>
      </w:r>
    </w:p>
    <w:p w14:paraId="3AF635AC" w14:textId="77777777" w:rsidR="005D0CB0" w:rsidRPr="005D0CB0" w:rsidRDefault="005D0CB0" w:rsidP="005D0CB0">
      <w:pPr>
        <w:pStyle w:val="Default"/>
        <w:ind w:left="1080"/>
        <w:jc w:val="both"/>
        <w:rPr>
          <w:color w:val="auto"/>
        </w:rPr>
      </w:pPr>
    </w:p>
    <w:p w14:paraId="51C91F00" w14:textId="738DB462" w:rsidR="00D67377" w:rsidRPr="005D0CB0" w:rsidRDefault="00D67377" w:rsidP="005D0CB0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5D0CB0">
        <w:rPr>
          <w:color w:val="auto"/>
        </w:rPr>
        <w:t xml:space="preserve">The </w:t>
      </w:r>
      <w:r w:rsidR="002F3DE9">
        <w:t>A</w:t>
      </w:r>
      <w:r w:rsidRPr="005D0CB0">
        <w:t>nnual</w:t>
      </w:r>
      <w:r w:rsidRPr="005D0CB0">
        <w:rPr>
          <w:color w:val="auto"/>
        </w:rPr>
        <w:t xml:space="preserve"> report of the audit committee</w:t>
      </w:r>
    </w:p>
    <w:p w14:paraId="509C8FF3" w14:textId="77777777" w:rsidR="005D0CB0" w:rsidRPr="005D0CB0" w:rsidRDefault="005D0CB0" w:rsidP="005D0CB0">
      <w:pPr>
        <w:pStyle w:val="Default"/>
        <w:ind w:left="1080"/>
        <w:jc w:val="both"/>
        <w:rPr>
          <w:color w:val="auto"/>
        </w:rPr>
      </w:pPr>
    </w:p>
    <w:p w14:paraId="7D2AD284" w14:textId="1275E9F1" w:rsidR="00D67377" w:rsidRPr="005D0CB0" w:rsidRDefault="00D67377" w:rsidP="005D0CB0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5D0CB0">
        <w:rPr>
          <w:color w:val="auto"/>
        </w:rPr>
        <w:t>The Audit Committee Charter</w:t>
      </w:r>
    </w:p>
    <w:p w14:paraId="6134818A" w14:textId="77777777" w:rsidR="005D0CB0" w:rsidRPr="005D0CB0" w:rsidRDefault="005D0CB0" w:rsidP="005D0CB0">
      <w:pPr>
        <w:pStyle w:val="Default"/>
        <w:ind w:left="1080"/>
        <w:jc w:val="both"/>
        <w:rPr>
          <w:color w:val="auto"/>
        </w:rPr>
      </w:pPr>
    </w:p>
    <w:p w14:paraId="0E71816A" w14:textId="214B4F78" w:rsidR="00D67377" w:rsidRPr="005D0CB0" w:rsidRDefault="00D67377" w:rsidP="005D0CB0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5D0CB0">
        <w:rPr>
          <w:color w:val="auto"/>
        </w:rPr>
        <w:t>The Audit Committee Annual Work Programme</w:t>
      </w:r>
    </w:p>
    <w:p w14:paraId="5EEB86E8" w14:textId="01ED1E4A" w:rsidR="006E0EA3" w:rsidRPr="005D0CB0" w:rsidRDefault="006E0EA3" w:rsidP="005D0CB0">
      <w:pPr>
        <w:jc w:val="both"/>
        <w:rPr>
          <w:sz w:val="24"/>
          <w:szCs w:val="24"/>
        </w:rPr>
      </w:pPr>
    </w:p>
    <w:sectPr w:rsidR="006E0EA3" w:rsidRPr="005D0CB0" w:rsidSect="00A03946">
      <w:pgSz w:w="11906" w:h="17338"/>
      <w:pgMar w:top="1141" w:right="1266" w:bottom="1440" w:left="126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F6F9796"/>
    <w:multiLevelType w:val="hybridMultilevel"/>
    <w:tmpl w:val="9654B9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817F96"/>
    <w:multiLevelType w:val="hybridMultilevel"/>
    <w:tmpl w:val="4651FF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BCF65F"/>
    <w:multiLevelType w:val="hybridMultilevel"/>
    <w:tmpl w:val="E84F0A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477EFE"/>
    <w:multiLevelType w:val="hybridMultilevel"/>
    <w:tmpl w:val="6CB694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827B79"/>
    <w:multiLevelType w:val="multilevel"/>
    <w:tmpl w:val="36662E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7E1C054"/>
    <w:multiLevelType w:val="hybridMultilevel"/>
    <w:tmpl w:val="12A077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8A6552"/>
    <w:multiLevelType w:val="hybridMultilevel"/>
    <w:tmpl w:val="B0B0E7A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BC2ADD"/>
    <w:multiLevelType w:val="hybridMultilevel"/>
    <w:tmpl w:val="4F48D1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871E5"/>
    <w:multiLevelType w:val="hybridMultilevel"/>
    <w:tmpl w:val="0C6FFA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61F4D6A"/>
    <w:multiLevelType w:val="multilevel"/>
    <w:tmpl w:val="485208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A3"/>
    <w:rsid w:val="002F3DE9"/>
    <w:rsid w:val="005D0CB0"/>
    <w:rsid w:val="006E0EA3"/>
    <w:rsid w:val="00D67377"/>
    <w:rsid w:val="00D8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6F36"/>
  <w15:chartTrackingRefBased/>
  <w15:docId w15:val="{B71E117A-5545-421A-AB60-ABC3CAE6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0E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James</dc:creator>
  <cp:keywords/>
  <dc:description/>
  <cp:lastModifiedBy>Stuart James</cp:lastModifiedBy>
  <cp:revision>3</cp:revision>
  <dcterms:created xsi:type="dcterms:W3CDTF">2021-02-12T08:31:00Z</dcterms:created>
  <dcterms:modified xsi:type="dcterms:W3CDTF">2021-02-17T14:10:00Z</dcterms:modified>
</cp:coreProperties>
</file>