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DD887B" w14:textId="77777777" w:rsidR="00A13BAE" w:rsidRDefault="00A13BAE" w:rsidP="00A13BAE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14:paraId="16C9C282" w14:textId="77777777" w:rsidR="00A13BAE" w:rsidRDefault="004A72E1" w:rsidP="00A13BA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6401570F" wp14:editId="2275C5E6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B750" w14:textId="77777777" w:rsidR="00A13BAE" w:rsidRDefault="00A13BAE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ANNUAL BUDGET MEETING</w:t>
      </w:r>
    </w:p>
    <w:p w14:paraId="558059D8" w14:textId="39F4C9FE" w:rsidR="00A13BAE" w:rsidRDefault="00BC72C6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</w:t>
      </w:r>
      <w:r w:rsidR="00A13BAE">
        <w:rPr>
          <w:rFonts w:ascii="Verdana" w:hAnsi="Verdana"/>
        </w:rPr>
        <w:t xml:space="preserve">, </w:t>
      </w:r>
      <w:r w:rsidR="00013EED">
        <w:rPr>
          <w:rFonts w:ascii="Verdana" w:hAnsi="Verdana"/>
        </w:rPr>
        <w:t xml:space="preserve">November </w:t>
      </w:r>
      <w:r w:rsidR="00F24CC4">
        <w:rPr>
          <w:rFonts w:ascii="Verdana" w:hAnsi="Verdana"/>
        </w:rPr>
        <w:t>1</w:t>
      </w:r>
      <w:r w:rsidR="004F398C">
        <w:rPr>
          <w:rFonts w:ascii="Verdana" w:hAnsi="Verdana"/>
        </w:rPr>
        <w:t>9</w:t>
      </w:r>
      <w:r w:rsidR="00013EED">
        <w:rPr>
          <w:rFonts w:ascii="Verdana" w:hAnsi="Verdana"/>
        </w:rPr>
        <w:t>, 20</w:t>
      </w:r>
      <w:r w:rsidR="004F398C">
        <w:rPr>
          <w:rFonts w:ascii="Verdana" w:hAnsi="Verdana"/>
        </w:rPr>
        <w:t>20</w:t>
      </w:r>
    </w:p>
    <w:p w14:paraId="38038EE2" w14:textId="77777777" w:rsidR="00A13BAE" w:rsidRPr="00DA5753" w:rsidRDefault="006475DA" w:rsidP="0058460D">
      <w:pPr>
        <w:pStyle w:val="replymain"/>
      </w:pPr>
      <w:r w:rsidRPr="00DA5753">
        <w:rPr>
          <w:rFonts w:ascii="Verdana" w:hAnsi="Verdana"/>
        </w:rPr>
        <w:t>HEADED ITEM NO.</w:t>
      </w:r>
      <w:r w:rsidR="003F11AE" w:rsidRPr="00DA5753">
        <w:rPr>
          <w:rFonts w:ascii="Verdana" w:hAnsi="Verdana"/>
        </w:rPr>
        <w:t xml:space="preserve"> </w:t>
      </w:r>
      <w:r w:rsidRPr="00DA5753">
        <w:rPr>
          <w:rFonts w:ascii="Verdana" w:hAnsi="Verdana"/>
        </w:rPr>
        <w:t>2</w:t>
      </w:r>
      <w:r w:rsidR="003F11AE" w:rsidRPr="00DA5753">
        <w:rPr>
          <w:rFonts w:ascii="Verdana" w:hAnsi="Verdana"/>
        </w:rPr>
        <w:t xml:space="preserve"> </w:t>
      </w:r>
      <w:r w:rsidR="00A267F0" w:rsidRPr="00DA5753">
        <w:rPr>
          <w:rFonts w:ascii="Verdana" w:hAnsi="Verdana"/>
        </w:rPr>
        <w:t>e</w:t>
      </w:r>
      <w:r w:rsidR="00A13BAE" w:rsidRPr="00DA5753">
        <w:rPr>
          <w:rFonts w:ascii="Verdana" w:hAnsi="Verdana"/>
        </w:rPr>
        <w:t>)</w:t>
      </w:r>
    </w:p>
    <w:p w14:paraId="7B8D3EA7" w14:textId="1A18AA31" w:rsidR="00A13BAE" w:rsidRPr="0021498E" w:rsidRDefault="00A13BAE" w:rsidP="00A13BAE">
      <w:pPr>
        <w:pStyle w:val="NormalWeb"/>
        <w:jc w:val="center"/>
        <w:rPr>
          <w:rFonts w:ascii="Verdana" w:hAnsi="Verdana"/>
          <w:b/>
        </w:rPr>
      </w:pPr>
      <w:r w:rsidRPr="0021498E">
        <w:rPr>
          <w:rFonts w:ascii="Verdana" w:hAnsi="Verdana"/>
          <w:b/>
        </w:rPr>
        <w:t>Approval of additional expenditures as cont</w:t>
      </w:r>
      <w:r w:rsidR="00013EED">
        <w:rPr>
          <w:rFonts w:ascii="Verdana" w:hAnsi="Verdana"/>
          <w:b/>
        </w:rPr>
        <w:t>ained in the Revised Budget 20</w:t>
      </w:r>
      <w:r w:rsidR="004F398C">
        <w:rPr>
          <w:rFonts w:ascii="Verdana" w:hAnsi="Verdana"/>
          <w:b/>
        </w:rPr>
        <w:t>20</w:t>
      </w:r>
      <w:r w:rsidRPr="0021498E">
        <w:rPr>
          <w:rFonts w:ascii="Verdana" w:hAnsi="Verdana"/>
          <w:b/>
        </w:rPr>
        <w:t>.</w:t>
      </w:r>
    </w:p>
    <w:p w14:paraId="7299D27F" w14:textId="5C799EB3" w:rsidR="00227A98" w:rsidRPr="007B0390" w:rsidRDefault="0097405B" w:rsidP="00A13BAE">
      <w:pPr>
        <w:pStyle w:val="BodyText"/>
        <w:rPr>
          <w:rFonts w:ascii="Verdana" w:hAnsi="Verdana"/>
          <w:b/>
          <w:color w:val="FF0000"/>
          <w:szCs w:val="24"/>
          <w:lang w:eastAsia="en-GB"/>
        </w:rPr>
      </w:pPr>
      <w:r w:rsidRPr="0009524C">
        <w:rPr>
          <w:rFonts w:ascii="Verdana" w:hAnsi="Verdana"/>
          <w:szCs w:val="24"/>
          <w:lang w:eastAsia="en-GB"/>
        </w:rPr>
        <w:t xml:space="preserve">In accordance with Section 104 of the Local Government Act 2001, the approval of the members is required for the following items of additional revenue expenditure which exceeded the </w:t>
      </w:r>
      <w:r>
        <w:rPr>
          <w:rFonts w:ascii="Verdana" w:hAnsi="Verdana"/>
          <w:szCs w:val="24"/>
          <w:lang w:eastAsia="en-GB"/>
        </w:rPr>
        <w:t>adopted</w:t>
      </w:r>
      <w:r w:rsidRPr="0009524C">
        <w:rPr>
          <w:rFonts w:ascii="Verdana" w:hAnsi="Verdana"/>
          <w:szCs w:val="24"/>
          <w:lang w:eastAsia="en-GB"/>
        </w:rPr>
        <w:t xml:space="preserve"> budget expenditure.  The additional Divisional and Service expenditure and the explanation for same are set out below:</w:t>
      </w:r>
    </w:p>
    <w:tbl>
      <w:tblPr>
        <w:tblW w:w="1022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2"/>
        <w:gridCol w:w="3151"/>
        <w:gridCol w:w="16"/>
        <w:gridCol w:w="109"/>
        <w:gridCol w:w="3277"/>
        <w:gridCol w:w="2950"/>
      </w:tblGrid>
      <w:tr w:rsidR="005B1ADB" w14:paraId="5D8CA484" w14:textId="77777777" w:rsidTr="00227A98">
        <w:trPr>
          <w:trHeight w:val="1016"/>
        </w:trPr>
        <w:tc>
          <w:tcPr>
            <w:tcW w:w="722" w:type="dxa"/>
            <w:shd w:val="clear" w:color="auto" w:fill="auto"/>
            <w:noWrap/>
            <w:vAlign w:val="bottom"/>
          </w:tcPr>
          <w:p w14:paraId="122D5437" w14:textId="77777777" w:rsidR="005B1ADB" w:rsidRPr="00B71D23" w:rsidRDefault="005B1ADB" w:rsidP="00B626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004820B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Division and Service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7FDC572" w14:textId="452B2789" w:rsidR="005B1ADB" w:rsidRPr="00B71D23" w:rsidRDefault="005B1ADB" w:rsidP="006D4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 of Additional Expenditure over Budget 20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5B1ADB" w14:paraId="53AC696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79050C3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6774FDC" w14:textId="77777777"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Housing &amp; Building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A3F910C" w14:textId="77777777" w:rsidR="005B1ADB" w:rsidRDefault="005B1ADB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24CC4" w14:paraId="3756C58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85376EC" w14:textId="77777777" w:rsidR="00F24CC4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505F68D" w14:textId="77777777" w:rsidR="00F24CC4" w:rsidRPr="00B71D23" w:rsidRDefault="00F24CC4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&amp; Improvement of LA Housing Units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0D06F9D" w14:textId="14AE3F93" w:rsidR="00F24CC4" w:rsidRDefault="004F398C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894,200</w:t>
            </w:r>
          </w:p>
        </w:tc>
      </w:tr>
      <w:tr w:rsidR="006C320A" w14:paraId="38C2D3A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6E5CB87" w14:textId="519539CB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A0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8BDC5F3" w14:textId="26667D85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Homeless Service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5FAED3" w14:textId="375EE99F" w:rsidR="006C320A" w:rsidRDefault="004F398C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289,300</w:t>
            </w:r>
          </w:p>
        </w:tc>
      </w:tr>
      <w:tr w:rsidR="00732AC6" w14:paraId="76FAB23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420A08F" w14:textId="6DCD8DE3" w:rsidR="00732AC6" w:rsidRDefault="00732AC6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4F39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2BC75A6" w14:textId="1EB65F22" w:rsidR="00732AC6" w:rsidRDefault="004F398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 Programme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2FA4A22" w14:textId="1D7CF183" w:rsidR="00732AC6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115,500</w:t>
            </w:r>
          </w:p>
        </w:tc>
      </w:tr>
      <w:tr w:rsidR="005B1ADB" w14:paraId="7ADAFD2E" w14:textId="77777777" w:rsidTr="00227A98">
        <w:trPr>
          <w:trHeight w:val="318"/>
        </w:trPr>
        <w:tc>
          <w:tcPr>
            <w:tcW w:w="722" w:type="dxa"/>
            <w:shd w:val="clear" w:color="auto" w:fill="D9D9D9"/>
            <w:noWrap/>
            <w:vAlign w:val="bottom"/>
          </w:tcPr>
          <w:p w14:paraId="480C4E07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B1A424E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96E630E" w14:textId="58A5EC98" w:rsidR="005B1ADB" w:rsidRPr="005F34F8" w:rsidRDefault="004F398C" w:rsidP="00F24CC4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1,299,000</w:t>
            </w:r>
          </w:p>
        </w:tc>
      </w:tr>
      <w:tr w:rsidR="005B1ADB" w14:paraId="3BDC0CA6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E2FB988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47ED7EEE" w14:textId="0637C7D7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86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7D2B5935" w14:textId="4D1E795C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030A43EA" w14:textId="0DA18549" w:rsidR="005B1ADB" w:rsidRPr="007368BA" w:rsidRDefault="004F398C" w:rsidP="00227A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De</w:t>
            </w:r>
            <w:r w:rsidR="00732AC6">
              <w:rPr>
                <w:rFonts w:ascii="Arial" w:hAnsi="Arial" w:cs="Arial"/>
                <w:b/>
                <w:bCs/>
                <w:iCs/>
              </w:rPr>
              <w:t>creased Exp.€</w:t>
            </w:r>
            <w:r>
              <w:rPr>
                <w:rFonts w:ascii="Arial" w:hAnsi="Arial" w:cs="Arial"/>
                <w:b/>
                <w:bCs/>
                <w:iCs/>
              </w:rPr>
              <w:t>2</w:t>
            </w:r>
            <w:r w:rsidR="006C320A">
              <w:rPr>
                <w:rFonts w:ascii="Arial" w:hAnsi="Arial" w:cs="Arial"/>
                <w:b/>
                <w:bCs/>
                <w:iCs/>
              </w:rPr>
              <w:t>.9</w:t>
            </w:r>
            <w:r w:rsidR="00A8204E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A31775" w14:paraId="371CBE54" w14:textId="77777777" w:rsidTr="00227A98">
        <w:trPr>
          <w:trHeight w:val="170"/>
        </w:trPr>
        <w:tc>
          <w:tcPr>
            <w:tcW w:w="722" w:type="dxa"/>
            <w:shd w:val="clear" w:color="auto" w:fill="auto"/>
            <w:noWrap/>
            <w:vAlign w:val="bottom"/>
          </w:tcPr>
          <w:p w14:paraId="78FEDDE2" w14:textId="77777777" w:rsidR="00A31775" w:rsidRPr="00B71D23" w:rsidRDefault="00A31775" w:rsidP="00A317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493152B" w14:textId="77777777" w:rsidR="00A31775" w:rsidRPr="008274F4" w:rsidRDefault="00A31775" w:rsidP="00A3177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9A00C60" w14:textId="77777777" w:rsidR="00A31775" w:rsidRDefault="00A31775" w:rsidP="00A31775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  <w:p w14:paraId="2E66C192" w14:textId="77777777" w:rsidR="00A31775" w:rsidRPr="005F34F8" w:rsidRDefault="00A31775" w:rsidP="00A31775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5B1ADB" w14:paraId="6A1D33A2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4BE7082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3D3E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8EF1CD1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Road Transport &amp; Safety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83165DB" w14:textId="77777777" w:rsidR="005B1ADB" w:rsidRPr="00183D3E" w:rsidRDefault="005B1ADB" w:rsidP="00B626F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32AC6" w14:paraId="4C72FF2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D52CD14" w14:textId="77777777" w:rsidR="00732AC6" w:rsidRPr="00B71D23" w:rsidRDefault="00732AC6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C926270" w14:textId="77777777" w:rsidR="00732AC6" w:rsidRDefault="00732AC6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NS Road – Maintenance and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6D74B5D" w14:textId="137691AF" w:rsidR="00732AC6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699,900</w:t>
            </w:r>
          </w:p>
        </w:tc>
      </w:tr>
      <w:tr w:rsidR="00732AC6" w14:paraId="2A3DC35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6E1ECCF" w14:textId="24483D70" w:rsidR="00732AC6" w:rsidRDefault="00732AC6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4F398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4469CB1" w14:textId="65F8AEEE" w:rsidR="00732AC6" w:rsidRDefault="004F398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Traffic Management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3F5DD76" w14:textId="7A666CEF" w:rsidR="00732AC6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19,100</w:t>
            </w:r>
          </w:p>
        </w:tc>
      </w:tr>
      <w:tr w:rsidR="00C15C3F" w14:paraId="0CAACFA0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E7AF742" w14:textId="2D9843E6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4F398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E6C69FA" w14:textId="0AF094AE" w:rsidR="00C15C3F" w:rsidRDefault="004F398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Road Safety Engineering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02A9534" w14:textId="7084B605" w:rsidR="00C15C3F" w:rsidRPr="005F34F8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10,600</w:t>
            </w:r>
          </w:p>
        </w:tc>
      </w:tr>
      <w:tr w:rsidR="00C15C3F" w14:paraId="6BE47F0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5272F1C" w14:textId="34C62E53" w:rsidR="00C15C3F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B1</w:t>
            </w:r>
            <w:r w:rsidR="004F39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B470D54" w14:textId="0AE67C5E" w:rsidR="00C15C3F" w:rsidRDefault="004F398C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FD72649" w14:textId="57F43D21" w:rsidR="00C15C3F" w:rsidRDefault="004F398C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5,900</w:t>
            </w:r>
          </w:p>
        </w:tc>
      </w:tr>
      <w:tr w:rsidR="00C15C3F" w14:paraId="48655B16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37EA3ECF" w14:textId="77777777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0784A11" w14:textId="77777777" w:rsidR="00C15C3F" w:rsidRPr="00B71D23" w:rsidRDefault="00C15C3F" w:rsidP="00B626FF">
            <w:pPr>
              <w:rPr>
                <w:rFonts w:ascii="Arial" w:hAnsi="Arial" w:cs="Arial"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11BE30DD" w14:textId="0FE72945" w:rsidR="00C15C3F" w:rsidRPr="005F34F8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735,500</w:t>
            </w:r>
          </w:p>
        </w:tc>
      </w:tr>
      <w:tr w:rsidR="001178BE" w14:paraId="7A39CACC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3643BCC" w14:textId="77777777" w:rsidR="001178BE" w:rsidRPr="00B71D23" w:rsidRDefault="00A27F07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151" w:type="dxa"/>
            <w:shd w:val="clear" w:color="auto" w:fill="FFFF99"/>
            <w:noWrap/>
            <w:vAlign w:val="bottom"/>
          </w:tcPr>
          <w:p w14:paraId="6756F505" w14:textId="1D06F863" w:rsidR="001178BE" w:rsidRPr="00B71D23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02" w:type="dxa"/>
            <w:gridSpan w:val="3"/>
            <w:shd w:val="clear" w:color="auto" w:fill="FFFF99"/>
            <w:noWrap/>
            <w:vAlign w:val="bottom"/>
          </w:tcPr>
          <w:p w14:paraId="0E02C106" w14:textId="36DC4BE4" w:rsidR="001178BE" w:rsidRPr="001178BE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1AB3AE7E" w14:textId="456F5B1B" w:rsidR="001178BE" w:rsidRPr="001178BE" w:rsidRDefault="00054905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227A98">
              <w:rPr>
                <w:rFonts w:ascii="Arial" w:hAnsi="Arial" w:cs="Arial"/>
                <w:b/>
                <w:bCs/>
                <w:iCs/>
              </w:rPr>
              <w:t>creased Exp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  <w:r w:rsidR="00A147EE">
              <w:rPr>
                <w:rFonts w:ascii="Arial" w:hAnsi="Arial" w:cs="Arial"/>
                <w:b/>
                <w:bCs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</w:rPr>
              <w:t>€</w:t>
            </w:r>
            <w:r w:rsidR="004F398C">
              <w:rPr>
                <w:rFonts w:ascii="Arial" w:hAnsi="Arial" w:cs="Arial"/>
                <w:b/>
                <w:bCs/>
                <w:iCs/>
              </w:rPr>
              <w:t>0.1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9D31D2" w:rsidRPr="007368BA" w14:paraId="08C0291A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2716D439" w14:textId="77777777" w:rsidR="009D31D2" w:rsidRDefault="009D31D2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27DDF14" w14:textId="77777777" w:rsidR="00383DC1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E0C2A1F" w14:textId="31D84FE5" w:rsidR="00383DC1" w:rsidRPr="00B71D23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43B8BDCE" w14:textId="77777777" w:rsidR="009D31D2" w:rsidRPr="008274F4" w:rsidRDefault="009D31D2" w:rsidP="00A27F07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15659CF" w14:textId="77777777" w:rsidR="009D31D2" w:rsidRDefault="009D31D2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9698C" w:rsidRPr="00D622FF" w14:paraId="5619FFB3" w14:textId="77777777" w:rsidTr="008357DD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E6E9C51" w14:textId="6FC7716D" w:rsidR="0039698C" w:rsidRPr="00B71D23" w:rsidRDefault="0039698C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46FA8F7" w14:textId="0113A966" w:rsidR="0039698C" w:rsidRPr="00B71D23" w:rsidRDefault="0039698C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Water Services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3AB1E7E5" w14:textId="77777777" w:rsidR="0039698C" w:rsidRPr="00D622FF" w:rsidRDefault="0039698C" w:rsidP="008357D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39698C" w14:paraId="3842CF6B" w14:textId="77777777" w:rsidTr="008357DD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E73691E" w14:textId="579FE9D4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C08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C947DBC" w14:textId="3F2B5B9F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Authority Water and Sanitary Services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17A88D56" w14:textId="72BED777" w:rsidR="0039698C" w:rsidRDefault="0039698C" w:rsidP="008357DD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33,700</w:t>
            </w:r>
          </w:p>
        </w:tc>
      </w:tr>
      <w:tr w:rsidR="0039698C" w:rsidRPr="007368BA" w14:paraId="68F26E4F" w14:textId="77777777" w:rsidTr="008357DD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761C1808" w14:textId="69C5ACF6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2ED2D4C8" w14:textId="77777777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6939C975" w14:textId="3AEAEBEE" w:rsidR="0039698C" w:rsidRPr="007368BA" w:rsidRDefault="0039698C" w:rsidP="008357DD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33,700</w:t>
            </w:r>
          </w:p>
        </w:tc>
      </w:tr>
      <w:tr w:rsidR="0039698C" w:rsidRPr="00DA4997" w14:paraId="6CA08FC5" w14:textId="77777777" w:rsidTr="008357DD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77EC09D" w14:textId="2E3641A6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14B020CD" w14:textId="1EAE2D12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€13.6m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43E7232D" w14:textId="1A0E3BB0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€12.9m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153D52DC" w14:textId="7725AEDC" w:rsidR="0039698C" w:rsidRPr="00DA4997" w:rsidRDefault="0039698C" w:rsidP="008357DD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Decreased Exp. €0.7m</w:t>
            </w:r>
          </w:p>
        </w:tc>
      </w:tr>
      <w:tr w:rsidR="00383DC1" w:rsidRPr="007368BA" w14:paraId="5CA350FC" w14:textId="77777777" w:rsidTr="0020118C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F379264" w14:textId="77777777" w:rsidR="00383DC1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11F80B1B" w14:textId="77777777" w:rsidR="00383DC1" w:rsidRPr="00B71D23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14:paraId="73CEB930" w14:textId="77777777" w:rsidR="00383DC1" w:rsidRDefault="00383DC1" w:rsidP="00A27F07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27F07" w:rsidRPr="007368BA" w14:paraId="39CDFFD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5577A21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67F51F8C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Development Management 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41C83CB7" w14:textId="77777777" w:rsidR="00A27F07" w:rsidRDefault="00A27F07" w:rsidP="00A27F07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27F07" w:rsidRPr="00DA4997" w14:paraId="61402BD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1A89508" w14:textId="77777777" w:rsidR="00A27F07" w:rsidRPr="00DA4997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B6A0C2D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Tourism Development and Promotion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E620400" w14:textId="188A82DF" w:rsidR="00A27F07" w:rsidRPr="00DA4997" w:rsidRDefault="0039698C" w:rsidP="00A27F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3,900</w:t>
            </w:r>
          </w:p>
        </w:tc>
      </w:tr>
      <w:tr w:rsidR="009D31D2" w:rsidRPr="00BC1307" w14:paraId="005A7EF5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D43EEC9" w14:textId="39D5C681" w:rsidR="009D31D2" w:rsidRDefault="009D31D2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122C6F50" w14:textId="739594E1" w:rsidR="009D31D2" w:rsidRDefault="009D31D2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Community and Enterprise Function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DB6FED1" w14:textId="6A82599C" w:rsidR="009D31D2" w:rsidRDefault="0039698C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321,300</w:t>
            </w:r>
          </w:p>
        </w:tc>
      </w:tr>
      <w:tr w:rsidR="00A147EE" w:rsidRPr="00BC1307" w14:paraId="724A4A9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5DDFD7D" w14:textId="01AF03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529B52" w14:textId="6EE9AD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Economic Development and Promotion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C1D7CD1" w14:textId="22294E57" w:rsidR="00A147EE" w:rsidRPr="00D622FF" w:rsidRDefault="0039698C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31,893,000</w:t>
            </w:r>
          </w:p>
        </w:tc>
      </w:tr>
      <w:tr w:rsidR="00A27F07" w14:paraId="5CA60057" w14:textId="77777777" w:rsidTr="00227A98">
        <w:trPr>
          <w:trHeight w:val="317"/>
        </w:trPr>
        <w:tc>
          <w:tcPr>
            <w:tcW w:w="722" w:type="dxa"/>
            <w:shd w:val="clear" w:color="auto" w:fill="E0E0E0"/>
            <w:noWrap/>
            <w:vAlign w:val="bottom"/>
          </w:tcPr>
          <w:p w14:paraId="57CD6F40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E0E0E0"/>
            <w:noWrap/>
            <w:vAlign w:val="bottom"/>
          </w:tcPr>
          <w:p w14:paraId="7F31D877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E0E0E0"/>
            <w:noWrap/>
            <w:vAlign w:val="bottom"/>
          </w:tcPr>
          <w:p w14:paraId="364A54DA" w14:textId="70063A1C" w:rsidR="00A27F07" w:rsidRPr="00D622FF" w:rsidRDefault="0039698C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32,218,200</w:t>
            </w:r>
          </w:p>
        </w:tc>
      </w:tr>
      <w:tr w:rsidR="00A27F07" w14:paraId="307C9D3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767FEF1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1BAC4EA0" w14:textId="512E4C0A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20.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C511941" w14:textId="3960699F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51.9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E42B73F" w14:textId="79C5CF3E" w:rsidR="00A27F07" w:rsidRPr="00D622FF" w:rsidRDefault="00A27F07" w:rsidP="00227A9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31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A27F07" w14:paraId="006435F8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37A72835" w14:textId="77777777" w:rsidR="00A27F07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2BE5711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B1EEA88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C186EEC" w14:textId="77777777" w:rsidR="00A27F07" w:rsidRDefault="00A27F07" w:rsidP="00A27F0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A27F07" w14:paraId="70261968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F7723A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8A00FE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Environmental Services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6F8F8675" w14:textId="77777777" w:rsidR="00A27F07" w:rsidRPr="00D622FF" w:rsidRDefault="00A27F07" w:rsidP="00A27F0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30A9E" w14:paraId="07474F96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0A9A1FF" w14:textId="35A0FC07" w:rsidR="00030A9E" w:rsidRPr="00B71D23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6B866D1" w14:textId="5BCE7694" w:rsidR="00030A9E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Landfill Operation &amp; Aftercare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B4D15B9" w14:textId="191441F2" w:rsidR="00030A9E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76,400</w:t>
            </w:r>
          </w:p>
        </w:tc>
      </w:tr>
      <w:tr w:rsidR="00030A9E" w14:paraId="27BE44F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5C4E29E" w14:textId="24EBB37B" w:rsidR="00030A9E" w:rsidRPr="00B71D23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D3698EB" w14:textId="5CC684C1" w:rsidR="00030A9E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Recovery and Recycling Facilities Operations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2956130" w14:textId="27DEDDB2" w:rsidR="00030A9E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69,700</w:t>
            </w:r>
          </w:p>
        </w:tc>
      </w:tr>
      <w:tr w:rsidR="00A27F07" w14:paraId="527CDD6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9692328" w14:textId="61F06432" w:rsidR="00A27F07" w:rsidRDefault="00A27F07" w:rsidP="00030A9E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176846E" w14:textId="5D6224E2" w:rsidR="00A27F07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Litter Management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AC35411" w14:textId="28456932" w:rsidR="00A27F07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8,700</w:t>
            </w:r>
          </w:p>
        </w:tc>
      </w:tr>
      <w:tr w:rsidR="00A27F07" w14:paraId="0369A1FA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B4782DB" w14:textId="2821C585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173C063" w14:textId="0C4397CB" w:rsidR="00A27F07" w:rsidRPr="00B71D23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Cleaning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0A84B9C" w14:textId="11A7161A" w:rsidR="00A27F07" w:rsidRPr="00D622FF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434,400</w:t>
            </w:r>
          </w:p>
        </w:tc>
      </w:tr>
      <w:tr w:rsidR="00030A9E" w:rsidRPr="007368BA" w14:paraId="11C6D31C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677A281" w14:textId="77777777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6A1E88F" w14:textId="77777777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Fire Service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C638A8A" w14:textId="0B32D752" w:rsidR="00030A9E" w:rsidRPr="00D622FF" w:rsidRDefault="0039698C" w:rsidP="00030A9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876,000</w:t>
            </w:r>
          </w:p>
        </w:tc>
      </w:tr>
      <w:tr w:rsidR="00030A9E" w:rsidRPr="007368BA" w14:paraId="392F910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AA5A829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031065D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Climate Change and Flooding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3CDCC9D" w14:textId="34ACD924" w:rsidR="00030A9E" w:rsidRPr="00030A9E" w:rsidRDefault="0039698C" w:rsidP="00030A9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15,000</w:t>
            </w:r>
          </w:p>
        </w:tc>
      </w:tr>
      <w:tr w:rsidR="00A27F07" w14:paraId="679B9681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70DBBAA4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8942482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6495DAE" w14:textId="2162BB58" w:rsidR="00A27F07" w:rsidRPr="00B71D23" w:rsidRDefault="0039698C" w:rsidP="00030A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1,484,200</w:t>
            </w:r>
          </w:p>
        </w:tc>
      </w:tr>
      <w:tr w:rsidR="00A27F07" w:rsidRPr="00DA4997" w14:paraId="1BDF036E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56E9B8D7" w14:textId="77777777" w:rsidR="00A27F07" w:rsidRPr="00DA4997" w:rsidRDefault="00A27F07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5F64F21C" w14:textId="0B2DC29B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38.2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EA90C7D" w14:textId="68CD6F2C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39.3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650FBF6" w14:textId="67185CDA" w:rsidR="00A27F07" w:rsidRPr="00DA4997" w:rsidRDefault="00030A9E" w:rsidP="00227A98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227A98" w14:paraId="002819B4" w14:textId="77777777" w:rsidTr="00227A98">
        <w:trPr>
          <w:trHeight w:val="80"/>
        </w:trPr>
        <w:tc>
          <w:tcPr>
            <w:tcW w:w="722" w:type="dxa"/>
            <w:shd w:val="clear" w:color="auto" w:fill="auto"/>
            <w:noWrap/>
            <w:vAlign w:val="bottom"/>
          </w:tcPr>
          <w:p w14:paraId="55935E90" w14:textId="77777777" w:rsidR="00227A98" w:rsidRDefault="00227A98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19F9EB8" w14:textId="77777777" w:rsidR="00227A98" w:rsidRPr="00B71D23" w:rsidRDefault="00227A98" w:rsidP="00A27F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398BB9B" w14:textId="77777777" w:rsidR="00227A98" w:rsidRPr="00B71D23" w:rsidRDefault="00227A98" w:rsidP="00A27F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E216A72" w14:textId="77777777" w:rsidR="00227A98" w:rsidRDefault="00227A98" w:rsidP="00A27F07">
            <w:pPr>
              <w:jc w:val="right"/>
              <w:rPr>
                <w:rFonts w:ascii="Arial" w:hAnsi="Arial" w:cs="Arial"/>
                <w:iCs/>
              </w:rPr>
            </w:pPr>
          </w:p>
          <w:p w14:paraId="72FD72C0" w14:textId="77777777" w:rsidR="00227A98" w:rsidRPr="00D622FF" w:rsidRDefault="00227A98" w:rsidP="00A27F07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A27F07" w14:paraId="1D154BE3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D6EBBE0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C2A3DAB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Recreation &amp; Amenity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3B8CA150" w14:textId="77777777" w:rsidR="00A27F07" w:rsidRPr="00D622FF" w:rsidRDefault="00A27F07" w:rsidP="00A27F07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030A9E" w14:paraId="2A5FF37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BD74A30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77B7">
              <w:rPr>
                <w:rFonts w:ascii="Arial" w:hAnsi="Arial" w:cs="Arial"/>
                <w:color w:val="000000"/>
              </w:rPr>
              <w:t>F05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D461717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Arts Programme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54F08660" w14:textId="6E5251F2" w:rsidR="00030A9E" w:rsidRDefault="00006F58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161,300</w:t>
            </w:r>
          </w:p>
        </w:tc>
      </w:tr>
      <w:tr w:rsidR="00030A9E" w14:paraId="31F4FD47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3E0C9106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032456C5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42170E6" w14:textId="2B74D217" w:rsidR="00030A9E" w:rsidRPr="007368BA" w:rsidRDefault="00006F58" w:rsidP="00030A9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161,300</w:t>
            </w:r>
          </w:p>
        </w:tc>
      </w:tr>
      <w:tr w:rsidR="00030A9E" w:rsidRPr="00DA4997" w14:paraId="06C451F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EA54F7B" w14:textId="77777777" w:rsidR="00030A9E" w:rsidRPr="00DA4997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46E6EE7C" w14:textId="2E307164" w:rsidR="00030A9E" w:rsidRPr="00DA4997" w:rsidRDefault="00030A9E" w:rsidP="00030A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4.2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2457EBDB" w14:textId="754D3A6E" w:rsidR="00030A9E" w:rsidRPr="00DA4997" w:rsidRDefault="00030A9E" w:rsidP="00030A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43.4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BFFFE1C" w14:textId="4ACBFB23" w:rsidR="00030A9E" w:rsidRPr="00DA4997" w:rsidRDefault="00006F58" w:rsidP="00227A98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creased Exp. €0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030A9E" w:rsidRPr="00D622FF" w14:paraId="3DF9F1D4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709EFBB9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3"/>
            <w:shd w:val="clear" w:color="auto" w:fill="auto"/>
            <w:noWrap/>
            <w:vAlign w:val="bottom"/>
          </w:tcPr>
          <w:p w14:paraId="1E2BDA7A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7" w:type="dxa"/>
            <w:shd w:val="clear" w:color="auto" w:fill="auto"/>
            <w:vAlign w:val="bottom"/>
          </w:tcPr>
          <w:p w14:paraId="13692DF3" w14:textId="77777777" w:rsidR="00030A9E" w:rsidRPr="00D622FF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5147C86" w14:textId="77777777" w:rsidR="00030A9E" w:rsidRPr="00D622FF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30A9E" w14:paraId="0ED23CFD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8BF20FE" w14:textId="77777777" w:rsidR="00030A9E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176174FC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Miscellaneous Services 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10D1B0AE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FFFF99"/>
          </w:tcPr>
          <w:p w14:paraId="5773C17A" w14:textId="77777777" w:rsidR="00030A9E" w:rsidRPr="007368BA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27A98" w14:paraId="62CAF87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27A7D51" w14:textId="504C2E33" w:rsidR="00227A98" w:rsidRPr="00B71D23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</w:t>
            </w:r>
            <w:r w:rsidR="009D31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0266A3D" w14:textId="6EC18B0A" w:rsidR="00227A98" w:rsidRPr="00006F58" w:rsidRDefault="00006F58" w:rsidP="00A27F07">
            <w:pPr>
              <w:rPr>
                <w:rFonts w:ascii="Arial" w:hAnsi="Arial" w:cs="Arial"/>
                <w:color w:val="000000"/>
              </w:rPr>
            </w:pPr>
            <w:r w:rsidRPr="00006F58">
              <w:rPr>
                <w:rFonts w:ascii="Arial" w:hAnsi="Arial" w:cs="Arial"/>
                <w:color w:val="000000"/>
              </w:rPr>
              <w:t>Profit &amp; Loss Machinery Account</w:t>
            </w:r>
          </w:p>
        </w:tc>
        <w:tc>
          <w:tcPr>
            <w:tcW w:w="2950" w:type="dxa"/>
            <w:shd w:val="clear" w:color="auto" w:fill="auto"/>
          </w:tcPr>
          <w:p w14:paraId="7CC66984" w14:textId="4E76A7D4" w:rsidR="00227A98" w:rsidRPr="00227A98" w:rsidRDefault="00006F58" w:rsidP="00A27F07">
            <w:pPr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800</w:t>
            </w:r>
          </w:p>
        </w:tc>
      </w:tr>
      <w:tr w:rsidR="00030A9E" w:rsidRPr="00DA4997" w14:paraId="55E2AD8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FAAF5D4" w14:textId="2C59FCE3" w:rsidR="00030A9E" w:rsidRPr="007F7140" w:rsidRDefault="00030A9E" w:rsidP="00227A98">
            <w:pPr>
              <w:rPr>
                <w:rFonts w:ascii="Arial" w:hAnsi="Arial" w:cs="Arial"/>
                <w:color w:val="000000"/>
              </w:rPr>
            </w:pPr>
            <w:r w:rsidRPr="007F7140">
              <w:rPr>
                <w:rFonts w:ascii="Arial" w:hAnsi="Arial" w:cs="Arial"/>
                <w:color w:val="000000"/>
              </w:rPr>
              <w:t>H0</w:t>
            </w:r>
            <w:r w:rsidR="009D31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CA57E82" w14:textId="39615A61" w:rsidR="00030A9E" w:rsidRPr="007F7140" w:rsidRDefault="00006F58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Rates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F33FC7" w14:textId="59FC88CD" w:rsidR="00030A9E" w:rsidRPr="00DA4997" w:rsidRDefault="00006F58" w:rsidP="00A27F07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54,014,400</w:t>
            </w:r>
          </w:p>
        </w:tc>
      </w:tr>
      <w:tr w:rsidR="009D31D2" w:rsidRPr="00DA4997" w14:paraId="1183B779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428E897" w14:textId="76F7E14E" w:rsidR="009D31D2" w:rsidRPr="00DA4997" w:rsidRDefault="009D31D2" w:rsidP="009D31D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6FD80C" w14:textId="6394B44B" w:rsidR="009D31D2" w:rsidRPr="00DA4997" w:rsidRDefault="009D31D2" w:rsidP="009D31D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Franchise Costs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DC0337A" w14:textId="5BBDB8AE" w:rsidR="009D31D2" w:rsidRPr="00DA4997" w:rsidRDefault="00006F58" w:rsidP="009D31D2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25,100</w:t>
            </w:r>
          </w:p>
        </w:tc>
      </w:tr>
      <w:tr w:rsidR="00030A9E" w:rsidRPr="00D134A0" w14:paraId="698197A5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052262DE" w14:textId="77777777" w:rsidR="00030A9E" w:rsidRPr="006F0E57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337A42F" w14:textId="77777777" w:rsidR="00030A9E" w:rsidRPr="006F0E57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8A26821" w14:textId="57C6A7C3" w:rsidR="00030A9E" w:rsidRPr="00D622FF" w:rsidRDefault="00006F58" w:rsidP="00A27F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54,040,300</w:t>
            </w:r>
          </w:p>
        </w:tc>
      </w:tr>
      <w:tr w:rsidR="00227A98" w:rsidRPr="00D134A0" w14:paraId="6D58D47F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2BA39718" w14:textId="77777777" w:rsidR="00227A98" w:rsidRDefault="00227A98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3DE83AC0" w14:textId="724C8B0E" w:rsidR="00227A98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17.9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1122B916" w14:textId="64734BEA" w:rsidR="00227A98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71.8m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C233297" w14:textId="7B6C13C7" w:rsidR="00227A98" w:rsidRPr="00D622FF" w:rsidRDefault="0093271F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bookmarkStart w:id="0" w:name="_GoBack"/>
            <w:bookmarkEnd w:id="0"/>
            <w:r w:rsidR="00227A98">
              <w:rPr>
                <w:rFonts w:ascii="Arial" w:hAnsi="Arial" w:cs="Arial"/>
                <w:b/>
                <w:bCs/>
                <w:iCs/>
              </w:rPr>
              <w:t>creased Exp. €</w:t>
            </w:r>
            <w:r w:rsidR="00006F58">
              <w:rPr>
                <w:rFonts w:ascii="Arial" w:hAnsi="Arial" w:cs="Arial"/>
                <w:b/>
                <w:bCs/>
                <w:iCs/>
              </w:rPr>
              <w:t>53.9</w:t>
            </w:r>
            <w:r w:rsidR="00227A98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</w:tbl>
    <w:p w14:paraId="136798D5" w14:textId="77777777" w:rsidR="00667F63" w:rsidRDefault="00667F63" w:rsidP="005B1ADB">
      <w:pPr>
        <w:outlineLvl w:val="0"/>
        <w:rPr>
          <w:rFonts w:ascii="Arial" w:hAnsi="Arial"/>
          <w:b/>
        </w:rPr>
      </w:pPr>
    </w:p>
    <w:p w14:paraId="4783733E" w14:textId="77777777" w:rsidR="00667F63" w:rsidRDefault="00667F63" w:rsidP="005B1ADB">
      <w:pPr>
        <w:outlineLvl w:val="0"/>
        <w:rPr>
          <w:rFonts w:ascii="Arial" w:hAnsi="Arial"/>
          <w:b/>
        </w:rPr>
      </w:pPr>
    </w:p>
    <w:p w14:paraId="25A1D988" w14:textId="67BC8D3E" w:rsidR="0022049D" w:rsidRDefault="005B1ADB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</w:t>
      </w:r>
      <w:r w:rsidR="007548DF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="0027719B">
        <w:rPr>
          <w:rFonts w:ascii="Arial" w:hAnsi="Arial"/>
          <w:b/>
        </w:rPr>
        <w:t>Maintenance &amp; Improvement of LA Housing Units</w:t>
      </w:r>
    </w:p>
    <w:p w14:paraId="4D230BC0" w14:textId="1F16AED5" w:rsidR="0027719B" w:rsidRPr="0027719B" w:rsidRDefault="0027719B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additional maintenance </w:t>
      </w:r>
      <w:r w:rsidR="00726375">
        <w:rPr>
          <w:rFonts w:ascii="Arial" w:hAnsi="Arial"/>
        </w:rPr>
        <w:t xml:space="preserve">and pre-let </w:t>
      </w:r>
      <w:r>
        <w:rPr>
          <w:rFonts w:ascii="Arial" w:hAnsi="Arial"/>
        </w:rPr>
        <w:t>works</w:t>
      </w:r>
      <w:r w:rsidR="00EE2DBB">
        <w:rPr>
          <w:rFonts w:ascii="Arial" w:hAnsi="Arial"/>
        </w:rPr>
        <w:t>, including costs due to Covid-19,</w:t>
      </w:r>
      <w:r>
        <w:rPr>
          <w:rFonts w:ascii="Arial" w:hAnsi="Arial"/>
        </w:rPr>
        <w:t xml:space="preserve"> and is funded from increased </w:t>
      </w:r>
      <w:r w:rsidR="00070D6A">
        <w:rPr>
          <w:rFonts w:ascii="Arial" w:hAnsi="Arial"/>
        </w:rPr>
        <w:t>grant</w:t>
      </w:r>
      <w:r>
        <w:rPr>
          <w:rFonts w:ascii="Arial" w:hAnsi="Arial"/>
        </w:rPr>
        <w:t xml:space="preserve"> income.</w:t>
      </w:r>
    </w:p>
    <w:p w14:paraId="372B70FE" w14:textId="77777777" w:rsidR="00F83140" w:rsidRDefault="00F83140" w:rsidP="005B1ADB">
      <w:pPr>
        <w:outlineLvl w:val="0"/>
        <w:rPr>
          <w:rFonts w:ascii="Arial" w:hAnsi="Arial"/>
          <w:b/>
        </w:rPr>
      </w:pPr>
    </w:p>
    <w:p w14:paraId="189A94F2" w14:textId="77777777" w:rsidR="00520808" w:rsidRDefault="00520808" w:rsidP="00520808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A05 Administration of the Homeless Service</w:t>
      </w:r>
    </w:p>
    <w:p w14:paraId="7D50C521" w14:textId="67DC24C8" w:rsidR="00766F43" w:rsidRPr="00A6356F" w:rsidRDefault="00766F43" w:rsidP="00766F43">
      <w:pPr>
        <w:outlineLvl w:val="0"/>
        <w:rPr>
          <w:rFonts w:ascii="Arial" w:hAnsi="Arial"/>
        </w:rPr>
      </w:pPr>
      <w:r w:rsidRPr="005657E0">
        <w:rPr>
          <w:rFonts w:ascii="Arial" w:hAnsi="Arial"/>
        </w:rPr>
        <w:t xml:space="preserve">Additional expenditure is due to an increase in the cost of the </w:t>
      </w:r>
      <w:r>
        <w:rPr>
          <w:rFonts w:ascii="Arial" w:hAnsi="Arial"/>
        </w:rPr>
        <w:t xml:space="preserve">homeless </w:t>
      </w:r>
      <w:r w:rsidRPr="005657E0">
        <w:rPr>
          <w:rFonts w:ascii="Arial" w:hAnsi="Arial"/>
        </w:rPr>
        <w:t xml:space="preserve">service </w:t>
      </w:r>
      <w:r w:rsidR="00070D6A">
        <w:rPr>
          <w:rFonts w:ascii="Arial" w:hAnsi="Arial"/>
        </w:rPr>
        <w:t xml:space="preserve">and associated legal costs </w:t>
      </w:r>
      <w:r w:rsidRPr="005657E0">
        <w:rPr>
          <w:rFonts w:ascii="Arial" w:hAnsi="Arial"/>
        </w:rPr>
        <w:t>within the Dublin Region.</w:t>
      </w:r>
    </w:p>
    <w:p w14:paraId="3FD6BC56" w14:textId="77777777" w:rsidR="0020118C" w:rsidRDefault="0020118C" w:rsidP="00520808">
      <w:pPr>
        <w:outlineLvl w:val="0"/>
        <w:rPr>
          <w:rFonts w:ascii="Arial" w:hAnsi="Arial"/>
        </w:rPr>
      </w:pPr>
    </w:p>
    <w:p w14:paraId="5A63E00C" w14:textId="5B7558A6" w:rsidR="00520808" w:rsidRPr="007F7140" w:rsidRDefault="00520808" w:rsidP="00520808">
      <w:pPr>
        <w:outlineLvl w:val="0"/>
        <w:rPr>
          <w:rFonts w:ascii="Arial" w:hAnsi="Arial"/>
          <w:b/>
        </w:rPr>
      </w:pPr>
      <w:r w:rsidRPr="007F7140">
        <w:rPr>
          <w:rFonts w:ascii="Arial" w:hAnsi="Arial"/>
          <w:b/>
        </w:rPr>
        <w:lastRenderedPageBreak/>
        <w:t>A</w:t>
      </w:r>
      <w:r w:rsidR="00006F58">
        <w:rPr>
          <w:rFonts w:ascii="Arial" w:hAnsi="Arial"/>
          <w:b/>
        </w:rPr>
        <w:t>12</w:t>
      </w:r>
      <w:r w:rsidRPr="007F7140">
        <w:rPr>
          <w:rFonts w:ascii="Arial" w:hAnsi="Arial"/>
          <w:b/>
        </w:rPr>
        <w:t xml:space="preserve"> </w:t>
      </w:r>
      <w:r w:rsidR="00006F58">
        <w:rPr>
          <w:rFonts w:ascii="Arial" w:hAnsi="Arial"/>
          <w:b/>
        </w:rPr>
        <w:t>HAP Programme</w:t>
      </w:r>
    </w:p>
    <w:p w14:paraId="7381C56B" w14:textId="2DE1A687" w:rsidR="00766F43" w:rsidRDefault="00070D6A" w:rsidP="00520808">
      <w:pPr>
        <w:outlineLvl w:val="0"/>
        <w:rPr>
          <w:rFonts w:ascii="Arial" w:hAnsi="Arial"/>
          <w:highlight w:val="yellow"/>
        </w:rPr>
      </w:pPr>
      <w:r>
        <w:rPr>
          <w:rFonts w:ascii="Arial" w:hAnsi="Arial"/>
        </w:rPr>
        <w:t>Increased expenditure is due to additional costs of administering the HAP Programme.</w:t>
      </w:r>
    </w:p>
    <w:p w14:paraId="03E19600" w14:textId="77777777" w:rsidR="00006F58" w:rsidRPr="007F7140" w:rsidRDefault="00006F58" w:rsidP="00520808">
      <w:pPr>
        <w:outlineLvl w:val="0"/>
        <w:rPr>
          <w:rFonts w:ascii="Arial" w:hAnsi="Arial"/>
          <w:highlight w:val="yellow"/>
        </w:rPr>
      </w:pPr>
    </w:p>
    <w:p w14:paraId="547F83E5" w14:textId="77777777" w:rsidR="00520808" w:rsidRPr="007F7140" w:rsidRDefault="00520808" w:rsidP="005B1ADB">
      <w:pPr>
        <w:outlineLvl w:val="0"/>
        <w:rPr>
          <w:rFonts w:ascii="Arial" w:hAnsi="Arial"/>
          <w:b/>
        </w:rPr>
      </w:pPr>
      <w:r w:rsidRPr="007F7140">
        <w:rPr>
          <w:rFonts w:ascii="Arial" w:hAnsi="Arial"/>
          <w:b/>
        </w:rPr>
        <w:t>B02 NS Road– Maintenance &amp; Improvement</w:t>
      </w:r>
    </w:p>
    <w:p w14:paraId="3AF3C2EE" w14:textId="4C136BD7" w:rsidR="00520808" w:rsidRPr="007F7140" w:rsidRDefault="00A300B0" w:rsidP="005B1ADB">
      <w:pPr>
        <w:outlineLvl w:val="0"/>
        <w:rPr>
          <w:rFonts w:ascii="Arial" w:hAnsi="Arial"/>
        </w:rPr>
      </w:pPr>
      <w:r w:rsidRPr="007F7140">
        <w:rPr>
          <w:rFonts w:ascii="Arial" w:hAnsi="Arial"/>
        </w:rPr>
        <w:t>Additional expenditure is due to works on the N81 and is fully grant funded.</w:t>
      </w:r>
    </w:p>
    <w:p w14:paraId="28F107A9" w14:textId="77777777" w:rsidR="00A300B0" w:rsidRPr="007F7140" w:rsidRDefault="00A300B0" w:rsidP="005B1ADB">
      <w:pPr>
        <w:rPr>
          <w:rFonts w:ascii="Arial" w:hAnsi="Arial"/>
          <w:highlight w:val="yellow"/>
        </w:rPr>
      </w:pPr>
    </w:p>
    <w:p w14:paraId="6F9DB7FD" w14:textId="21FCACE2" w:rsidR="00F83140" w:rsidRDefault="00006F58" w:rsidP="00F83140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B06 Traffic Management Improvement</w:t>
      </w:r>
    </w:p>
    <w:p w14:paraId="17BACEB8" w14:textId="77777777" w:rsidR="00016467" w:rsidRDefault="00016467" w:rsidP="00016467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>expenditure is due to an increase in payroll costs.</w:t>
      </w:r>
    </w:p>
    <w:p w14:paraId="75812A1F" w14:textId="7739E729" w:rsidR="00006F58" w:rsidRDefault="00006F58" w:rsidP="00F83140">
      <w:pPr>
        <w:outlineLvl w:val="0"/>
        <w:rPr>
          <w:rFonts w:ascii="Arial" w:hAnsi="Arial"/>
          <w:b/>
          <w:bCs/>
        </w:rPr>
      </w:pPr>
    </w:p>
    <w:p w14:paraId="03661280" w14:textId="6FB1DBA5" w:rsidR="00006F58" w:rsidRDefault="00006F58" w:rsidP="00F83140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B07 Road Safety Engineering Improvement</w:t>
      </w:r>
    </w:p>
    <w:p w14:paraId="15442BA1" w14:textId="274E7834" w:rsidR="00006F58" w:rsidRDefault="00016467" w:rsidP="00F83140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additional costs relating to Covid-19 which are </w:t>
      </w:r>
      <w:r w:rsidR="000A1D19">
        <w:rPr>
          <w:rFonts w:ascii="Arial" w:hAnsi="Arial"/>
        </w:rPr>
        <w:t xml:space="preserve">funded from an increase in </w:t>
      </w:r>
      <w:r>
        <w:rPr>
          <w:rFonts w:ascii="Arial" w:hAnsi="Arial"/>
        </w:rPr>
        <w:t>grant fund</w:t>
      </w:r>
      <w:r w:rsidR="000A1D19">
        <w:rPr>
          <w:rFonts w:ascii="Arial" w:hAnsi="Arial"/>
        </w:rPr>
        <w:t>ing</w:t>
      </w:r>
      <w:r>
        <w:rPr>
          <w:rFonts w:ascii="Arial" w:hAnsi="Arial"/>
        </w:rPr>
        <w:t>.</w:t>
      </w:r>
    </w:p>
    <w:p w14:paraId="6594A3DE" w14:textId="77777777" w:rsidR="00016467" w:rsidRPr="00006F58" w:rsidRDefault="00016467" w:rsidP="00F83140">
      <w:pPr>
        <w:outlineLvl w:val="0"/>
        <w:rPr>
          <w:rFonts w:ascii="Arial" w:hAnsi="Arial"/>
          <w:b/>
          <w:bCs/>
        </w:rPr>
      </w:pPr>
    </w:p>
    <w:p w14:paraId="10A856A8" w14:textId="0566C127" w:rsidR="00F83140" w:rsidRPr="00726295" w:rsidRDefault="00F83140" w:rsidP="00F83140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B1</w:t>
      </w:r>
      <w:r w:rsidR="00006F58">
        <w:rPr>
          <w:rFonts w:ascii="Arial" w:hAnsi="Arial"/>
          <w:b/>
        </w:rPr>
        <w:t>1 Agency &amp; Recoupable Services</w:t>
      </w:r>
    </w:p>
    <w:p w14:paraId="4DB46F69" w14:textId="6F3ABEDD" w:rsidR="000C2496" w:rsidRDefault="000A1D19" w:rsidP="005B1ADB">
      <w:pPr>
        <w:outlineLvl w:val="0"/>
        <w:rPr>
          <w:rFonts w:ascii="Arial" w:hAnsi="Arial"/>
        </w:rPr>
      </w:pPr>
      <w:r w:rsidRPr="007F7140">
        <w:rPr>
          <w:rFonts w:ascii="Arial" w:hAnsi="Arial"/>
        </w:rPr>
        <w:t>Additional expenditure is due to</w:t>
      </w:r>
      <w:r>
        <w:rPr>
          <w:rFonts w:ascii="Arial" w:hAnsi="Arial"/>
        </w:rPr>
        <w:t xml:space="preserve"> increased costs relating to Map Road system.</w:t>
      </w:r>
    </w:p>
    <w:p w14:paraId="3BB90864" w14:textId="77777777" w:rsidR="000A1D19" w:rsidRDefault="000A1D19" w:rsidP="005B1ADB">
      <w:pPr>
        <w:outlineLvl w:val="0"/>
        <w:rPr>
          <w:rFonts w:ascii="Arial" w:hAnsi="Arial"/>
          <w:b/>
          <w:highlight w:val="yellow"/>
        </w:rPr>
      </w:pPr>
    </w:p>
    <w:p w14:paraId="4C6C1F91" w14:textId="78D0F63A" w:rsidR="00006F58" w:rsidRDefault="00006F58" w:rsidP="005B1ADB">
      <w:pPr>
        <w:outlineLvl w:val="0"/>
        <w:rPr>
          <w:rFonts w:ascii="Arial" w:hAnsi="Arial"/>
          <w:b/>
        </w:rPr>
      </w:pPr>
      <w:r w:rsidRPr="00006F58">
        <w:rPr>
          <w:rFonts w:ascii="Arial" w:hAnsi="Arial"/>
          <w:b/>
        </w:rPr>
        <w:t>C08 Local Authority Water and Sanitary Services</w:t>
      </w:r>
    </w:p>
    <w:p w14:paraId="3F8A1E01" w14:textId="77777777" w:rsidR="000A1D19" w:rsidRDefault="000A1D19" w:rsidP="000A1D19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>expenditure is due to an increase in payroll costs.</w:t>
      </w:r>
    </w:p>
    <w:p w14:paraId="6A5691C2" w14:textId="1622C23B" w:rsidR="00006F58" w:rsidRDefault="00006F58" w:rsidP="005B1ADB">
      <w:pPr>
        <w:outlineLvl w:val="0"/>
        <w:rPr>
          <w:rFonts w:ascii="Arial" w:hAnsi="Arial"/>
        </w:rPr>
      </w:pPr>
    </w:p>
    <w:p w14:paraId="4E82037C" w14:textId="616FBE0B" w:rsidR="00006F58" w:rsidRPr="00006F58" w:rsidRDefault="00006F58" w:rsidP="005B1ADB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D06 Community and Enterprise Function</w:t>
      </w:r>
    </w:p>
    <w:p w14:paraId="58D93874" w14:textId="2141B14F" w:rsidR="00BF483D" w:rsidRPr="00B96897" w:rsidRDefault="000A1D19" w:rsidP="00BF483D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increases in grants and contributions </w:t>
      </w:r>
      <w:r w:rsidR="00BF483D" w:rsidRPr="00B96897">
        <w:rPr>
          <w:rFonts w:ascii="Arial" w:hAnsi="Arial"/>
        </w:rPr>
        <w:t xml:space="preserve">which are </w:t>
      </w:r>
      <w:r w:rsidR="00BF483D">
        <w:rPr>
          <w:rFonts w:ascii="Arial" w:hAnsi="Arial"/>
        </w:rPr>
        <w:t>funded</w:t>
      </w:r>
      <w:r w:rsidR="00BF483D" w:rsidRPr="00B96897">
        <w:rPr>
          <w:rFonts w:ascii="Arial" w:hAnsi="Arial"/>
        </w:rPr>
        <w:t xml:space="preserve"> by increased grant income.</w:t>
      </w:r>
    </w:p>
    <w:p w14:paraId="3715B727" w14:textId="205796FB" w:rsidR="00F83140" w:rsidRPr="007F7140" w:rsidRDefault="00F83140" w:rsidP="005B1ADB">
      <w:pPr>
        <w:outlineLvl w:val="0"/>
        <w:rPr>
          <w:rFonts w:ascii="Arial" w:hAnsi="Arial"/>
          <w:b/>
          <w:highlight w:val="yellow"/>
        </w:rPr>
      </w:pPr>
    </w:p>
    <w:p w14:paraId="5720316E" w14:textId="77777777" w:rsidR="00F83140" w:rsidRPr="00726295" w:rsidRDefault="00F83140" w:rsidP="005B1ADB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D09 Economic Development and Promotion</w:t>
      </w:r>
    </w:p>
    <w:p w14:paraId="59FE055A" w14:textId="4D64825F" w:rsidR="00BF483D" w:rsidRDefault="00D719E4" w:rsidP="00BF483D">
      <w:pPr>
        <w:outlineLvl w:val="0"/>
        <w:rPr>
          <w:rFonts w:ascii="Arial" w:hAnsi="Arial"/>
        </w:rPr>
      </w:pPr>
      <w:r w:rsidRPr="00726295">
        <w:rPr>
          <w:rFonts w:ascii="Arial" w:hAnsi="Arial"/>
        </w:rPr>
        <w:t xml:space="preserve">Additional expenditure is due to </w:t>
      </w:r>
      <w:r w:rsidR="00BF483D">
        <w:rPr>
          <w:rFonts w:ascii="Arial" w:hAnsi="Arial"/>
        </w:rPr>
        <w:t>additional grants, including ReStart Grants and other supports to businesses as a result of Covid-19 which is matched by grant funding</w:t>
      </w:r>
      <w:r w:rsidR="00BF483D" w:rsidRPr="00BF483D">
        <w:rPr>
          <w:rFonts w:ascii="Arial" w:hAnsi="Arial"/>
        </w:rPr>
        <w:t xml:space="preserve"> </w:t>
      </w:r>
      <w:r w:rsidR="00BF483D">
        <w:rPr>
          <w:rFonts w:ascii="Arial" w:hAnsi="Arial"/>
        </w:rPr>
        <w:t>and an allocation in the revised budget process of €1.12m towards an Innovation Centre.</w:t>
      </w:r>
    </w:p>
    <w:p w14:paraId="11C350B9" w14:textId="77777777" w:rsidR="00726295" w:rsidRDefault="00726295" w:rsidP="00726295">
      <w:pPr>
        <w:outlineLvl w:val="0"/>
        <w:rPr>
          <w:rFonts w:ascii="Arial" w:hAnsi="Arial"/>
          <w:highlight w:val="yellow"/>
        </w:rPr>
      </w:pPr>
    </w:p>
    <w:p w14:paraId="0B7D3D4B" w14:textId="27DCB4A3" w:rsidR="00D719E4" w:rsidRPr="00006F58" w:rsidRDefault="00006F58" w:rsidP="00D719E4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E01 Landfill Operation &amp; Aftercare</w:t>
      </w:r>
    </w:p>
    <w:p w14:paraId="5EA52509" w14:textId="57226293" w:rsidR="00F83140" w:rsidRDefault="00BF483D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>Increased expenditure is due to additional costs relating to landfill aftercare which is fully grant funded.</w:t>
      </w:r>
    </w:p>
    <w:p w14:paraId="5D2C8FEC" w14:textId="77777777" w:rsidR="00BF483D" w:rsidRPr="007F7140" w:rsidRDefault="00BF483D" w:rsidP="005B1ADB">
      <w:pPr>
        <w:outlineLvl w:val="0"/>
        <w:rPr>
          <w:rFonts w:ascii="Arial" w:hAnsi="Arial"/>
          <w:b/>
          <w:highlight w:val="yellow"/>
        </w:rPr>
      </w:pPr>
    </w:p>
    <w:p w14:paraId="594B5BC7" w14:textId="182DDCB2" w:rsidR="00D719E4" w:rsidRDefault="00006F58" w:rsidP="00D719E4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E02 Recovery and Recycling Facilities Operations</w:t>
      </w:r>
    </w:p>
    <w:p w14:paraId="327868D7" w14:textId="26A9B4E3" w:rsidR="00006F58" w:rsidRDefault="00BF483D" w:rsidP="00D719E4">
      <w:pPr>
        <w:outlineLvl w:val="0"/>
        <w:rPr>
          <w:rFonts w:ascii="Arial" w:hAnsi="Arial"/>
        </w:rPr>
      </w:pPr>
      <w:r w:rsidRPr="008D6F01">
        <w:rPr>
          <w:rFonts w:ascii="Arial" w:hAnsi="Arial"/>
        </w:rPr>
        <w:t>Additional expenditure is due to increase</w:t>
      </w:r>
      <w:r>
        <w:rPr>
          <w:rFonts w:ascii="Arial" w:hAnsi="Arial"/>
        </w:rPr>
        <w:t>d</w:t>
      </w:r>
      <w:r w:rsidRPr="008D6F01">
        <w:rPr>
          <w:rFonts w:ascii="Arial" w:hAnsi="Arial"/>
        </w:rPr>
        <w:t xml:space="preserve"> cost</w:t>
      </w:r>
      <w:r>
        <w:rPr>
          <w:rFonts w:ascii="Arial" w:hAnsi="Arial"/>
        </w:rPr>
        <w:t>s associated with the bring centres as a result of increased activity and is matched by an increase in income.</w:t>
      </w:r>
    </w:p>
    <w:p w14:paraId="578D26F4" w14:textId="77777777" w:rsidR="00BF483D" w:rsidRDefault="00BF483D" w:rsidP="00D719E4">
      <w:pPr>
        <w:outlineLvl w:val="0"/>
        <w:rPr>
          <w:rFonts w:ascii="Arial" w:hAnsi="Arial"/>
          <w:b/>
        </w:rPr>
      </w:pPr>
    </w:p>
    <w:p w14:paraId="44B35543" w14:textId="2C03F587" w:rsidR="00006F58" w:rsidRDefault="00006F58" w:rsidP="00D719E4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E05 Litter Management</w:t>
      </w:r>
    </w:p>
    <w:p w14:paraId="74DB0C16" w14:textId="375FD2BA" w:rsidR="0020118C" w:rsidRDefault="0020118C" w:rsidP="0020118C">
      <w:pPr>
        <w:outlineLvl w:val="0"/>
        <w:rPr>
          <w:rFonts w:ascii="Arial" w:hAnsi="Arial"/>
        </w:rPr>
      </w:pPr>
      <w:r>
        <w:rPr>
          <w:rFonts w:ascii="Arial" w:hAnsi="Arial"/>
        </w:rPr>
        <w:t>Additional expenditure is due to an increase in payroll costs.</w:t>
      </w:r>
    </w:p>
    <w:p w14:paraId="44804BD4" w14:textId="08E9E0C8" w:rsidR="00006F58" w:rsidRDefault="00006F58" w:rsidP="00D719E4">
      <w:pPr>
        <w:outlineLvl w:val="0"/>
        <w:rPr>
          <w:rFonts w:ascii="Arial" w:hAnsi="Arial"/>
          <w:b/>
        </w:rPr>
      </w:pPr>
    </w:p>
    <w:p w14:paraId="0F610731" w14:textId="62AFBABC" w:rsidR="00006F58" w:rsidRDefault="00006F58" w:rsidP="00D719E4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E06 Street Cleaning</w:t>
      </w:r>
    </w:p>
    <w:p w14:paraId="0A9BAB19" w14:textId="00765602" w:rsidR="00006F58" w:rsidRDefault="00383DC1" w:rsidP="00D719E4">
      <w:pPr>
        <w:outlineLvl w:val="0"/>
        <w:rPr>
          <w:rFonts w:ascii="Arial" w:hAnsi="Arial"/>
        </w:rPr>
      </w:pPr>
      <w:r>
        <w:rPr>
          <w:rFonts w:ascii="Arial" w:hAnsi="Arial"/>
        </w:rPr>
        <w:t>Additional expenditure is due to an increase in payroll and contract costs.</w:t>
      </w:r>
    </w:p>
    <w:p w14:paraId="0A7FE5DF" w14:textId="77777777" w:rsidR="00383DC1" w:rsidRPr="005F3006" w:rsidRDefault="00383DC1" w:rsidP="00D719E4">
      <w:pPr>
        <w:outlineLvl w:val="0"/>
        <w:rPr>
          <w:rFonts w:ascii="Arial" w:hAnsi="Arial"/>
          <w:b/>
        </w:rPr>
      </w:pPr>
    </w:p>
    <w:p w14:paraId="1DEB2407" w14:textId="77777777" w:rsidR="00ED3377" w:rsidRPr="008D6F01" w:rsidRDefault="00ED3377" w:rsidP="00ED3377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>E11 Operation of Fire Service</w:t>
      </w:r>
    </w:p>
    <w:p w14:paraId="60D1E912" w14:textId="3BC814F0" w:rsidR="00A6356F" w:rsidRDefault="005657E0" w:rsidP="00A6356F">
      <w:pPr>
        <w:outlineLvl w:val="0"/>
        <w:rPr>
          <w:rFonts w:ascii="Arial" w:hAnsi="Arial"/>
        </w:rPr>
      </w:pPr>
      <w:r w:rsidRPr="008D6F01">
        <w:rPr>
          <w:rFonts w:ascii="Arial" w:hAnsi="Arial"/>
        </w:rPr>
        <w:t>Additional expenditure is due to an increase in the cost of the fire service within the Dublin Region.</w:t>
      </w:r>
    </w:p>
    <w:p w14:paraId="6FE75125" w14:textId="77777777" w:rsidR="00520808" w:rsidRPr="007F7140" w:rsidRDefault="00520808" w:rsidP="00520808">
      <w:pPr>
        <w:outlineLvl w:val="0"/>
        <w:rPr>
          <w:rFonts w:ascii="Arial" w:hAnsi="Arial"/>
          <w:highlight w:val="yellow"/>
        </w:rPr>
      </w:pPr>
    </w:p>
    <w:p w14:paraId="1820F114" w14:textId="77777777" w:rsidR="00520808" w:rsidRPr="008D6F01" w:rsidRDefault="00726375" w:rsidP="00520808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 xml:space="preserve">E15 </w:t>
      </w:r>
      <w:r w:rsidR="00520808" w:rsidRPr="008D6F01">
        <w:rPr>
          <w:rFonts w:ascii="Arial" w:hAnsi="Arial"/>
          <w:b/>
        </w:rPr>
        <w:t>Climate Change and Flooding</w:t>
      </w:r>
    </w:p>
    <w:p w14:paraId="7FBFED7F" w14:textId="3914FA63" w:rsidR="008D6F01" w:rsidRPr="007F7140" w:rsidRDefault="008D6F01" w:rsidP="00520808">
      <w:pPr>
        <w:outlineLvl w:val="0"/>
        <w:rPr>
          <w:rFonts w:ascii="Arial" w:hAnsi="Arial"/>
          <w:b/>
          <w:highlight w:val="yellow"/>
        </w:rPr>
      </w:pPr>
      <w:r w:rsidRPr="008D6F01">
        <w:rPr>
          <w:rFonts w:ascii="Arial" w:hAnsi="Arial"/>
        </w:rPr>
        <w:lastRenderedPageBreak/>
        <w:t xml:space="preserve">Increased expenditure is due to </w:t>
      </w:r>
      <w:r w:rsidR="00383DC1">
        <w:rPr>
          <w:rFonts w:ascii="Arial" w:hAnsi="Arial"/>
        </w:rPr>
        <w:t>a provision for sustainable energy community grants which is matched by grant income.</w:t>
      </w:r>
    </w:p>
    <w:p w14:paraId="641C0F0F" w14:textId="77777777" w:rsidR="00383DC1" w:rsidRPr="007F7140" w:rsidRDefault="00383DC1" w:rsidP="005B1ADB">
      <w:pPr>
        <w:outlineLvl w:val="0"/>
        <w:rPr>
          <w:rFonts w:ascii="Arial" w:hAnsi="Arial"/>
          <w:highlight w:val="yellow"/>
        </w:rPr>
      </w:pPr>
    </w:p>
    <w:p w14:paraId="50F96763" w14:textId="77777777" w:rsidR="005B1ADB" w:rsidRPr="00B766E3" w:rsidRDefault="005B1ADB" w:rsidP="005B1ADB">
      <w:pPr>
        <w:outlineLvl w:val="0"/>
        <w:rPr>
          <w:rFonts w:ascii="Arial" w:hAnsi="Arial"/>
          <w:b/>
        </w:rPr>
      </w:pPr>
      <w:r w:rsidRPr="00B766E3">
        <w:rPr>
          <w:rFonts w:ascii="Arial" w:hAnsi="Arial"/>
          <w:b/>
        </w:rPr>
        <w:t>F05 Operation of Arts Programme</w:t>
      </w:r>
    </w:p>
    <w:p w14:paraId="4F70E53B" w14:textId="77777777" w:rsidR="00383DC1" w:rsidRPr="00B96897" w:rsidRDefault="00383DC1" w:rsidP="00383DC1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increases in grants and contributions </w:t>
      </w:r>
      <w:r w:rsidRPr="00B96897">
        <w:rPr>
          <w:rFonts w:ascii="Arial" w:hAnsi="Arial"/>
        </w:rPr>
        <w:t xml:space="preserve">which are </w:t>
      </w:r>
      <w:r>
        <w:rPr>
          <w:rFonts w:ascii="Arial" w:hAnsi="Arial"/>
        </w:rPr>
        <w:t>funded</w:t>
      </w:r>
      <w:r w:rsidRPr="00B96897">
        <w:rPr>
          <w:rFonts w:ascii="Arial" w:hAnsi="Arial"/>
        </w:rPr>
        <w:t xml:space="preserve"> by increased grant income.</w:t>
      </w:r>
    </w:p>
    <w:p w14:paraId="5154AA7E" w14:textId="77777777" w:rsidR="00667F63" w:rsidRDefault="00667F63" w:rsidP="005B1ADB">
      <w:pPr>
        <w:rPr>
          <w:rFonts w:ascii="Arial" w:hAnsi="Arial"/>
          <w:b/>
        </w:rPr>
      </w:pPr>
    </w:p>
    <w:p w14:paraId="6C5E4127" w14:textId="381D899A" w:rsidR="00667F63" w:rsidRDefault="00667F63" w:rsidP="005B1ADB">
      <w:pPr>
        <w:rPr>
          <w:rFonts w:ascii="Arial" w:hAnsi="Arial"/>
          <w:b/>
        </w:rPr>
      </w:pPr>
      <w:r>
        <w:rPr>
          <w:rFonts w:ascii="Arial" w:hAnsi="Arial"/>
          <w:b/>
        </w:rPr>
        <w:t>H03 Administration of Rates</w:t>
      </w:r>
    </w:p>
    <w:p w14:paraId="6034AD03" w14:textId="49E1DFBD" w:rsidR="00667F63" w:rsidRDefault="00383DC1" w:rsidP="005B1ADB">
      <w:pPr>
        <w:rPr>
          <w:rFonts w:ascii="Arial" w:hAnsi="Arial"/>
          <w:bCs/>
        </w:rPr>
      </w:pPr>
      <w:r>
        <w:rPr>
          <w:rFonts w:ascii="Arial" w:hAnsi="Arial"/>
          <w:bCs/>
        </w:rPr>
        <w:t>Additional expenditure is due to the rates waiver which is fully grant funded and to an increase in rates vacancies and bad debts.</w:t>
      </w:r>
    </w:p>
    <w:p w14:paraId="79513E68" w14:textId="77777777" w:rsidR="00383DC1" w:rsidRPr="00383DC1" w:rsidRDefault="00383DC1" w:rsidP="005B1ADB">
      <w:pPr>
        <w:rPr>
          <w:rFonts w:ascii="Arial" w:hAnsi="Arial"/>
          <w:bCs/>
        </w:rPr>
      </w:pPr>
    </w:p>
    <w:p w14:paraId="25A8D178" w14:textId="4E6670A1" w:rsidR="0026226E" w:rsidRPr="00B766E3" w:rsidRDefault="0026226E" w:rsidP="005B1ADB">
      <w:pPr>
        <w:rPr>
          <w:rFonts w:ascii="Arial" w:hAnsi="Arial"/>
          <w:b/>
        </w:rPr>
      </w:pPr>
      <w:r w:rsidRPr="00B766E3">
        <w:rPr>
          <w:rFonts w:ascii="Arial" w:hAnsi="Arial"/>
          <w:b/>
        </w:rPr>
        <w:t>H0</w:t>
      </w:r>
      <w:r w:rsidR="00726375" w:rsidRPr="00B766E3">
        <w:rPr>
          <w:rFonts w:ascii="Arial" w:hAnsi="Arial"/>
          <w:b/>
        </w:rPr>
        <w:t>4</w:t>
      </w:r>
      <w:r w:rsidRPr="00B766E3">
        <w:rPr>
          <w:rFonts w:ascii="Arial" w:hAnsi="Arial"/>
          <w:b/>
        </w:rPr>
        <w:t xml:space="preserve"> </w:t>
      </w:r>
      <w:r w:rsidR="00726375" w:rsidRPr="00B766E3">
        <w:rPr>
          <w:rFonts w:ascii="Arial" w:hAnsi="Arial"/>
          <w:b/>
        </w:rPr>
        <w:t>Franchise Costs</w:t>
      </w:r>
    </w:p>
    <w:p w14:paraId="5878C042" w14:textId="657572DA" w:rsidR="00740442" w:rsidRPr="00B766E3" w:rsidRDefault="00740442" w:rsidP="00740442">
      <w:pPr>
        <w:rPr>
          <w:rFonts w:ascii="Arial" w:hAnsi="Arial"/>
        </w:rPr>
      </w:pPr>
      <w:r w:rsidRPr="00B766E3">
        <w:rPr>
          <w:rFonts w:ascii="Arial" w:hAnsi="Arial"/>
        </w:rPr>
        <w:t>Increased expenditure relates to increased</w:t>
      </w:r>
      <w:r w:rsidR="00E8586D" w:rsidRPr="00B766E3">
        <w:rPr>
          <w:rFonts w:ascii="Arial" w:hAnsi="Arial"/>
        </w:rPr>
        <w:t xml:space="preserve"> payroll and </w:t>
      </w:r>
      <w:r w:rsidR="00383DC1">
        <w:rPr>
          <w:rFonts w:ascii="Arial" w:hAnsi="Arial"/>
        </w:rPr>
        <w:t xml:space="preserve">register of </w:t>
      </w:r>
      <w:r w:rsidR="00B766E3" w:rsidRPr="00B766E3">
        <w:rPr>
          <w:rFonts w:ascii="Arial" w:hAnsi="Arial"/>
        </w:rPr>
        <w:t>electo</w:t>
      </w:r>
      <w:r w:rsidR="00383DC1">
        <w:rPr>
          <w:rFonts w:ascii="Arial" w:hAnsi="Arial"/>
        </w:rPr>
        <w:t>rs</w:t>
      </w:r>
      <w:r w:rsidR="00B766E3" w:rsidRPr="00B766E3">
        <w:rPr>
          <w:rFonts w:ascii="Arial" w:hAnsi="Arial"/>
        </w:rPr>
        <w:t>.</w:t>
      </w:r>
    </w:p>
    <w:p w14:paraId="3A1E9E86" w14:textId="5FDE44A6" w:rsidR="00900604" w:rsidRDefault="00900604" w:rsidP="0026226E">
      <w:pPr>
        <w:rPr>
          <w:rFonts w:ascii="Arial" w:hAnsi="Arial"/>
          <w:b/>
        </w:rPr>
      </w:pPr>
    </w:p>
    <w:p w14:paraId="6CFC781B" w14:textId="77777777" w:rsidR="00667F63" w:rsidRDefault="00667F63" w:rsidP="0026226E">
      <w:pPr>
        <w:rPr>
          <w:rFonts w:ascii="Arial" w:hAnsi="Arial"/>
        </w:rPr>
      </w:pPr>
    </w:p>
    <w:p w14:paraId="0F72E3D7" w14:textId="65C405D0" w:rsidR="00B766E3" w:rsidRDefault="00B766E3" w:rsidP="000A4061">
      <w:pPr>
        <w:pStyle w:val="NormalWeb"/>
        <w:jc w:val="both"/>
        <w:rPr>
          <w:rFonts w:ascii="Verdana" w:hAnsi="Verdana"/>
          <w:b/>
        </w:rPr>
      </w:pPr>
    </w:p>
    <w:p w14:paraId="2C1FD6A1" w14:textId="77777777" w:rsidR="00383DC1" w:rsidRDefault="00383DC1" w:rsidP="000A4061">
      <w:pPr>
        <w:pStyle w:val="NormalWeb"/>
        <w:jc w:val="both"/>
        <w:rPr>
          <w:rFonts w:ascii="Verdana" w:hAnsi="Verdana"/>
          <w:b/>
        </w:rPr>
      </w:pPr>
    </w:p>
    <w:p w14:paraId="0118850B" w14:textId="6579DF28" w:rsidR="005B1ADB" w:rsidRPr="0009524C" w:rsidRDefault="005B1ADB" w:rsidP="000A4061">
      <w:pPr>
        <w:pStyle w:val="NormalWeb"/>
        <w:jc w:val="both"/>
        <w:rPr>
          <w:rFonts w:ascii="Verdana" w:hAnsi="Verdana"/>
          <w:b/>
        </w:rPr>
      </w:pPr>
      <w:r w:rsidRPr="0009524C">
        <w:rPr>
          <w:rFonts w:ascii="Verdana" w:hAnsi="Verdana"/>
          <w:b/>
        </w:rPr>
        <w:t>Resolution</w:t>
      </w:r>
    </w:p>
    <w:p w14:paraId="24B495F2" w14:textId="2EA09C62" w:rsidR="005B1ADB" w:rsidRPr="00DC6BB6" w:rsidRDefault="005B1ADB" w:rsidP="005B1ADB">
      <w:pPr>
        <w:pStyle w:val="NormalWeb"/>
        <w:jc w:val="both"/>
        <w:rPr>
          <w:rFonts w:ascii="Verdana" w:hAnsi="Verdana"/>
        </w:rPr>
      </w:pPr>
      <w:r w:rsidRPr="00DC6BB6">
        <w:rPr>
          <w:rFonts w:ascii="Verdana" w:hAnsi="Verdana"/>
        </w:rPr>
        <w:t xml:space="preserve">That the County Council approves of </w:t>
      </w:r>
      <w:r>
        <w:rPr>
          <w:rFonts w:ascii="Verdana" w:hAnsi="Verdana"/>
        </w:rPr>
        <w:t>the additional expenditures contained in the Revised Budget 201</w:t>
      </w:r>
      <w:r w:rsidR="00104334">
        <w:rPr>
          <w:rFonts w:ascii="Verdana" w:hAnsi="Verdana"/>
        </w:rPr>
        <w:t xml:space="preserve">9 </w:t>
      </w:r>
      <w:r>
        <w:rPr>
          <w:rFonts w:ascii="Verdana" w:hAnsi="Verdana"/>
        </w:rPr>
        <w:t>for the financial year ending 31 December 20</w:t>
      </w:r>
      <w:r w:rsidR="005855D0">
        <w:rPr>
          <w:rFonts w:ascii="Verdana" w:hAnsi="Verdana"/>
        </w:rPr>
        <w:t>1</w:t>
      </w:r>
      <w:r w:rsidR="00104334">
        <w:rPr>
          <w:rFonts w:ascii="Verdana" w:hAnsi="Verdana"/>
        </w:rPr>
        <w:t>9</w:t>
      </w:r>
      <w:r w:rsidR="006D4D81">
        <w:rPr>
          <w:rFonts w:ascii="Verdana" w:hAnsi="Verdana"/>
        </w:rPr>
        <w:t xml:space="preserve"> </w:t>
      </w:r>
      <w:r>
        <w:rPr>
          <w:rFonts w:ascii="Verdana" w:hAnsi="Verdana"/>
        </w:rPr>
        <w:t>as set out in Tables A to F of the Annual Budget 20</w:t>
      </w:r>
      <w:r w:rsidR="00104334">
        <w:rPr>
          <w:rFonts w:ascii="Verdana" w:hAnsi="Verdana"/>
        </w:rPr>
        <w:t>20</w:t>
      </w:r>
      <w:r>
        <w:rPr>
          <w:rFonts w:ascii="Verdana" w:hAnsi="Verdana"/>
        </w:rPr>
        <w:t xml:space="preserve"> and considered during the budget process</w:t>
      </w:r>
      <w:r w:rsidRPr="00DC6BB6">
        <w:rPr>
          <w:rFonts w:ascii="Verdana" w:hAnsi="Verdana"/>
        </w:rPr>
        <w:t xml:space="preserve">.   </w:t>
      </w:r>
    </w:p>
    <w:p w14:paraId="3EE91911" w14:textId="77777777" w:rsidR="005B1ADB" w:rsidRDefault="005B1ADB" w:rsidP="005B1ADB"/>
    <w:p w14:paraId="0F737057" w14:textId="77777777" w:rsidR="0022049D" w:rsidRDefault="0022049D" w:rsidP="005B1ADB"/>
    <w:p w14:paraId="5AA97C97" w14:textId="77777777" w:rsidR="005B1ADB" w:rsidRDefault="005B1ADB" w:rsidP="005B1ADB"/>
    <w:p w14:paraId="331D9588" w14:textId="77777777" w:rsidR="005B1ADB" w:rsidRDefault="005B1ADB" w:rsidP="005B1ADB">
      <w:pPr>
        <w:rPr>
          <w:rStyle w:val="Strong"/>
          <w:rFonts w:ascii="Verdana" w:hAnsi="Verdana"/>
        </w:rPr>
      </w:pPr>
    </w:p>
    <w:p w14:paraId="10FE52BC" w14:textId="77777777" w:rsidR="005B1ADB" w:rsidRDefault="005B1ADB" w:rsidP="005B1ADB">
      <w:pPr>
        <w:rPr>
          <w:rStyle w:val="Strong"/>
          <w:rFonts w:ascii="Verdana" w:hAnsi="Verdana"/>
        </w:rPr>
      </w:pPr>
    </w:p>
    <w:p w14:paraId="07B89EFD" w14:textId="77777777" w:rsidR="005B1ADB" w:rsidRDefault="005B1ADB" w:rsidP="005B1ADB">
      <w:r>
        <w:rPr>
          <w:rStyle w:val="Strong"/>
          <w:rFonts w:ascii="Verdana" w:hAnsi="Verdana"/>
        </w:rPr>
        <w:t xml:space="preserve">PROPOSED </w:t>
      </w:r>
      <w:r>
        <w:t>__________________________________</w:t>
      </w:r>
    </w:p>
    <w:p w14:paraId="50B7F539" w14:textId="77777777" w:rsidR="005B1ADB" w:rsidRDefault="005B1ADB" w:rsidP="005B1ADB">
      <w:pPr>
        <w:rPr>
          <w:rStyle w:val="Strong"/>
          <w:rFonts w:ascii="Verdana" w:hAnsi="Verdana"/>
        </w:rPr>
      </w:pPr>
    </w:p>
    <w:p w14:paraId="3C477714" w14:textId="77777777" w:rsidR="005B1ADB" w:rsidRDefault="005B1ADB" w:rsidP="005B1ADB">
      <w:pPr>
        <w:rPr>
          <w:rStyle w:val="Strong"/>
          <w:rFonts w:ascii="Verdana" w:hAnsi="Verdana"/>
        </w:rPr>
      </w:pPr>
    </w:p>
    <w:p w14:paraId="1CB01F45" w14:textId="77777777" w:rsidR="005B1ADB" w:rsidRDefault="005B1ADB" w:rsidP="005B1ADB">
      <w:pPr>
        <w:rPr>
          <w:rStyle w:val="Strong"/>
          <w:rFonts w:ascii="Verdana" w:hAnsi="Verdana"/>
        </w:rPr>
      </w:pPr>
    </w:p>
    <w:p w14:paraId="2BAC6E36" w14:textId="77777777" w:rsidR="005B1ADB" w:rsidRDefault="005B1ADB" w:rsidP="005B1ADB">
      <w:r>
        <w:rPr>
          <w:rStyle w:val="Strong"/>
          <w:rFonts w:ascii="Verdana" w:hAnsi="Verdana"/>
        </w:rPr>
        <w:t xml:space="preserve">SECONDED </w:t>
      </w:r>
      <w:r>
        <w:t>__________________________________</w:t>
      </w:r>
    </w:p>
    <w:p w14:paraId="110CE6C9" w14:textId="77777777" w:rsidR="005B1ADB" w:rsidRDefault="005B1ADB" w:rsidP="005B1ADB"/>
    <w:p w14:paraId="36FE6657" w14:textId="77777777" w:rsidR="005B1ADB" w:rsidRDefault="005B1ADB" w:rsidP="005B1ADB"/>
    <w:p w14:paraId="58A8EFB8" w14:textId="77777777" w:rsidR="00DF126A" w:rsidRDefault="00DF126A"/>
    <w:sectPr w:rsidR="00DF126A" w:rsidSect="00B662D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E"/>
    <w:rsid w:val="00000417"/>
    <w:rsid w:val="0000046D"/>
    <w:rsid w:val="000014CD"/>
    <w:rsid w:val="00002912"/>
    <w:rsid w:val="00003504"/>
    <w:rsid w:val="00005171"/>
    <w:rsid w:val="00005EB1"/>
    <w:rsid w:val="00006F58"/>
    <w:rsid w:val="000100A2"/>
    <w:rsid w:val="000110A1"/>
    <w:rsid w:val="0001249D"/>
    <w:rsid w:val="00012B65"/>
    <w:rsid w:val="00013B91"/>
    <w:rsid w:val="00013EED"/>
    <w:rsid w:val="000147DF"/>
    <w:rsid w:val="00016467"/>
    <w:rsid w:val="0001659E"/>
    <w:rsid w:val="00020B2C"/>
    <w:rsid w:val="00022CE7"/>
    <w:rsid w:val="00023C95"/>
    <w:rsid w:val="000240E6"/>
    <w:rsid w:val="00025E85"/>
    <w:rsid w:val="00026032"/>
    <w:rsid w:val="0002740E"/>
    <w:rsid w:val="00030A9E"/>
    <w:rsid w:val="00031238"/>
    <w:rsid w:val="000314AF"/>
    <w:rsid w:val="000315AF"/>
    <w:rsid w:val="00032949"/>
    <w:rsid w:val="00034494"/>
    <w:rsid w:val="00035219"/>
    <w:rsid w:val="00036D71"/>
    <w:rsid w:val="0004045B"/>
    <w:rsid w:val="00040A88"/>
    <w:rsid w:val="00041287"/>
    <w:rsid w:val="0004159D"/>
    <w:rsid w:val="000461E1"/>
    <w:rsid w:val="00046602"/>
    <w:rsid w:val="00047647"/>
    <w:rsid w:val="00047D84"/>
    <w:rsid w:val="00050C64"/>
    <w:rsid w:val="00050EF1"/>
    <w:rsid w:val="00051679"/>
    <w:rsid w:val="00051949"/>
    <w:rsid w:val="000531F0"/>
    <w:rsid w:val="00054282"/>
    <w:rsid w:val="00054905"/>
    <w:rsid w:val="00055A49"/>
    <w:rsid w:val="00055F15"/>
    <w:rsid w:val="0005631F"/>
    <w:rsid w:val="00056380"/>
    <w:rsid w:val="00056F0C"/>
    <w:rsid w:val="00062F4E"/>
    <w:rsid w:val="00063E4A"/>
    <w:rsid w:val="00064B7E"/>
    <w:rsid w:val="0006523F"/>
    <w:rsid w:val="000666FA"/>
    <w:rsid w:val="00067A03"/>
    <w:rsid w:val="00067B90"/>
    <w:rsid w:val="00070D6A"/>
    <w:rsid w:val="00073091"/>
    <w:rsid w:val="0007496D"/>
    <w:rsid w:val="00075951"/>
    <w:rsid w:val="00075ABE"/>
    <w:rsid w:val="00077193"/>
    <w:rsid w:val="000800A0"/>
    <w:rsid w:val="0008054F"/>
    <w:rsid w:val="000807EE"/>
    <w:rsid w:val="00082BDC"/>
    <w:rsid w:val="00084F1C"/>
    <w:rsid w:val="00085052"/>
    <w:rsid w:val="0008585B"/>
    <w:rsid w:val="00085E4F"/>
    <w:rsid w:val="00086043"/>
    <w:rsid w:val="00086936"/>
    <w:rsid w:val="000901E8"/>
    <w:rsid w:val="000939ED"/>
    <w:rsid w:val="00095E6D"/>
    <w:rsid w:val="000A0393"/>
    <w:rsid w:val="000A19FF"/>
    <w:rsid w:val="000A1D19"/>
    <w:rsid w:val="000A3689"/>
    <w:rsid w:val="000A4061"/>
    <w:rsid w:val="000B1A91"/>
    <w:rsid w:val="000B280A"/>
    <w:rsid w:val="000B415E"/>
    <w:rsid w:val="000B4DD6"/>
    <w:rsid w:val="000B4E41"/>
    <w:rsid w:val="000B5F71"/>
    <w:rsid w:val="000B69D2"/>
    <w:rsid w:val="000C2044"/>
    <w:rsid w:val="000C2496"/>
    <w:rsid w:val="000C3CAD"/>
    <w:rsid w:val="000C4C58"/>
    <w:rsid w:val="000C56FD"/>
    <w:rsid w:val="000C7376"/>
    <w:rsid w:val="000D0E0D"/>
    <w:rsid w:val="000D1D26"/>
    <w:rsid w:val="000D53D0"/>
    <w:rsid w:val="000D79A6"/>
    <w:rsid w:val="000D7ADC"/>
    <w:rsid w:val="000D7F6E"/>
    <w:rsid w:val="000E0624"/>
    <w:rsid w:val="000E264A"/>
    <w:rsid w:val="000E3BE6"/>
    <w:rsid w:val="000E44B9"/>
    <w:rsid w:val="000E520B"/>
    <w:rsid w:val="000E654B"/>
    <w:rsid w:val="000E6719"/>
    <w:rsid w:val="000E68F8"/>
    <w:rsid w:val="000F0E49"/>
    <w:rsid w:val="000F1559"/>
    <w:rsid w:val="000F557C"/>
    <w:rsid w:val="000F67C0"/>
    <w:rsid w:val="000F67EF"/>
    <w:rsid w:val="000F69F7"/>
    <w:rsid w:val="000F6B82"/>
    <w:rsid w:val="00101886"/>
    <w:rsid w:val="00101C74"/>
    <w:rsid w:val="00103384"/>
    <w:rsid w:val="00104334"/>
    <w:rsid w:val="001050BF"/>
    <w:rsid w:val="001053DF"/>
    <w:rsid w:val="00106563"/>
    <w:rsid w:val="00107966"/>
    <w:rsid w:val="0011098E"/>
    <w:rsid w:val="00110E85"/>
    <w:rsid w:val="00111DD8"/>
    <w:rsid w:val="0011219A"/>
    <w:rsid w:val="00113721"/>
    <w:rsid w:val="00114B61"/>
    <w:rsid w:val="0011659A"/>
    <w:rsid w:val="00116FED"/>
    <w:rsid w:val="001177AB"/>
    <w:rsid w:val="001178BE"/>
    <w:rsid w:val="0012150F"/>
    <w:rsid w:val="00122E01"/>
    <w:rsid w:val="0012417C"/>
    <w:rsid w:val="001244E9"/>
    <w:rsid w:val="001249A2"/>
    <w:rsid w:val="00125477"/>
    <w:rsid w:val="001269E0"/>
    <w:rsid w:val="00130523"/>
    <w:rsid w:val="00130D41"/>
    <w:rsid w:val="00131CFD"/>
    <w:rsid w:val="00134195"/>
    <w:rsid w:val="00136074"/>
    <w:rsid w:val="00136D76"/>
    <w:rsid w:val="00137382"/>
    <w:rsid w:val="001404C6"/>
    <w:rsid w:val="00141D72"/>
    <w:rsid w:val="00142027"/>
    <w:rsid w:val="001429AD"/>
    <w:rsid w:val="00144563"/>
    <w:rsid w:val="00144C51"/>
    <w:rsid w:val="00144F92"/>
    <w:rsid w:val="0014561E"/>
    <w:rsid w:val="00150442"/>
    <w:rsid w:val="001509CD"/>
    <w:rsid w:val="00156063"/>
    <w:rsid w:val="0015643D"/>
    <w:rsid w:val="00157D79"/>
    <w:rsid w:val="00157E8A"/>
    <w:rsid w:val="00157FCF"/>
    <w:rsid w:val="001601FF"/>
    <w:rsid w:val="00160401"/>
    <w:rsid w:val="00160C08"/>
    <w:rsid w:val="00161B60"/>
    <w:rsid w:val="00162683"/>
    <w:rsid w:val="00163049"/>
    <w:rsid w:val="001633CF"/>
    <w:rsid w:val="00163479"/>
    <w:rsid w:val="00163F00"/>
    <w:rsid w:val="001655FD"/>
    <w:rsid w:val="0016658B"/>
    <w:rsid w:val="0016689D"/>
    <w:rsid w:val="001675B6"/>
    <w:rsid w:val="00170C38"/>
    <w:rsid w:val="00173180"/>
    <w:rsid w:val="00173E56"/>
    <w:rsid w:val="00174CD0"/>
    <w:rsid w:val="00174F28"/>
    <w:rsid w:val="00175270"/>
    <w:rsid w:val="001770E9"/>
    <w:rsid w:val="001777CC"/>
    <w:rsid w:val="001837DA"/>
    <w:rsid w:val="001839A0"/>
    <w:rsid w:val="00184CF9"/>
    <w:rsid w:val="0019010A"/>
    <w:rsid w:val="001910FB"/>
    <w:rsid w:val="0019292E"/>
    <w:rsid w:val="00192E8A"/>
    <w:rsid w:val="00192EFA"/>
    <w:rsid w:val="00193B2E"/>
    <w:rsid w:val="00194027"/>
    <w:rsid w:val="0019469C"/>
    <w:rsid w:val="00195795"/>
    <w:rsid w:val="001959F8"/>
    <w:rsid w:val="001A259D"/>
    <w:rsid w:val="001A3863"/>
    <w:rsid w:val="001A3F45"/>
    <w:rsid w:val="001A4D13"/>
    <w:rsid w:val="001A69D8"/>
    <w:rsid w:val="001A7D4A"/>
    <w:rsid w:val="001B1800"/>
    <w:rsid w:val="001B1D3E"/>
    <w:rsid w:val="001B2669"/>
    <w:rsid w:val="001B2B5F"/>
    <w:rsid w:val="001B2D2F"/>
    <w:rsid w:val="001B3B23"/>
    <w:rsid w:val="001B44A5"/>
    <w:rsid w:val="001B53E5"/>
    <w:rsid w:val="001B6224"/>
    <w:rsid w:val="001B716A"/>
    <w:rsid w:val="001B7B4F"/>
    <w:rsid w:val="001B7D59"/>
    <w:rsid w:val="001C0405"/>
    <w:rsid w:val="001C0688"/>
    <w:rsid w:val="001C0D00"/>
    <w:rsid w:val="001C11E1"/>
    <w:rsid w:val="001C35D2"/>
    <w:rsid w:val="001C3A53"/>
    <w:rsid w:val="001C52CD"/>
    <w:rsid w:val="001C5731"/>
    <w:rsid w:val="001C653B"/>
    <w:rsid w:val="001C6CC1"/>
    <w:rsid w:val="001C772E"/>
    <w:rsid w:val="001C7D3C"/>
    <w:rsid w:val="001D0054"/>
    <w:rsid w:val="001D026E"/>
    <w:rsid w:val="001D042D"/>
    <w:rsid w:val="001D0DF7"/>
    <w:rsid w:val="001D114B"/>
    <w:rsid w:val="001D28A3"/>
    <w:rsid w:val="001D2C4F"/>
    <w:rsid w:val="001D32BB"/>
    <w:rsid w:val="001D42BC"/>
    <w:rsid w:val="001D4E08"/>
    <w:rsid w:val="001D5BD1"/>
    <w:rsid w:val="001D5D62"/>
    <w:rsid w:val="001D7B48"/>
    <w:rsid w:val="001E000A"/>
    <w:rsid w:val="001E1C23"/>
    <w:rsid w:val="001E24B6"/>
    <w:rsid w:val="001E2F29"/>
    <w:rsid w:val="001E3620"/>
    <w:rsid w:val="001E3EE7"/>
    <w:rsid w:val="001E3FF9"/>
    <w:rsid w:val="001E485B"/>
    <w:rsid w:val="001E57AE"/>
    <w:rsid w:val="001E6161"/>
    <w:rsid w:val="001F02D2"/>
    <w:rsid w:val="001F0A37"/>
    <w:rsid w:val="001F144C"/>
    <w:rsid w:val="001F1F03"/>
    <w:rsid w:val="001F21DD"/>
    <w:rsid w:val="001F2339"/>
    <w:rsid w:val="001F444A"/>
    <w:rsid w:val="001F4FC3"/>
    <w:rsid w:val="001F79BB"/>
    <w:rsid w:val="00200A50"/>
    <w:rsid w:val="0020118C"/>
    <w:rsid w:val="00201423"/>
    <w:rsid w:val="002022F0"/>
    <w:rsid w:val="00202DE7"/>
    <w:rsid w:val="002034C5"/>
    <w:rsid w:val="00204887"/>
    <w:rsid w:val="00205A5E"/>
    <w:rsid w:val="00206B28"/>
    <w:rsid w:val="002130E4"/>
    <w:rsid w:val="00213DB4"/>
    <w:rsid w:val="0021469C"/>
    <w:rsid w:val="00215FDF"/>
    <w:rsid w:val="0021667A"/>
    <w:rsid w:val="002169C8"/>
    <w:rsid w:val="00216E05"/>
    <w:rsid w:val="00216F8C"/>
    <w:rsid w:val="00217096"/>
    <w:rsid w:val="002171C8"/>
    <w:rsid w:val="0022049D"/>
    <w:rsid w:val="002218FA"/>
    <w:rsid w:val="00221FCD"/>
    <w:rsid w:val="0022261F"/>
    <w:rsid w:val="00223110"/>
    <w:rsid w:val="002246FF"/>
    <w:rsid w:val="00224F1B"/>
    <w:rsid w:val="002261C3"/>
    <w:rsid w:val="00226291"/>
    <w:rsid w:val="00226701"/>
    <w:rsid w:val="00227A98"/>
    <w:rsid w:val="002316D6"/>
    <w:rsid w:val="00231EDC"/>
    <w:rsid w:val="00232FED"/>
    <w:rsid w:val="00233874"/>
    <w:rsid w:val="002338AE"/>
    <w:rsid w:val="0023401F"/>
    <w:rsid w:val="00234D90"/>
    <w:rsid w:val="00235EE4"/>
    <w:rsid w:val="00243D71"/>
    <w:rsid w:val="00246B13"/>
    <w:rsid w:val="002474D7"/>
    <w:rsid w:val="00247721"/>
    <w:rsid w:val="002501D4"/>
    <w:rsid w:val="00251292"/>
    <w:rsid w:val="0025657D"/>
    <w:rsid w:val="00256CFC"/>
    <w:rsid w:val="002576DF"/>
    <w:rsid w:val="0026093F"/>
    <w:rsid w:val="00260EA9"/>
    <w:rsid w:val="002612A9"/>
    <w:rsid w:val="00261F96"/>
    <w:rsid w:val="0026226E"/>
    <w:rsid w:val="00262869"/>
    <w:rsid w:val="00264A9B"/>
    <w:rsid w:val="002659C4"/>
    <w:rsid w:val="00265A22"/>
    <w:rsid w:val="00266C72"/>
    <w:rsid w:val="00270C74"/>
    <w:rsid w:val="00271FD3"/>
    <w:rsid w:val="0027287E"/>
    <w:rsid w:val="0027500A"/>
    <w:rsid w:val="00275B70"/>
    <w:rsid w:val="00275E32"/>
    <w:rsid w:val="002763FC"/>
    <w:rsid w:val="002767C4"/>
    <w:rsid w:val="0027719B"/>
    <w:rsid w:val="002775A0"/>
    <w:rsid w:val="0028027B"/>
    <w:rsid w:val="002809F2"/>
    <w:rsid w:val="002826C6"/>
    <w:rsid w:val="00283A95"/>
    <w:rsid w:val="00284064"/>
    <w:rsid w:val="002841F9"/>
    <w:rsid w:val="00285934"/>
    <w:rsid w:val="0028666D"/>
    <w:rsid w:val="00286961"/>
    <w:rsid w:val="00286E32"/>
    <w:rsid w:val="00287F6A"/>
    <w:rsid w:val="00290A07"/>
    <w:rsid w:val="00291B1B"/>
    <w:rsid w:val="00294600"/>
    <w:rsid w:val="00295613"/>
    <w:rsid w:val="0029669E"/>
    <w:rsid w:val="00296F2D"/>
    <w:rsid w:val="002970A3"/>
    <w:rsid w:val="002972F1"/>
    <w:rsid w:val="002A11D9"/>
    <w:rsid w:val="002A6D4C"/>
    <w:rsid w:val="002A6DFA"/>
    <w:rsid w:val="002B0434"/>
    <w:rsid w:val="002B09E8"/>
    <w:rsid w:val="002B0F9B"/>
    <w:rsid w:val="002B367F"/>
    <w:rsid w:val="002B563B"/>
    <w:rsid w:val="002B59BC"/>
    <w:rsid w:val="002B6D60"/>
    <w:rsid w:val="002C1586"/>
    <w:rsid w:val="002C37A1"/>
    <w:rsid w:val="002C4904"/>
    <w:rsid w:val="002C5AA7"/>
    <w:rsid w:val="002C63B9"/>
    <w:rsid w:val="002D0DBB"/>
    <w:rsid w:val="002D2740"/>
    <w:rsid w:val="002D2D32"/>
    <w:rsid w:val="002D3C5D"/>
    <w:rsid w:val="002D4138"/>
    <w:rsid w:val="002D52CE"/>
    <w:rsid w:val="002D5D14"/>
    <w:rsid w:val="002D5F80"/>
    <w:rsid w:val="002E55A8"/>
    <w:rsid w:val="002E6357"/>
    <w:rsid w:val="002E789E"/>
    <w:rsid w:val="002F1275"/>
    <w:rsid w:val="002F4F55"/>
    <w:rsid w:val="002F58E2"/>
    <w:rsid w:val="002F5AF0"/>
    <w:rsid w:val="002F6065"/>
    <w:rsid w:val="002F68C9"/>
    <w:rsid w:val="002F6EDF"/>
    <w:rsid w:val="00301EF0"/>
    <w:rsid w:val="003030CC"/>
    <w:rsid w:val="00304C7D"/>
    <w:rsid w:val="003072B2"/>
    <w:rsid w:val="003117B7"/>
    <w:rsid w:val="0031434B"/>
    <w:rsid w:val="00315639"/>
    <w:rsid w:val="00316C96"/>
    <w:rsid w:val="00317861"/>
    <w:rsid w:val="00317B25"/>
    <w:rsid w:val="0032056F"/>
    <w:rsid w:val="00321B0C"/>
    <w:rsid w:val="003231A5"/>
    <w:rsid w:val="003234C4"/>
    <w:rsid w:val="003245CD"/>
    <w:rsid w:val="00324C94"/>
    <w:rsid w:val="00325959"/>
    <w:rsid w:val="00326B31"/>
    <w:rsid w:val="003276AB"/>
    <w:rsid w:val="00327873"/>
    <w:rsid w:val="00330482"/>
    <w:rsid w:val="003320F7"/>
    <w:rsid w:val="0033223B"/>
    <w:rsid w:val="00333219"/>
    <w:rsid w:val="003333D6"/>
    <w:rsid w:val="00333B3A"/>
    <w:rsid w:val="003353B7"/>
    <w:rsid w:val="00335FF3"/>
    <w:rsid w:val="003373F7"/>
    <w:rsid w:val="00337808"/>
    <w:rsid w:val="00337AA8"/>
    <w:rsid w:val="003401A1"/>
    <w:rsid w:val="0034721E"/>
    <w:rsid w:val="00350925"/>
    <w:rsid w:val="00351D52"/>
    <w:rsid w:val="003526E8"/>
    <w:rsid w:val="003545EC"/>
    <w:rsid w:val="00355ADB"/>
    <w:rsid w:val="00356270"/>
    <w:rsid w:val="00357939"/>
    <w:rsid w:val="00357D22"/>
    <w:rsid w:val="00361894"/>
    <w:rsid w:val="003650DE"/>
    <w:rsid w:val="00367FB1"/>
    <w:rsid w:val="00370782"/>
    <w:rsid w:val="003708AE"/>
    <w:rsid w:val="00370D06"/>
    <w:rsid w:val="003710F7"/>
    <w:rsid w:val="003721DB"/>
    <w:rsid w:val="00374266"/>
    <w:rsid w:val="00374712"/>
    <w:rsid w:val="0037485E"/>
    <w:rsid w:val="0037532F"/>
    <w:rsid w:val="0037775A"/>
    <w:rsid w:val="003777B1"/>
    <w:rsid w:val="00377EAA"/>
    <w:rsid w:val="0038021D"/>
    <w:rsid w:val="0038308B"/>
    <w:rsid w:val="00383859"/>
    <w:rsid w:val="00383DC1"/>
    <w:rsid w:val="00384BAE"/>
    <w:rsid w:val="00384E49"/>
    <w:rsid w:val="00385152"/>
    <w:rsid w:val="0038573B"/>
    <w:rsid w:val="003923CA"/>
    <w:rsid w:val="00393896"/>
    <w:rsid w:val="00395595"/>
    <w:rsid w:val="00396427"/>
    <w:rsid w:val="0039698C"/>
    <w:rsid w:val="003973E2"/>
    <w:rsid w:val="003975E0"/>
    <w:rsid w:val="00397761"/>
    <w:rsid w:val="003A1BAC"/>
    <w:rsid w:val="003A1C47"/>
    <w:rsid w:val="003A2218"/>
    <w:rsid w:val="003A2238"/>
    <w:rsid w:val="003A6079"/>
    <w:rsid w:val="003B0C94"/>
    <w:rsid w:val="003B137F"/>
    <w:rsid w:val="003B1521"/>
    <w:rsid w:val="003B55C7"/>
    <w:rsid w:val="003B69A5"/>
    <w:rsid w:val="003B6A1C"/>
    <w:rsid w:val="003B6F7A"/>
    <w:rsid w:val="003B78E9"/>
    <w:rsid w:val="003C20AC"/>
    <w:rsid w:val="003C2978"/>
    <w:rsid w:val="003C40D9"/>
    <w:rsid w:val="003C4458"/>
    <w:rsid w:val="003C6001"/>
    <w:rsid w:val="003C7B0D"/>
    <w:rsid w:val="003D03D1"/>
    <w:rsid w:val="003D14B8"/>
    <w:rsid w:val="003D45AF"/>
    <w:rsid w:val="003D7A23"/>
    <w:rsid w:val="003E3A25"/>
    <w:rsid w:val="003E419B"/>
    <w:rsid w:val="003E4A50"/>
    <w:rsid w:val="003E4D2F"/>
    <w:rsid w:val="003E7E2C"/>
    <w:rsid w:val="003E7EAE"/>
    <w:rsid w:val="003F11AE"/>
    <w:rsid w:val="003F17A6"/>
    <w:rsid w:val="003F213F"/>
    <w:rsid w:val="003F53AA"/>
    <w:rsid w:val="003F5B6D"/>
    <w:rsid w:val="003F5C28"/>
    <w:rsid w:val="003F6ADC"/>
    <w:rsid w:val="0040172E"/>
    <w:rsid w:val="004039B1"/>
    <w:rsid w:val="004042F1"/>
    <w:rsid w:val="0041141E"/>
    <w:rsid w:val="004121E7"/>
    <w:rsid w:val="00414269"/>
    <w:rsid w:val="00415368"/>
    <w:rsid w:val="00416097"/>
    <w:rsid w:val="004160C6"/>
    <w:rsid w:val="0041632C"/>
    <w:rsid w:val="004220E2"/>
    <w:rsid w:val="00424E7E"/>
    <w:rsid w:val="00424E97"/>
    <w:rsid w:val="004265BF"/>
    <w:rsid w:val="00426924"/>
    <w:rsid w:val="00426989"/>
    <w:rsid w:val="00430C8E"/>
    <w:rsid w:val="00431AA4"/>
    <w:rsid w:val="00432338"/>
    <w:rsid w:val="0043362B"/>
    <w:rsid w:val="00435336"/>
    <w:rsid w:val="00436114"/>
    <w:rsid w:val="00436205"/>
    <w:rsid w:val="004370F8"/>
    <w:rsid w:val="00440C23"/>
    <w:rsid w:val="00440C57"/>
    <w:rsid w:val="00443D8C"/>
    <w:rsid w:val="00447841"/>
    <w:rsid w:val="00451FFF"/>
    <w:rsid w:val="004523EC"/>
    <w:rsid w:val="00452910"/>
    <w:rsid w:val="004532DE"/>
    <w:rsid w:val="00454268"/>
    <w:rsid w:val="00455242"/>
    <w:rsid w:val="004611BD"/>
    <w:rsid w:val="004647F7"/>
    <w:rsid w:val="0046616B"/>
    <w:rsid w:val="00471379"/>
    <w:rsid w:val="00472AFE"/>
    <w:rsid w:val="00473136"/>
    <w:rsid w:val="004749EE"/>
    <w:rsid w:val="00474A94"/>
    <w:rsid w:val="00474ABA"/>
    <w:rsid w:val="00474C62"/>
    <w:rsid w:val="004777C4"/>
    <w:rsid w:val="00480277"/>
    <w:rsid w:val="00480748"/>
    <w:rsid w:val="0048281A"/>
    <w:rsid w:val="004838E2"/>
    <w:rsid w:val="00484A1C"/>
    <w:rsid w:val="0048656B"/>
    <w:rsid w:val="00487E37"/>
    <w:rsid w:val="004905F6"/>
    <w:rsid w:val="00491F95"/>
    <w:rsid w:val="004922E9"/>
    <w:rsid w:val="004939C4"/>
    <w:rsid w:val="0049422D"/>
    <w:rsid w:val="00494EB9"/>
    <w:rsid w:val="00495CAD"/>
    <w:rsid w:val="004972A0"/>
    <w:rsid w:val="004A162F"/>
    <w:rsid w:val="004A18E0"/>
    <w:rsid w:val="004A2207"/>
    <w:rsid w:val="004A234E"/>
    <w:rsid w:val="004A3E0B"/>
    <w:rsid w:val="004A4B07"/>
    <w:rsid w:val="004A5477"/>
    <w:rsid w:val="004A683D"/>
    <w:rsid w:val="004A72E1"/>
    <w:rsid w:val="004B7BE6"/>
    <w:rsid w:val="004C01B6"/>
    <w:rsid w:val="004C0209"/>
    <w:rsid w:val="004C1346"/>
    <w:rsid w:val="004C2F93"/>
    <w:rsid w:val="004C35C9"/>
    <w:rsid w:val="004C3F92"/>
    <w:rsid w:val="004C5391"/>
    <w:rsid w:val="004C5F85"/>
    <w:rsid w:val="004C640B"/>
    <w:rsid w:val="004C6BBC"/>
    <w:rsid w:val="004D227B"/>
    <w:rsid w:val="004D29C1"/>
    <w:rsid w:val="004D4CA2"/>
    <w:rsid w:val="004D6327"/>
    <w:rsid w:val="004D6712"/>
    <w:rsid w:val="004D7511"/>
    <w:rsid w:val="004D7AE0"/>
    <w:rsid w:val="004E06C5"/>
    <w:rsid w:val="004E104B"/>
    <w:rsid w:val="004E2905"/>
    <w:rsid w:val="004E2DCF"/>
    <w:rsid w:val="004E3423"/>
    <w:rsid w:val="004E3A4A"/>
    <w:rsid w:val="004E4A55"/>
    <w:rsid w:val="004E4F56"/>
    <w:rsid w:val="004E72D9"/>
    <w:rsid w:val="004F0951"/>
    <w:rsid w:val="004F0CEA"/>
    <w:rsid w:val="004F2193"/>
    <w:rsid w:val="004F392D"/>
    <w:rsid w:val="004F398C"/>
    <w:rsid w:val="004F4073"/>
    <w:rsid w:val="004F4110"/>
    <w:rsid w:val="004F45A1"/>
    <w:rsid w:val="004F79BB"/>
    <w:rsid w:val="005003D4"/>
    <w:rsid w:val="00511420"/>
    <w:rsid w:val="00511506"/>
    <w:rsid w:val="005117D8"/>
    <w:rsid w:val="00512DEF"/>
    <w:rsid w:val="00514424"/>
    <w:rsid w:val="0051458D"/>
    <w:rsid w:val="0051529B"/>
    <w:rsid w:val="00515415"/>
    <w:rsid w:val="0051783C"/>
    <w:rsid w:val="00517F80"/>
    <w:rsid w:val="00520808"/>
    <w:rsid w:val="00522D5E"/>
    <w:rsid w:val="00524FB6"/>
    <w:rsid w:val="00525ECE"/>
    <w:rsid w:val="0052729B"/>
    <w:rsid w:val="005302DA"/>
    <w:rsid w:val="00530BEB"/>
    <w:rsid w:val="00532254"/>
    <w:rsid w:val="005322EE"/>
    <w:rsid w:val="00532753"/>
    <w:rsid w:val="00533872"/>
    <w:rsid w:val="005347D4"/>
    <w:rsid w:val="005373C8"/>
    <w:rsid w:val="00537490"/>
    <w:rsid w:val="00541691"/>
    <w:rsid w:val="005422A4"/>
    <w:rsid w:val="00543C52"/>
    <w:rsid w:val="005454AC"/>
    <w:rsid w:val="00554A0E"/>
    <w:rsid w:val="0055674A"/>
    <w:rsid w:val="0055798E"/>
    <w:rsid w:val="0056116E"/>
    <w:rsid w:val="005620AA"/>
    <w:rsid w:val="0056275A"/>
    <w:rsid w:val="00563B14"/>
    <w:rsid w:val="00564099"/>
    <w:rsid w:val="005657E0"/>
    <w:rsid w:val="00567828"/>
    <w:rsid w:val="00567B92"/>
    <w:rsid w:val="0057005B"/>
    <w:rsid w:val="00570B39"/>
    <w:rsid w:val="00571954"/>
    <w:rsid w:val="00574146"/>
    <w:rsid w:val="0057511A"/>
    <w:rsid w:val="0057566D"/>
    <w:rsid w:val="005771E5"/>
    <w:rsid w:val="005773A5"/>
    <w:rsid w:val="00581F41"/>
    <w:rsid w:val="00582422"/>
    <w:rsid w:val="0058255B"/>
    <w:rsid w:val="00582BE8"/>
    <w:rsid w:val="00583128"/>
    <w:rsid w:val="0058372B"/>
    <w:rsid w:val="00583A5A"/>
    <w:rsid w:val="00583EF9"/>
    <w:rsid w:val="0058422B"/>
    <w:rsid w:val="0058460D"/>
    <w:rsid w:val="005855D0"/>
    <w:rsid w:val="00586076"/>
    <w:rsid w:val="00586086"/>
    <w:rsid w:val="005876BE"/>
    <w:rsid w:val="005879E6"/>
    <w:rsid w:val="00590D97"/>
    <w:rsid w:val="0059116F"/>
    <w:rsid w:val="00591612"/>
    <w:rsid w:val="0059232D"/>
    <w:rsid w:val="005939FB"/>
    <w:rsid w:val="00594B7D"/>
    <w:rsid w:val="00594E7D"/>
    <w:rsid w:val="0059624E"/>
    <w:rsid w:val="00596374"/>
    <w:rsid w:val="005A1731"/>
    <w:rsid w:val="005A26D7"/>
    <w:rsid w:val="005A37F9"/>
    <w:rsid w:val="005A448D"/>
    <w:rsid w:val="005A4FD1"/>
    <w:rsid w:val="005A7CE6"/>
    <w:rsid w:val="005B1ADB"/>
    <w:rsid w:val="005B1D7E"/>
    <w:rsid w:val="005B4FFD"/>
    <w:rsid w:val="005C1BB2"/>
    <w:rsid w:val="005C2B77"/>
    <w:rsid w:val="005C30A0"/>
    <w:rsid w:val="005C39DB"/>
    <w:rsid w:val="005C3AAB"/>
    <w:rsid w:val="005C40BE"/>
    <w:rsid w:val="005C51DE"/>
    <w:rsid w:val="005C74E8"/>
    <w:rsid w:val="005D148A"/>
    <w:rsid w:val="005D2BAC"/>
    <w:rsid w:val="005D57A1"/>
    <w:rsid w:val="005D6FEF"/>
    <w:rsid w:val="005E129C"/>
    <w:rsid w:val="005E22CD"/>
    <w:rsid w:val="005E22DF"/>
    <w:rsid w:val="005E2748"/>
    <w:rsid w:val="005E3626"/>
    <w:rsid w:val="005E3F31"/>
    <w:rsid w:val="005E445D"/>
    <w:rsid w:val="005E48DD"/>
    <w:rsid w:val="005E4CC6"/>
    <w:rsid w:val="005E5483"/>
    <w:rsid w:val="005E56DB"/>
    <w:rsid w:val="005E7307"/>
    <w:rsid w:val="005E74F0"/>
    <w:rsid w:val="005E7D40"/>
    <w:rsid w:val="005F05AC"/>
    <w:rsid w:val="005F095A"/>
    <w:rsid w:val="005F1CFC"/>
    <w:rsid w:val="005F3006"/>
    <w:rsid w:val="005F34F8"/>
    <w:rsid w:val="005F5CC3"/>
    <w:rsid w:val="005F668D"/>
    <w:rsid w:val="0060212C"/>
    <w:rsid w:val="006026B5"/>
    <w:rsid w:val="00602EBE"/>
    <w:rsid w:val="006045A1"/>
    <w:rsid w:val="006046FE"/>
    <w:rsid w:val="00604B9E"/>
    <w:rsid w:val="00605BD0"/>
    <w:rsid w:val="00605C7D"/>
    <w:rsid w:val="0060687D"/>
    <w:rsid w:val="00610421"/>
    <w:rsid w:val="006104E4"/>
    <w:rsid w:val="0061207D"/>
    <w:rsid w:val="00612185"/>
    <w:rsid w:val="00612AF9"/>
    <w:rsid w:val="00612DB8"/>
    <w:rsid w:val="00613D1E"/>
    <w:rsid w:val="00613F9D"/>
    <w:rsid w:val="006144C2"/>
    <w:rsid w:val="006146FD"/>
    <w:rsid w:val="00614FAC"/>
    <w:rsid w:val="00616394"/>
    <w:rsid w:val="00617AFC"/>
    <w:rsid w:val="00623558"/>
    <w:rsid w:val="0062462D"/>
    <w:rsid w:val="006254A3"/>
    <w:rsid w:val="00625646"/>
    <w:rsid w:val="00625F2C"/>
    <w:rsid w:val="00626C9C"/>
    <w:rsid w:val="0062752C"/>
    <w:rsid w:val="00627B18"/>
    <w:rsid w:val="00627C16"/>
    <w:rsid w:val="006326C1"/>
    <w:rsid w:val="00635361"/>
    <w:rsid w:val="00635C96"/>
    <w:rsid w:val="006409A1"/>
    <w:rsid w:val="00640B47"/>
    <w:rsid w:val="00641357"/>
    <w:rsid w:val="00644B93"/>
    <w:rsid w:val="00644BD8"/>
    <w:rsid w:val="00644F15"/>
    <w:rsid w:val="00647484"/>
    <w:rsid w:val="006475DA"/>
    <w:rsid w:val="00647D27"/>
    <w:rsid w:val="0065071E"/>
    <w:rsid w:val="0065072A"/>
    <w:rsid w:val="00650ACF"/>
    <w:rsid w:val="006510E7"/>
    <w:rsid w:val="006514D4"/>
    <w:rsid w:val="006522B4"/>
    <w:rsid w:val="00654433"/>
    <w:rsid w:val="00655229"/>
    <w:rsid w:val="006566A5"/>
    <w:rsid w:val="00656F12"/>
    <w:rsid w:val="006579E9"/>
    <w:rsid w:val="00660EC3"/>
    <w:rsid w:val="00661A6F"/>
    <w:rsid w:val="00662188"/>
    <w:rsid w:val="0066308D"/>
    <w:rsid w:val="006631C4"/>
    <w:rsid w:val="00663A48"/>
    <w:rsid w:val="00667367"/>
    <w:rsid w:val="00667F63"/>
    <w:rsid w:val="006702DF"/>
    <w:rsid w:val="00670F9F"/>
    <w:rsid w:val="00672F09"/>
    <w:rsid w:val="00673062"/>
    <w:rsid w:val="00673428"/>
    <w:rsid w:val="0067481B"/>
    <w:rsid w:val="0067501C"/>
    <w:rsid w:val="00676575"/>
    <w:rsid w:val="00676C6E"/>
    <w:rsid w:val="00680A8A"/>
    <w:rsid w:val="00680ACE"/>
    <w:rsid w:val="0068178A"/>
    <w:rsid w:val="00681831"/>
    <w:rsid w:val="00681F95"/>
    <w:rsid w:val="0068263A"/>
    <w:rsid w:val="0068275A"/>
    <w:rsid w:val="00682B38"/>
    <w:rsid w:val="006840CD"/>
    <w:rsid w:val="00684E7B"/>
    <w:rsid w:val="00686190"/>
    <w:rsid w:val="0068628E"/>
    <w:rsid w:val="00690CE2"/>
    <w:rsid w:val="006911AC"/>
    <w:rsid w:val="006913F3"/>
    <w:rsid w:val="00691C12"/>
    <w:rsid w:val="006932B6"/>
    <w:rsid w:val="006935EF"/>
    <w:rsid w:val="00696BDE"/>
    <w:rsid w:val="00697231"/>
    <w:rsid w:val="006976BB"/>
    <w:rsid w:val="00697D30"/>
    <w:rsid w:val="006A30DE"/>
    <w:rsid w:val="006A4ABF"/>
    <w:rsid w:val="006A6EEF"/>
    <w:rsid w:val="006A7A6C"/>
    <w:rsid w:val="006B0612"/>
    <w:rsid w:val="006B1391"/>
    <w:rsid w:val="006B2191"/>
    <w:rsid w:val="006B3140"/>
    <w:rsid w:val="006B33FB"/>
    <w:rsid w:val="006B3C7B"/>
    <w:rsid w:val="006B4464"/>
    <w:rsid w:val="006B50C9"/>
    <w:rsid w:val="006B5BBA"/>
    <w:rsid w:val="006B60FA"/>
    <w:rsid w:val="006B6F3A"/>
    <w:rsid w:val="006B7E0D"/>
    <w:rsid w:val="006C08AE"/>
    <w:rsid w:val="006C2CCE"/>
    <w:rsid w:val="006C2FF6"/>
    <w:rsid w:val="006C320A"/>
    <w:rsid w:val="006C4A7C"/>
    <w:rsid w:val="006C7A88"/>
    <w:rsid w:val="006D052A"/>
    <w:rsid w:val="006D1197"/>
    <w:rsid w:val="006D13BE"/>
    <w:rsid w:val="006D4D81"/>
    <w:rsid w:val="006D5E00"/>
    <w:rsid w:val="006D615D"/>
    <w:rsid w:val="006E1357"/>
    <w:rsid w:val="006E2364"/>
    <w:rsid w:val="006E3B87"/>
    <w:rsid w:val="006E54B4"/>
    <w:rsid w:val="006E6BF9"/>
    <w:rsid w:val="006E736A"/>
    <w:rsid w:val="006E73FD"/>
    <w:rsid w:val="006F0A6C"/>
    <w:rsid w:val="006F0E57"/>
    <w:rsid w:val="006F115B"/>
    <w:rsid w:val="006F1171"/>
    <w:rsid w:val="006F1E84"/>
    <w:rsid w:val="006F223E"/>
    <w:rsid w:val="006F284C"/>
    <w:rsid w:val="006F5A87"/>
    <w:rsid w:val="006F6C56"/>
    <w:rsid w:val="00700F56"/>
    <w:rsid w:val="00701F3D"/>
    <w:rsid w:val="007050BE"/>
    <w:rsid w:val="00711B3F"/>
    <w:rsid w:val="007128C4"/>
    <w:rsid w:val="00713016"/>
    <w:rsid w:val="00722CC4"/>
    <w:rsid w:val="00723C23"/>
    <w:rsid w:val="00723C7D"/>
    <w:rsid w:val="00725965"/>
    <w:rsid w:val="00725B67"/>
    <w:rsid w:val="00726295"/>
    <w:rsid w:val="00726375"/>
    <w:rsid w:val="00726A29"/>
    <w:rsid w:val="00730152"/>
    <w:rsid w:val="00730BD9"/>
    <w:rsid w:val="0073185E"/>
    <w:rsid w:val="00732AC6"/>
    <w:rsid w:val="007361D5"/>
    <w:rsid w:val="00736972"/>
    <w:rsid w:val="007372C6"/>
    <w:rsid w:val="007375D9"/>
    <w:rsid w:val="00737C47"/>
    <w:rsid w:val="00740442"/>
    <w:rsid w:val="0074063E"/>
    <w:rsid w:val="00741926"/>
    <w:rsid w:val="00741A7C"/>
    <w:rsid w:val="00742C37"/>
    <w:rsid w:val="00745554"/>
    <w:rsid w:val="00746D1C"/>
    <w:rsid w:val="007470A9"/>
    <w:rsid w:val="007508D5"/>
    <w:rsid w:val="00753BF5"/>
    <w:rsid w:val="00753DEB"/>
    <w:rsid w:val="00753FA0"/>
    <w:rsid w:val="00753FFB"/>
    <w:rsid w:val="00754860"/>
    <w:rsid w:val="007548DF"/>
    <w:rsid w:val="007571AA"/>
    <w:rsid w:val="00761E2E"/>
    <w:rsid w:val="00764E9E"/>
    <w:rsid w:val="007654A4"/>
    <w:rsid w:val="00765AA8"/>
    <w:rsid w:val="0076657F"/>
    <w:rsid w:val="00766F43"/>
    <w:rsid w:val="00767FC3"/>
    <w:rsid w:val="007713DA"/>
    <w:rsid w:val="007715AE"/>
    <w:rsid w:val="007717D4"/>
    <w:rsid w:val="0077184D"/>
    <w:rsid w:val="00771D7A"/>
    <w:rsid w:val="007724E9"/>
    <w:rsid w:val="007751C1"/>
    <w:rsid w:val="0077613C"/>
    <w:rsid w:val="007774D3"/>
    <w:rsid w:val="0078069E"/>
    <w:rsid w:val="00781657"/>
    <w:rsid w:val="007819C1"/>
    <w:rsid w:val="0078255D"/>
    <w:rsid w:val="007827E4"/>
    <w:rsid w:val="00782B5E"/>
    <w:rsid w:val="0078300C"/>
    <w:rsid w:val="00783379"/>
    <w:rsid w:val="00784C34"/>
    <w:rsid w:val="007854C8"/>
    <w:rsid w:val="00785D31"/>
    <w:rsid w:val="00786986"/>
    <w:rsid w:val="007919A3"/>
    <w:rsid w:val="00793DDA"/>
    <w:rsid w:val="0079541B"/>
    <w:rsid w:val="00795496"/>
    <w:rsid w:val="0079566E"/>
    <w:rsid w:val="007A0EBB"/>
    <w:rsid w:val="007A1783"/>
    <w:rsid w:val="007A1F8E"/>
    <w:rsid w:val="007A4132"/>
    <w:rsid w:val="007A71F6"/>
    <w:rsid w:val="007B0390"/>
    <w:rsid w:val="007B2E67"/>
    <w:rsid w:val="007B3B16"/>
    <w:rsid w:val="007B4E7D"/>
    <w:rsid w:val="007C27A1"/>
    <w:rsid w:val="007C2864"/>
    <w:rsid w:val="007C2CAB"/>
    <w:rsid w:val="007C2EA6"/>
    <w:rsid w:val="007C4041"/>
    <w:rsid w:val="007C501E"/>
    <w:rsid w:val="007C55AF"/>
    <w:rsid w:val="007C57ED"/>
    <w:rsid w:val="007C60FC"/>
    <w:rsid w:val="007C6C6F"/>
    <w:rsid w:val="007D2DDE"/>
    <w:rsid w:val="007D3DF8"/>
    <w:rsid w:val="007D54BD"/>
    <w:rsid w:val="007D6603"/>
    <w:rsid w:val="007D6ADF"/>
    <w:rsid w:val="007D72CF"/>
    <w:rsid w:val="007E025E"/>
    <w:rsid w:val="007E0581"/>
    <w:rsid w:val="007E0D56"/>
    <w:rsid w:val="007E0D76"/>
    <w:rsid w:val="007E1A58"/>
    <w:rsid w:val="007E264C"/>
    <w:rsid w:val="007E2AE5"/>
    <w:rsid w:val="007E5C0E"/>
    <w:rsid w:val="007E77D7"/>
    <w:rsid w:val="007F2A04"/>
    <w:rsid w:val="007F4B46"/>
    <w:rsid w:val="007F5B39"/>
    <w:rsid w:val="007F7140"/>
    <w:rsid w:val="007F76DE"/>
    <w:rsid w:val="00800378"/>
    <w:rsid w:val="0080039B"/>
    <w:rsid w:val="00801BF6"/>
    <w:rsid w:val="008026C8"/>
    <w:rsid w:val="00802968"/>
    <w:rsid w:val="00803C9F"/>
    <w:rsid w:val="00804B1B"/>
    <w:rsid w:val="00806E77"/>
    <w:rsid w:val="00810275"/>
    <w:rsid w:val="008151A3"/>
    <w:rsid w:val="008158DE"/>
    <w:rsid w:val="00816A19"/>
    <w:rsid w:val="00816AFE"/>
    <w:rsid w:val="00820A7F"/>
    <w:rsid w:val="00821EC7"/>
    <w:rsid w:val="00825581"/>
    <w:rsid w:val="00825668"/>
    <w:rsid w:val="00825B1B"/>
    <w:rsid w:val="008274F4"/>
    <w:rsid w:val="00830CF9"/>
    <w:rsid w:val="008313C0"/>
    <w:rsid w:val="00832075"/>
    <w:rsid w:val="008347B5"/>
    <w:rsid w:val="0083568F"/>
    <w:rsid w:val="00837B1F"/>
    <w:rsid w:val="0084091A"/>
    <w:rsid w:val="00843494"/>
    <w:rsid w:val="00847972"/>
    <w:rsid w:val="00847A1D"/>
    <w:rsid w:val="008503F9"/>
    <w:rsid w:val="008512B3"/>
    <w:rsid w:val="0085238F"/>
    <w:rsid w:val="00853151"/>
    <w:rsid w:val="00854DCB"/>
    <w:rsid w:val="0085647A"/>
    <w:rsid w:val="00856762"/>
    <w:rsid w:val="00856A67"/>
    <w:rsid w:val="00856EF7"/>
    <w:rsid w:val="008607F9"/>
    <w:rsid w:val="00860C88"/>
    <w:rsid w:val="008612D3"/>
    <w:rsid w:val="00863189"/>
    <w:rsid w:val="0086698B"/>
    <w:rsid w:val="00866EB6"/>
    <w:rsid w:val="008678DD"/>
    <w:rsid w:val="00870415"/>
    <w:rsid w:val="0087083F"/>
    <w:rsid w:val="008709A7"/>
    <w:rsid w:val="00871B26"/>
    <w:rsid w:val="008725AB"/>
    <w:rsid w:val="00873777"/>
    <w:rsid w:val="00874DEB"/>
    <w:rsid w:val="00875860"/>
    <w:rsid w:val="008824A9"/>
    <w:rsid w:val="0088389D"/>
    <w:rsid w:val="00883AC5"/>
    <w:rsid w:val="00883BF5"/>
    <w:rsid w:val="00884788"/>
    <w:rsid w:val="00885D36"/>
    <w:rsid w:val="00886256"/>
    <w:rsid w:val="00886604"/>
    <w:rsid w:val="008909D3"/>
    <w:rsid w:val="00890B02"/>
    <w:rsid w:val="00891AEE"/>
    <w:rsid w:val="008929E1"/>
    <w:rsid w:val="00893E72"/>
    <w:rsid w:val="0089516A"/>
    <w:rsid w:val="00896D0F"/>
    <w:rsid w:val="00897A2B"/>
    <w:rsid w:val="008A0E00"/>
    <w:rsid w:val="008A14D3"/>
    <w:rsid w:val="008A2FF9"/>
    <w:rsid w:val="008A45EA"/>
    <w:rsid w:val="008B2077"/>
    <w:rsid w:val="008B3C2F"/>
    <w:rsid w:val="008B4AE5"/>
    <w:rsid w:val="008C02C1"/>
    <w:rsid w:val="008C2EE6"/>
    <w:rsid w:val="008C5320"/>
    <w:rsid w:val="008C55AD"/>
    <w:rsid w:val="008C7308"/>
    <w:rsid w:val="008C763E"/>
    <w:rsid w:val="008D0404"/>
    <w:rsid w:val="008D0FA9"/>
    <w:rsid w:val="008D1009"/>
    <w:rsid w:val="008D289A"/>
    <w:rsid w:val="008D3209"/>
    <w:rsid w:val="008D6103"/>
    <w:rsid w:val="008D650A"/>
    <w:rsid w:val="008D68B7"/>
    <w:rsid w:val="008D6F01"/>
    <w:rsid w:val="008E2D5A"/>
    <w:rsid w:val="008E4BAD"/>
    <w:rsid w:val="008E5345"/>
    <w:rsid w:val="008E5DC9"/>
    <w:rsid w:val="008E61DC"/>
    <w:rsid w:val="008E6648"/>
    <w:rsid w:val="008E6862"/>
    <w:rsid w:val="008F2556"/>
    <w:rsid w:val="008F2897"/>
    <w:rsid w:val="008F38DE"/>
    <w:rsid w:val="008F4FA9"/>
    <w:rsid w:val="008F5C53"/>
    <w:rsid w:val="008F7962"/>
    <w:rsid w:val="00900604"/>
    <w:rsid w:val="009006AD"/>
    <w:rsid w:val="00901B35"/>
    <w:rsid w:val="00902F3F"/>
    <w:rsid w:val="009046C9"/>
    <w:rsid w:val="00905717"/>
    <w:rsid w:val="0091313D"/>
    <w:rsid w:val="009148D1"/>
    <w:rsid w:val="00915AD6"/>
    <w:rsid w:val="00916385"/>
    <w:rsid w:val="009204F3"/>
    <w:rsid w:val="00920703"/>
    <w:rsid w:val="00920D14"/>
    <w:rsid w:val="0092114D"/>
    <w:rsid w:val="0092556E"/>
    <w:rsid w:val="009257C5"/>
    <w:rsid w:val="00925D95"/>
    <w:rsid w:val="00926FEF"/>
    <w:rsid w:val="00927534"/>
    <w:rsid w:val="00927F30"/>
    <w:rsid w:val="009302BF"/>
    <w:rsid w:val="009317B3"/>
    <w:rsid w:val="00931A58"/>
    <w:rsid w:val="00931C80"/>
    <w:rsid w:val="0093271F"/>
    <w:rsid w:val="00932964"/>
    <w:rsid w:val="009347D9"/>
    <w:rsid w:val="009359F8"/>
    <w:rsid w:val="00936290"/>
    <w:rsid w:val="00936859"/>
    <w:rsid w:val="00937DD3"/>
    <w:rsid w:val="00940654"/>
    <w:rsid w:val="00942F30"/>
    <w:rsid w:val="00950E2F"/>
    <w:rsid w:val="00950F23"/>
    <w:rsid w:val="00951C3B"/>
    <w:rsid w:val="00956A4A"/>
    <w:rsid w:val="00957C1F"/>
    <w:rsid w:val="0096001A"/>
    <w:rsid w:val="0096128A"/>
    <w:rsid w:val="009617A1"/>
    <w:rsid w:val="009623DB"/>
    <w:rsid w:val="00964380"/>
    <w:rsid w:val="00964DE5"/>
    <w:rsid w:val="00965F05"/>
    <w:rsid w:val="0097005F"/>
    <w:rsid w:val="009709B5"/>
    <w:rsid w:val="00970D87"/>
    <w:rsid w:val="00971804"/>
    <w:rsid w:val="00971BCB"/>
    <w:rsid w:val="0097283C"/>
    <w:rsid w:val="0097405B"/>
    <w:rsid w:val="0097406F"/>
    <w:rsid w:val="0098107F"/>
    <w:rsid w:val="009822B5"/>
    <w:rsid w:val="00985DBA"/>
    <w:rsid w:val="00986E56"/>
    <w:rsid w:val="00987B0C"/>
    <w:rsid w:val="00990067"/>
    <w:rsid w:val="009920EE"/>
    <w:rsid w:val="009926CE"/>
    <w:rsid w:val="00992781"/>
    <w:rsid w:val="00992F85"/>
    <w:rsid w:val="009944F7"/>
    <w:rsid w:val="00994EA7"/>
    <w:rsid w:val="00996341"/>
    <w:rsid w:val="009A3626"/>
    <w:rsid w:val="009A3E2B"/>
    <w:rsid w:val="009A4FFC"/>
    <w:rsid w:val="009A50AD"/>
    <w:rsid w:val="009A5D7C"/>
    <w:rsid w:val="009A6B9D"/>
    <w:rsid w:val="009A7EDE"/>
    <w:rsid w:val="009B07D7"/>
    <w:rsid w:val="009B2D99"/>
    <w:rsid w:val="009B4445"/>
    <w:rsid w:val="009B49CD"/>
    <w:rsid w:val="009B7EC1"/>
    <w:rsid w:val="009C0079"/>
    <w:rsid w:val="009C592B"/>
    <w:rsid w:val="009C6445"/>
    <w:rsid w:val="009C7D76"/>
    <w:rsid w:val="009D09A1"/>
    <w:rsid w:val="009D0ACA"/>
    <w:rsid w:val="009D274E"/>
    <w:rsid w:val="009D31D2"/>
    <w:rsid w:val="009D5BA9"/>
    <w:rsid w:val="009D6797"/>
    <w:rsid w:val="009D6CD2"/>
    <w:rsid w:val="009E232C"/>
    <w:rsid w:val="009E3E14"/>
    <w:rsid w:val="009E4333"/>
    <w:rsid w:val="009E4401"/>
    <w:rsid w:val="009E44A0"/>
    <w:rsid w:val="009E4D6D"/>
    <w:rsid w:val="009E557C"/>
    <w:rsid w:val="009E5926"/>
    <w:rsid w:val="009E76FC"/>
    <w:rsid w:val="009E7D41"/>
    <w:rsid w:val="009F009F"/>
    <w:rsid w:val="009F1BD8"/>
    <w:rsid w:val="009F1CA2"/>
    <w:rsid w:val="009F2259"/>
    <w:rsid w:val="009F32D9"/>
    <w:rsid w:val="009F3575"/>
    <w:rsid w:val="009F37E9"/>
    <w:rsid w:val="009F3968"/>
    <w:rsid w:val="009F3B12"/>
    <w:rsid w:val="009F50D3"/>
    <w:rsid w:val="009F54D9"/>
    <w:rsid w:val="00A0094B"/>
    <w:rsid w:val="00A00CC8"/>
    <w:rsid w:val="00A01459"/>
    <w:rsid w:val="00A017D4"/>
    <w:rsid w:val="00A02587"/>
    <w:rsid w:val="00A03260"/>
    <w:rsid w:val="00A03D66"/>
    <w:rsid w:val="00A04389"/>
    <w:rsid w:val="00A04876"/>
    <w:rsid w:val="00A04F8D"/>
    <w:rsid w:val="00A05364"/>
    <w:rsid w:val="00A06EAF"/>
    <w:rsid w:val="00A10263"/>
    <w:rsid w:val="00A11DA5"/>
    <w:rsid w:val="00A12173"/>
    <w:rsid w:val="00A137CA"/>
    <w:rsid w:val="00A13BAE"/>
    <w:rsid w:val="00A147EE"/>
    <w:rsid w:val="00A17312"/>
    <w:rsid w:val="00A20423"/>
    <w:rsid w:val="00A247CF"/>
    <w:rsid w:val="00A24E4E"/>
    <w:rsid w:val="00A267F0"/>
    <w:rsid w:val="00A278A0"/>
    <w:rsid w:val="00A27B9F"/>
    <w:rsid w:val="00A27F07"/>
    <w:rsid w:val="00A300B0"/>
    <w:rsid w:val="00A30193"/>
    <w:rsid w:val="00A311B7"/>
    <w:rsid w:val="00A31686"/>
    <w:rsid w:val="00A31775"/>
    <w:rsid w:val="00A32E0D"/>
    <w:rsid w:val="00A34B46"/>
    <w:rsid w:val="00A35354"/>
    <w:rsid w:val="00A35838"/>
    <w:rsid w:val="00A37202"/>
    <w:rsid w:val="00A372FB"/>
    <w:rsid w:val="00A376DF"/>
    <w:rsid w:val="00A40EFD"/>
    <w:rsid w:val="00A4164E"/>
    <w:rsid w:val="00A42075"/>
    <w:rsid w:val="00A42C74"/>
    <w:rsid w:val="00A454BF"/>
    <w:rsid w:val="00A47EF1"/>
    <w:rsid w:val="00A509DF"/>
    <w:rsid w:val="00A51189"/>
    <w:rsid w:val="00A51402"/>
    <w:rsid w:val="00A5247D"/>
    <w:rsid w:val="00A536C2"/>
    <w:rsid w:val="00A60653"/>
    <w:rsid w:val="00A626D7"/>
    <w:rsid w:val="00A62A98"/>
    <w:rsid w:val="00A62E59"/>
    <w:rsid w:val="00A6356F"/>
    <w:rsid w:val="00A64991"/>
    <w:rsid w:val="00A65087"/>
    <w:rsid w:val="00A65BB3"/>
    <w:rsid w:val="00A666EF"/>
    <w:rsid w:val="00A707CB"/>
    <w:rsid w:val="00A71527"/>
    <w:rsid w:val="00A73579"/>
    <w:rsid w:val="00A80AA5"/>
    <w:rsid w:val="00A8204E"/>
    <w:rsid w:val="00A83131"/>
    <w:rsid w:val="00A849EF"/>
    <w:rsid w:val="00A85D65"/>
    <w:rsid w:val="00A85DCB"/>
    <w:rsid w:val="00A862F7"/>
    <w:rsid w:val="00A86EB5"/>
    <w:rsid w:val="00A87694"/>
    <w:rsid w:val="00A87E59"/>
    <w:rsid w:val="00A90D3E"/>
    <w:rsid w:val="00A9114B"/>
    <w:rsid w:val="00A91790"/>
    <w:rsid w:val="00A938EB"/>
    <w:rsid w:val="00A95F24"/>
    <w:rsid w:val="00A96885"/>
    <w:rsid w:val="00AA1856"/>
    <w:rsid w:val="00AA1FBD"/>
    <w:rsid w:val="00AA2C39"/>
    <w:rsid w:val="00AA314E"/>
    <w:rsid w:val="00AA3667"/>
    <w:rsid w:val="00AA3DC9"/>
    <w:rsid w:val="00AA405C"/>
    <w:rsid w:val="00AA48EB"/>
    <w:rsid w:val="00AA6A0F"/>
    <w:rsid w:val="00AA7567"/>
    <w:rsid w:val="00AB2227"/>
    <w:rsid w:val="00AB24DB"/>
    <w:rsid w:val="00AB486C"/>
    <w:rsid w:val="00AB63D1"/>
    <w:rsid w:val="00AC058F"/>
    <w:rsid w:val="00AC0CB6"/>
    <w:rsid w:val="00AC4D5E"/>
    <w:rsid w:val="00AC7A1F"/>
    <w:rsid w:val="00AD0A3D"/>
    <w:rsid w:val="00AD10A5"/>
    <w:rsid w:val="00AD12BC"/>
    <w:rsid w:val="00AD651F"/>
    <w:rsid w:val="00AE2227"/>
    <w:rsid w:val="00AE5761"/>
    <w:rsid w:val="00AE5AEE"/>
    <w:rsid w:val="00AE6FEE"/>
    <w:rsid w:val="00AE774B"/>
    <w:rsid w:val="00AE79A2"/>
    <w:rsid w:val="00AF1276"/>
    <w:rsid w:val="00AF31D8"/>
    <w:rsid w:val="00AF3BE0"/>
    <w:rsid w:val="00AF620A"/>
    <w:rsid w:val="00AF641A"/>
    <w:rsid w:val="00B01AF2"/>
    <w:rsid w:val="00B03D74"/>
    <w:rsid w:val="00B050E7"/>
    <w:rsid w:val="00B06994"/>
    <w:rsid w:val="00B06E83"/>
    <w:rsid w:val="00B076B2"/>
    <w:rsid w:val="00B07E59"/>
    <w:rsid w:val="00B1247A"/>
    <w:rsid w:val="00B1442F"/>
    <w:rsid w:val="00B15233"/>
    <w:rsid w:val="00B17AAE"/>
    <w:rsid w:val="00B20822"/>
    <w:rsid w:val="00B228DB"/>
    <w:rsid w:val="00B22ABB"/>
    <w:rsid w:val="00B230D4"/>
    <w:rsid w:val="00B23BD9"/>
    <w:rsid w:val="00B245D4"/>
    <w:rsid w:val="00B25514"/>
    <w:rsid w:val="00B25788"/>
    <w:rsid w:val="00B25C90"/>
    <w:rsid w:val="00B314CC"/>
    <w:rsid w:val="00B32749"/>
    <w:rsid w:val="00B33B21"/>
    <w:rsid w:val="00B34816"/>
    <w:rsid w:val="00B35988"/>
    <w:rsid w:val="00B35E05"/>
    <w:rsid w:val="00B378E9"/>
    <w:rsid w:val="00B37A87"/>
    <w:rsid w:val="00B37D5E"/>
    <w:rsid w:val="00B421DA"/>
    <w:rsid w:val="00B42E0D"/>
    <w:rsid w:val="00B440AD"/>
    <w:rsid w:val="00B446AB"/>
    <w:rsid w:val="00B46385"/>
    <w:rsid w:val="00B47CA0"/>
    <w:rsid w:val="00B5155D"/>
    <w:rsid w:val="00B54002"/>
    <w:rsid w:val="00B5455D"/>
    <w:rsid w:val="00B5489A"/>
    <w:rsid w:val="00B57307"/>
    <w:rsid w:val="00B60B2A"/>
    <w:rsid w:val="00B611A9"/>
    <w:rsid w:val="00B62629"/>
    <w:rsid w:val="00B626FF"/>
    <w:rsid w:val="00B63C53"/>
    <w:rsid w:val="00B64E78"/>
    <w:rsid w:val="00B662D9"/>
    <w:rsid w:val="00B66B77"/>
    <w:rsid w:val="00B66F1F"/>
    <w:rsid w:val="00B674F8"/>
    <w:rsid w:val="00B70DB6"/>
    <w:rsid w:val="00B71543"/>
    <w:rsid w:val="00B72B04"/>
    <w:rsid w:val="00B74B56"/>
    <w:rsid w:val="00B74FF2"/>
    <w:rsid w:val="00B766E3"/>
    <w:rsid w:val="00B76E04"/>
    <w:rsid w:val="00B779D6"/>
    <w:rsid w:val="00B77F6A"/>
    <w:rsid w:val="00B81415"/>
    <w:rsid w:val="00B81441"/>
    <w:rsid w:val="00B822B2"/>
    <w:rsid w:val="00B8306A"/>
    <w:rsid w:val="00B84EB3"/>
    <w:rsid w:val="00B87345"/>
    <w:rsid w:val="00B9104A"/>
    <w:rsid w:val="00B9568B"/>
    <w:rsid w:val="00B95AF4"/>
    <w:rsid w:val="00B96897"/>
    <w:rsid w:val="00B9774C"/>
    <w:rsid w:val="00BA09F1"/>
    <w:rsid w:val="00BA0CED"/>
    <w:rsid w:val="00BA18EF"/>
    <w:rsid w:val="00BA1F6C"/>
    <w:rsid w:val="00BA31C0"/>
    <w:rsid w:val="00BA38DD"/>
    <w:rsid w:val="00BA42CA"/>
    <w:rsid w:val="00BA5417"/>
    <w:rsid w:val="00BA5A2D"/>
    <w:rsid w:val="00BA7CCE"/>
    <w:rsid w:val="00BB0950"/>
    <w:rsid w:val="00BB1F98"/>
    <w:rsid w:val="00BB215F"/>
    <w:rsid w:val="00BB22B4"/>
    <w:rsid w:val="00BB6992"/>
    <w:rsid w:val="00BB712E"/>
    <w:rsid w:val="00BC00FA"/>
    <w:rsid w:val="00BC312A"/>
    <w:rsid w:val="00BC49C7"/>
    <w:rsid w:val="00BC4D72"/>
    <w:rsid w:val="00BC52C7"/>
    <w:rsid w:val="00BC561F"/>
    <w:rsid w:val="00BC63C3"/>
    <w:rsid w:val="00BC71CB"/>
    <w:rsid w:val="00BC72C6"/>
    <w:rsid w:val="00BC788E"/>
    <w:rsid w:val="00BC7D04"/>
    <w:rsid w:val="00BD0C8C"/>
    <w:rsid w:val="00BD19C3"/>
    <w:rsid w:val="00BD306B"/>
    <w:rsid w:val="00BD63C0"/>
    <w:rsid w:val="00BD7390"/>
    <w:rsid w:val="00BE0571"/>
    <w:rsid w:val="00BE0768"/>
    <w:rsid w:val="00BE0D0A"/>
    <w:rsid w:val="00BE1DE4"/>
    <w:rsid w:val="00BE214C"/>
    <w:rsid w:val="00BE31D4"/>
    <w:rsid w:val="00BE414F"/>
    <w:rsid w:val="00BE43F9"/>
    <w:rsid w:val="00BE63EA"/>
    <w:rsid w:val="00BE64BD"/>
    <w:rsid w:val="00BF162A"/>
    <w:rsid w:val="00BF168A"/>
    <w:rsid w:val="00BF450E"/>
    <w:rsid w:val="00BF483D"/>
    <w:rsid w:val="00BF4E37"/>
    <w:rsid w:val="00BF541B"/>
    <w:rsid w:val="00BF56CB"/>
    <w:rsid w:val="00BF62A5"/>
    <w:rsid w:val="00BF66CF"/>
    <w:rsid w:val="00C0137C"/>
    <w:rsid w:val="00C0248B"/>
    <w:rsid w:val="00C02EBF"/>
    <w:rsid w:val="00C02F66"/>
    <w:rsid w:val="00C037B7"/>
    <w:rsid w:val="00C03C16"/>
    <w:rsid w:val="00C04218"/>
    <w:rsid w:val="00C051C7"/>
    <w:rsid w:val="00C0529F"/>
    <w:rsid w:val="00C05506"/>
    <w:rsid w:val="00C06B4C"/>
    <w:rsid w:val="00C10B85"/>
    <w:rsid w:val="00C12DDB"/>
    <w:rsid w:val="00C13355"/>
    <w:rsid w:val="00C133AD"/>
    <w:rsid w:val="00C14583"/>
    <w:rsid w:val="00C1514B"/>
    <w:rsid w:val="00C15C3F"/>
    <w:rsid w:val="00C15CC9"/>
    <w:rsid w:val="00C15EFC"/>
    <w:rsid w:val="00C1791B"/>
    <w:rsid w:val="00C209F8"/>
    <w:rsid w:val="00C20B10"/>
    <w:rsid w:val="00C26B99"/>
    <w:rsid w:val="00C27689"/>
    <w:rsid w:val="00C3067E"/>
    <w:rsid w:val="00C31388"/>
    <w:rsid w:val="00C34D7C"/>
    <w:rsid w:val="00C374DE"/>
    <w:rsid w:val="00C37A4B"/>
    <w:rsid w:val="00C408D4"/>
    <w:rsid w:val="00C413BD"/>
    <w:rsid w:val="00C417A4"/>
    <w:rsid w:val="00C43D12"/>
    <w:rsid w:val="00C465EB"/>
    <w:rsid w:val="00C5210E"/>
    <w:rsid w:val="00C5222B"/>
    <w:rsid w:val="00C523D1"/>
    <w:rsid w:val="00C5256B"/>
    <w:rsid w:val="00C52B32"/>
    <w:rsid w:val="00C55BA1"/>
    <w:rsid w:val="00C6044F"/>
    <w:rsid w:val="00C6057A"/>
    <w:rsid w:val="00C60E8F"/>
    <w:rsid w:val="00C61C73"/>
    <w:rsid w:val="00C621C7"/>
    <w:rsid w:val="00C6269D"/>
    <w:rsid w:val="00C62ED6"/>
    <w:rsid w:val="00C635A7"/>
    <w:rsid w:val="00C64318"/>
    <w:rsid w:val="00C64642"/>
    <w:rsid w:val="00C64F0F"/>
    <w:rsid w:val="00C71BE3"/>
    <w:rsid w:val="00C71D4D"/>
    <w:rsid w:val="00C71EB7"/>
    <w:rsid w:val="00C750C2"/>
    <w:rsid w:val="00C76090"/>
    <w:rsid w:val="00C767B5"/>
    <w:rsid w:val="00C775B9"/>
    <w:rsid w:val="00C77990"/>
    <w:rsid w:val="00C77F2E"/>
    <w:rsid w:val="00C8294F"/>
    <w:rsid w:val="00C83D5B"/>
    <w:rsid w:val="00C8406B"/>
    <w:rsid w:val="00C84872"/>
    <w:rsid w:val="00C85A7A"/>
    <w:rsid w:val="00C90DE1"/>
    <w:rsid w:val="00C9130C"/>
    <w:rsid w:val="00C91CDE"/>
    <w:rsid w:val="00C929F3"/>
    <w:rsid w:val="00C930C4"/>
    <w:rsid w:val="00C9545C"/>
    <w:rsid w:val="00C9689D"/>
    <w:rsid w:val="00C9723E"/>
    <w:rsid w:val="00C97DB4"/>
    <w:rsid w:val="00CA1658"/>
    <w:rsid w:val="00CA1743"/>
    <w:rsid w:val="00CA3B9C"/>
    <w:rsid w:val="00CA67EA"/>
    <w:rsid w:val="00CA7119"/>
    <w:rsid w:val="00CA7ED9"/>
    <w:rsid w:val="00CB3D28"/>
    <w:rsid w:val="00CB4279"/>
    <w:rsid w:val="00CB7233"/>
    <w:rsid w:val="00CC1585"/>
    <w:rsid w:val="00CC168C"/>
    <w:rsid w:val="00CC25B0"/>
    <w:rsid w:val="00CC3B27"/>
    <w:rsid w:val="00CC3FB5"/>
    <w:rsid w:val="00CC651A"/>
    <w:rsid w:val="00CC768F"/>
    <w:rsid w:val="00CD2554"/>
    <w:rsid w:val="00CD3495"/>
    <w:rsid w:val="00CD422A"/>
    <w:rsid w:val="00CD5A1E"/>
    <w:rsid w:val="00CD7A84"/>
    <w:rsid w:val="00CD7BF3"/>
    <w:rsid w:val="00CE3E47"/>
    <w:rsid w:val="00CE45E4"/>
    <w:rsid w:val="00CE4A2A"/>
    <w:rsid w:val="00CE5E37"/>
    <w:rsid w:val="00CE618E"/>
    <w:rsid w:val="00CE66E1"/>
    <w:rsid w:val="00CE6983"/>
    <w:rsid w:val="00CE76A2"/>
    <w:rsid w:val="00CE7C92"/>
    <w:rsid w:val="00CF4BB3"/>
    <w:rsid w:val="00CF5800"/>
    <w:rsid w:val="00CF6A22"/>
    <w:rsid w:val="00CF6CCC"/>
    <w:rsid w:val="00CF769F"/>
    <w:rsid w:val="00D01EC4"/>
    <w:rsid w:val="00D02400"/>
    <w:rsid w:val="00D05E26"/>
    <w:rsid w:val="00D07153"/>
    <w:rsid w:val="00D1170E"/>
    <w:rsid w:val="00D120CF"/>
    <w:rsid w:val="00D13286"/>
    <w:rsid w:val="00D14AD6"/>
    <w:rsid w:val="00D201F9"/>
    <w:rsid w:val="00D211BC"/>
    <w:rsid w:val="00D21F8D"/>
    <w:rsid w:val="00D2304B"/>
    <w:rsid w:val="00D231C4"/>
    <w:rsid w:val="00D23BA4"/>
    <w:rsid w:val="00D24F32"/>
    <w:rsid w:val="00D25DE0"/>
    <w:rsid w:val="00D27609"/>
    <w:rsid w:val="00D313AD"/>
    <w:rsid w:val="00D33A0C"/>
    <w:rsid w:val="00D34C9D"/>
    <w:rsid w:val="00D34ED4"/>
    <w:rsid w:val="00D34FF1"/>
    <w:rsid w:val="00D3524E"/>
    <w:rsid w:val="00D3543C"/>
    <w:rsid w:val="00D37D1C"/>
    <w:rsid w:val="00D4324C"/>
    <w:rsid w:val="00D43D34"/>
    <w:rsid w:val="00D43FF6"/>
    <w:rsid w:val="00D476EE"/>
    <w:rsid w:val="00D47984"/>
    <w:rsid w:val="00D50B21"/>
    <w:rsid w:val="00D52C36"/>
    <w:rsid w:val="00D52FE0"/>
    <w:rsid w:val="00D53439"/>
    <w:rsid w:val="00D53CF2"/>
    <w:rsid w:val="00D54A1E"/>
    <w:rsid w:val="00D5643E"/>
    <w:rsid w:val="00D56A6C"/>
    <w:rsid w:val="00D5759A"/>
    <w:rsid w:val="00D5780E"/>
    <w:rsid w:val="00D5793B"/>
    <w:rsid w:val="00D622FF"/>
    <w:rsid w:val="00D63272"/>
    <w:rsid w:val="00D647D9"/>
    <w:rsid w:val="00D64B2E"/>
    <w:rsid w:val="00D64E23"/>
    <w:rsid w:val="00D660A4"/>
    <w:rsid w:val="00D67025"/>
    <w:rsid w:val="00D70D29"/>
    <w:rsid w:val="00D719C7"/>
    <w:rsid w:val="00D719E4"/>
    <w:rsid w:val="00D71DC7"/>
    <w:rsid w:val="00D71E5B"/>
    <w:rsid w:val="00D720E3"/>
    <w:rsid w:val="00D72C28"/>
    <w:rsid w:val="00D73B67"/>
    <w:rsid w:val="00D7454A"/>
    <w:rsid w:val="00D74A52"/>
    <w:rsid w:val="00D75433"/>
    <w:rsid w:val="00D75BC2"/>
    <w:rsid w:val="00D76337"/>
    <w:rsid w:val="00D7717D"/>
    <w:rsid w:val="00D80DF0"/>
    <w:rsid w:val="00D8178A"/>
    <w:rsid w:val="00D8211F"/>
    <w:rsid w:val="00D8463A"/>
    <w:rsid w:val="00D84FA4"/>
    <w:rsid w:val="00D85493"/>
    <w:rsid w:val="00D87918"/>
    <w:rsid w:val="00D87B39"/>
    <w:rsid w:val="00D91836"/>
    <w:rsid w:val="00D9245F"/>
    <w:rsid w:val="00D92AEF"/>
    <w:rsid w:val="00D92F4C"/>
    <w:rsid w:val="00D94EB5"/>
    <w:rsid w:val="00D951A2"/>
    <w:rsid w:val="00DA24AF"/>
    <w:rsid w:val="00DA3004"/>
    <w:rsid w:val="00DA34F9"/>
    <w:rsid w:val="00DA50A8"/>
    <w:rsid w:val="00DA5753"/>
    <w:rsid w:val="00DA5B9F"/>
    <w:rsid w:val="00DB0599"/>
    <w:rsid w:val="00DB1500"/>
    <w:rsid w:val="00DB3947"/>
    <w:rsid w:val="00DB45A9"/>
    <w:rsid w:val="00DB6F05"/>
    <w:rsid w:val="00DB7953"/>
    <w:rsid w:val="00DC14AD"/>
    <w:rsid w:val="00DC2177"/>
    <w:rsid w:val="00DC34FB"/>
    <w:rsid w:val="00DC3AC2"/>
    <w:rsid w:val="00DC423E"/>
    <w:rsid w:val="00DC4286"/>
    <w:rsid w:val="00DC470B"/>
    <w:rsid w:val="00DC4763"/>
    <w:rsid w:val="00DC4B8D"/>
    <w:rsid w:val="00DC55B3"/>
    <w:rsid w:val="00DC5D55"/>
    <w:rsid w:val="00DC7730"/>
    <w:rsid w:val="00DD0511"/>
    <w:rsid w:val="00DD06B1"/>
    <w:rsid w:val="00DD22C5"/>
    <w:rsid w:val="00DD3317"/>
    <w:rsid w:val="00DD3FA4"/>
    <w:rsid w:val="00DD4A38"/>
    <w:rsid w:val="00DD4CA8"/>
    <w:rsid w:val="00DD5809"/>
    <w:rsid w:val="00DD7FBA"/>
    <w:rsid w:val="00DE05C6"/>
    <w:rsid w:val="00DE0B98"/>
    <w:rsid w:val="00DE0D84"/>
    <w:rsid w:val="00DE14A4"/>
    <w:rsid w:val="00DE3E67"/>
    <w:rsid w:val="00DE5B42"/>
    <w:rsid w:val="00DE7636"/>
    <w:rsid w:val="00DF126A"/>
    <w:rsid w:val="00DF12C8"/>
    <w:rsid w:val="00DF194F"/>
    <w:rsid w:val="00DF1C69"/>
    <w:rsid w:val="00DF24E5"/>
    <w:rsid w:val="00DF2D1C"/>
    <w:rsid w:val="00DF4E9F"/>
    <w:rsid w:val="00DF5865"/>
    <w:rsid w:val="00DF6244"/>
    <w:rsid w:val="00DF6973"/>
    <w:rsid w:val="00DF6B15"/>
    <w:rsid w:val="00DF6F4C"/>
    <w:rsid w:val="00DF7C29"/>
    <w:rsid w:val="00E023E7"/>
    <w:rsid w:val="00E02D4D"/>
    <w:rsid w:val="00E0329E"/>
    <w:rsid w:val="00E036A3"/>
    <w:rsid w:val="00E03CC0"/>
    <w:rsid w:val="00E04C8A"/>
    <w:rsid w:val="00E060E4"/>
    <w:rsid w:val="00E10294"/>
    <w:rsid w:val="00E10A68"/>
    <w:rsid w:val="00E10EDB"/>
    <w:rsid w:val="00E11CFC"/>
    <w:rsid w:val="00E143FC"/>
    <w:rsid w:val="00E17260"/>
    <w:rsid w:val="00E17686"/>
    <w:rsid w:val="00E21674"/>
    <w:rsid w:val="00E2273B"/>
    <w:rsid w:val="00E23A96"/>
    <w:rsid w:val="00E244E8"/>
    <w:rsid w:val="00E25C6B"/>
    <w:rsid w:val="00E300FD"/>
    <w:rsid w:val="00E30671"/>
    <w:rsid w:val="00E349AD"/>
    <w:rsid w:val="00E35481"/>
    <w:rsid w:val="00E35D3C"/>
    <w:rsid w:val="00E35E43"/>
    <w:rsid w:val="00E35E54"/>
    <w:rsid w:val="00E369EC"/>
    <w:rsid w:val="00E3753E"/>
    <w:rsid w:val="00E37FB6"/>
    <w:rsid w:val="00E421FA"/>
    <w:rsid w:val="00E43D6D"/>
    <w:rsid w:val="00E448C4"/>
    <w:rsid w:val="00E44B72"/>
    <w:rsid w:val="00E44E99"/>
    <w:rsid w:val="00E46B2A"/>
    <w:rsid w:val="00E47030"/>
    <w:rsid w:val="00E477C3"/>
    <w:rsid w:val="00E50C4E"/>
    <w:rsid w:val="00E5123F"/>
    <w:rsid w:val="00E51F92"/>
    <w:rsid w:val="00E529FA"/>
    <w:rsid w:val="00E54839"/>
    <w:rsid w:val="00E54E70"/>
    <w:rsid w:val="00E550AC"/>
    <w:rsid w:val="00E5653F"/>
    <w:rsid w:val="00E577F0"/>
    <w:rsid w:val="00E60034"/>
    <w:rsid w:val="00E61AB9"/>
    <w:rsid w:val="00E62E7A"/>
    <w:rsid w:val="00E633F2"/>
    <w:rsid w:val="00E65A3B"/>
    <w:rsid w:val="00E65C07"/>
    <w:rsid w:val="00E67BB9"/>
    <w:rsid w:val="00E7127B"/>
    <w:rsid w:val="00E7193A"/>
    <w:rsid w:val="00E7248D"/>
    <w:rsid w:val="00E72C51"/>
    <w:rsid w:val="00E7526C"/>
    <w:rsid w:val="00E757F5"/>
    <w:rsid w:val="00E75AF7"/>
    <w:rsid w:val="00E81C66"/>
    <w:rsid w:val="00E8202B"/>
    <w:rsid w:val="00E84788"/>
    <w:rsid w:val="00E8586D"/>
    <w:rsid w:val="00E87272"/>
    <w:rsid w:val="00E8731A"/>
    <w:rsid w:val="00E879B3"/>
    <w:rsid w:val="00E90847"/>
    <w:rsid w:val="00E90BDF"/>
    <w:rsid w:val="00E91C7C"/>
    <w:rsid w:val="00E92DB7"/>
    <w:rsid w:val="00E94D9C"/>
    <w:rsid w:val="00EA0EBD"/>
    <w:rsid w:val="00EA25E6"/>
    <w:rsid w:val="00EA44D3"/>
    <w:rsid w:val="00EA59CA"/>
    <w:rsid w:val="00EA5B14"/>
    <w:rsid w:val="00EA63E8"/>
    <w:rsid w:val="00EA643A"/>
    <w:rsid w:val="00EB4092"/>
    <w:rsid w:val="00EB6F1B"/>
    <w:rsid w:val="00EC005C"/>
    <w:rsid w:val="00EC150F"/>
    <w:rsid w:val="00EC1B91"/>
    <w:rsid w:val="00EC4A17"/>
    <w:rsid w:val="00EC638E"/>
    <w:rsid w:val="00ED0215"/>
    <w:rsid w:val="00ED1CD7"/>
    <w:rsid w:val="00ED3377"/>
    <w:rsid w:val="00ED3E64"/>
    <w:rsid w:val="00ED5F3B"/>
    <w:rsid w:val="00ED7F0D"/>
    <w:rsid w:val="00EE19B5"/>
    <w:rsid w:val="00EE2DBB"/>
    <w:rsid w:val="00EE35E2"/>
    <w:rsid w:val="00EE3A13"/>
    <w:rsid w:val="00EE3A27"/>
    <w:rsid w:val="00EE3BFB"/>
    <w:rsid w:val="00EE4323"/>
    <w:rsid w:val="00EE612E"/>
    <w:rsid w:val="00EE7B6A"/>
    <w:rsid w:val="00EF0735"/>
    <w:rsid w:val="00EF18D3"/>
    <w:rsid w:val="00EF27F5"/>
    <w:rsid w:val="00EF4BF2"/>
    <w:rsid w:val="00EF569E"/>
    <w:rsid w:val="00EF5E8B"/>
    <w:rsid w:val="00EF67A5"/>
    <w:rsid w:val="00EF6E59"/>
    <w:rsid w:val="00EF74DF"/>
    <w:rsid w:val="00EF7EDE"/>
    <w:rsid w:val="00F00382"/>
    <w:rsid w:val="00F01EBA"/>
    <w:rsid w:val="00F04C73"/>
    <w:rsid w:val="00F051AC"/>
    <w:rsid w:val="00F11863"/>
    <w:rsid w:val="00F118DA"/>
    <w:rsid w:val="00F1314F"/>
    <w:rsid w:val="00F134E1"/>
    <w:rsid w:val="00F151A8"/>
    <w:rsid w:val="00F1624E"/>
    <w:rsid w:val="00F1682B"/>
    <w:rsid w:val="00F21428"/>
    <w:rsid w:val="00F217F4"/>
    <w:rsid w:val="00F22C86"/>
    <w:rsid w:val="00F24174"/>
    <w:rsid w:val="00F249BD"/>
    <w:rsid w:val="00F24CC4"/>
    <w:rsid w:val="00F25D5F"/>
    <w:rsid w:val="00F26EA4"/>
    <w:rsid w:val="00F26F32"/>
    <w:rsid w:val="00F272C7"/>
    <w:rsid w:val="00F311B2"/>
    <w:rsid w:val="00F3254C"/>
    <w:rsid w:val="00F33662"/>
    <w:rsid w:val="00F338F4"/>
    <w:rsid w:val="00F34AF5"/>
    <w:rsid w:val="00F3668B"/>
    <w:rsid w:val="00F37634"/>
    <w:rsid w:val="00F40A84"/>
    <w:rsid w:val="00F445B9"/>
    <w:rsid w:val="00F45CB7"/>
    <w:rsid w:val="00F4714D"/>
    <w:rsid w:val="00F47457"/>
    <w:rsid w:val="00F4749B"/>
    <w:rsid w:val="00F5002E"/>
    <w:rsid w:val="00F50BF6"/>
    <w:rsid w:val="00F512B2"/>
    <w:rsid w:val="00F5144E"/>
    <w:rsid w:val="00F52804"/>
    <w:rsid w:val="00F54A56"/>
    <w:rsid w:val="00F54B2C"/>
    <w:rsid w:val="00F610B8"/>
    <w:rsid w:val="00F62D28"/>
    <w:rsid w:val="00F62ED7"/>
    <w:rsid w:val="00F6386E"/>
    <w:rsid w:val="00F638A7"/>
    <w:rsid w:val="00F65D64"/>
    <w:rsid w:val="00F66638"/>
    <w:rsid w:val="00F7255A"/>
    <w:rsid w:val="00F735FD"/>
    <w:rsid w:val="00F75628"/>
    <w:rsid w:val="00F76A0E"/>
    <w:rsid w:val="00F80F7F"/>
    <w:rsid w:val="00F828B2"/>
    <w:rsid w:val="00F82925"/>
    <w:rsid w:val="00F83140"/>
    <w:rsid w:val="00F83D33"/>
    <w:rsid w:val="00F84942"/>
    <w:rsid w:val="00F85705"/>
    <w:rsid w:val="00F90965"/>
    <w:rsid w:val="00F90F3E"/>
    <w:rsid w:val="00F93BCA"/>
    <w:rsid w:val="00F94928"/>
    <w:rsid w:val="00F95EA1"/>
    <w:rsid w:val="00F95F1F"/>
    <w:rsid w:val="00F95F47"/>
    <w:rsid w:val="00F96068"/>
    <w:rsid w:val="00F96A15"/>
    <w:rsid w:val="00F96E51"/>
    <w:rsid w:val="00FA4533"/>
    <w:rsid w:val="00FA788D"/>
    <w:rsid w:val="00FB13DE"/>
    <w:rsid w:val="00FB1981"/>
    <w:rsid w:val="00FB1FD3"/>
    <w:rsid w:val="00FB650B"/>
    <w:rsid w:val="00FB6F38"/>
    <w:rsid w:val="00FB79DF"/>
    <w:rsid w:val="00FB7E70"/>
    <w:rsid w:val="00FC1862"/>
    <w:rsid w:val="00FC270D"/>
    <w:rsid w:val="00FC34BF"/>
    <w:rsid w:val="00FC6718"/>
    <w:rsid w:val="00FD1D77"/>
    <w:rsid w:val="00FD325E"/>
    <w:rsid w:val="00FD32CE"/>
    <w:rsid w:val="00FD4698"/>
    <w:rsid w:val="00FE3F0D"/>
    <w:rsid w:val="00FE516F"/>
    <w:rsid w:val="00FF09A1"/>
    <w:rsid w:val="00FF1035"/>
    <w:rsid w:val="00FF32B1"/>
    <w:rsid w:val="00FF5569"/>
    <w:rsid w:val="00FF5690"/>
    <w:rsid w:val="00FF573D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2F147"/>
  <w15:chartTrackingRefBased/>
  <w15:docId w15:val="{4CF15090-ECCC-4EB8-8B54-3E11C7F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13BAE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A13BAE"/>
    <w:pPr>
      <w:spacing w:before="300" w:after="300"/>
      <w:jc w:val="center"/>
    </w:pPr>
  </w:style>
  <w:style w:type="paragraph" w:customStyle="1" w:styleId="replymain">
    <w:name w:val="replymain"/>
    <w:basedOn w:val="Normal"/>
    <w:rsid w:val="00A13BAE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A13BAE"/>
    <w:pPr>
      <w:spacing w:before="100" w:beforeAutospacing="1" w:after="100" w:afterAutospacing="1"/>
    </w:pPr>
  </w:style>
  <w:style w:type="character" w:styleId="Strong">
    <w:name w:val="Strong"/>
    <w:qFormat/>
    <w:rsid w:val="00A13BAE"/>
    <w:rPr>
      <w:b/>
      <w:bCs/>
    </w:rPr>
  </w:style>
  <w:style w:type="paragraph" w:styleId="BodyText">
    <w:name w:val="Body Text"/>
    <w:basedOn w:val="Normal"/>
    <w:rsid w:val="00A13BAE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8F7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798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pmcloughlin</dc:creator>
  <cp:keywords/>
  <dc:description/>
  <cp:lastModifiedBy>Mary Kelly - Finance</cp:lastModifiedBy>
  <cp:revision>6</cp:revision>
  <cp:lastPrinted>2016-11-01T12:55:00Z</cp:lastPrinted>
  <dcterms:created xsi:type="dcterms:W3CDTF">2020-10-20T12:37:00Z</dcterms:created>
  <dcterms:modified xsi:type="dcterms:W3CDTF">2020-11-16T09:32:00Z</dcterms:modified>
</cp:coreProperties>
</file>