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12596" w14:textId="5C89B408" w:rsidR="005245D2" w:rsidRPr="005245D2" w:rsidRDefault="001D6C37" w:rsidP="005245D2">
      <w:pPr>
        <w:jc w:val="center"/>
        <w:rPr>
          <w:b/>
          <w:bCs/>
          <w:sz w:val="28"/>
          <w:szCs w:val="28"/>
          <w:lang w:val="en-GB"/>
        </w:rPr>
      </w:pPr>
      <w:r>
        <w:rPr>
          <w:noProof/>
        </w:rPr>
        <w:drawing>
          <wp:anchor distT="0" distB="0" distL="114300" distR="114300" simplePos="0" relativeHeight="251658240" behindDoc="1" locked="0" layoutInCell="1" allowOverlap="1" wp14:anchorId="5D4BE479" wp14:editId="2B898295">
            <wp:simplePos x="0" y="0"/>
            <wp:positionH relativeFrom="margin">
              <wp:align>left</wp:align>
            </wp:positionH>
            <wp:positionV relativeFrom="paragraph">
              <wp:posOffset>-60960</wp:posOffset>
            </wp:positionV>
            <wp:extent cx="2432649" cy="1498254"/>
            <wp:effectExtent l="0" t="0" r="635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32649" cy="1498254"/>
                    </a:xfrm>
                    <a:prstGeom prst="rect">
                      <a:avLst/>
                    </a:prstGeom>
                  </pic:spPr>
                </pic:pic>
              </a:graphicData>
            </a:graphic>
            <wp14:sizeRelH relativeFrom="page">
              <wp14:pctWidth>0</wp14:pctWidth>
            </wp14:sizeRelH>
            <wp14:sizeRelV relativeFrom="page">
              <wp14:pctHeight>0</wp14:pctHeight>
            </wp14:sizeRelV>
          </wp:anchor>
        </w:drawing>
      </w:r>
      <w:r w:rsidR="005245D2">
        <w:rPr>
          <w:b/>
          <w:bCs/>
          <w:sz w:val="28"/>
          <w:szCs w:val="28"/>
          <w:lang w:val="en-GB"/>
        </w:rPr>
        <w:t xml:space="preserve"> </w:t>
      </w:r>
    </w:p>
    <w:p w14:paraId="1F9BCCA3" w14:textId="35DC3929" w:rsidR="005245D2" w:rsidRDefault="005245D2" w:rsidP="005245D2">
      <w:pPr>
        <w:rPr>
          <w:lang w:val="en-GB"/>
        </w:rPr>
      </w:pPr>
    </w:p>
    <w:p w14:paraId="080AC4AE" w14:textId="6EAC0FCB" w:rsidR="005245D2" w:rsidRDefault="005245D2" w:rsidP="005245D2">
      <w:pPr>
        <w:rPr>
          <w:lang w:val="en-GB"/>
        </w:rPr>
      </w:pPr>
    </w:p>
    <w:p w14:paraId="38BD8421" w14:textId="0A732499" w:rsidR="005245D2" w:rsidRDefault="005245D2" w:rsidP="005245D2">
      <w:pPr>
        <w:rPr>
          <w:lang w:val="en-GB"/>
        </w:rPr>
      </w:pPr>
    </w:p>
    <w:p w14:paraId="04AD603B" w14:textId="0CA9A542" w:rsidR="005245D2" w:rsidRDefault="005245D2" w:rsidP="005245D2">
      <w:pPr>
        <w:rPr>
          <w:lang w:val="en-GB"/>
        </w:rPr>
      </w:pPr>
    </w:p>
    <w:p w14:paraId="707F3E50" w14:textId="0F0E53A7" w:rsidR="005245D2" w:rsidRDefault="005245D2" w:rsidP="005245D2">
      <w:pPr>
        <w:rPr>
          <w:lang w:val="en-GB"/>
        </w:rPr>
      </w:pPr>
    </w:p>
    <w:p w14:paraId="2F555A3A" w14:textId="31CB02CA" w:rsidR="005245D2" w:rsidRDefault="005245D2" w:rsidP="005245D2">
      <w:pPr>
        <w:rPr>
          <w:lang w:val="en-GB"/>
        </w:rPr>
      </w:pPr>
    </w:p>
    <w:p w14:paraId="35460B27" w14:textId="3FD47E51" w:rsidR="00F06E8F" w:rsidRDefault="00F06E8F" w:rsidP="00572917">
      <w:pPr>
        <w:jc w:val="center"/>
        <w:rPr>
          <w:b/>
          <w:bCs/>
          <w:color w:val="A6A6A6" w:themeColor="background1" w:themeShade="A6"/>
          <w:sz w:val="28"/>
          <w:szCs w:val="28"/>
          <w:lang w:val="en-GB"/>
        </w:rPr>
      </w:pPr>
    </w:p>
    <w:p w14:paraId="75A693CD" w14:textId="77777777" w:rsidR="00F06E8F" w:rsidRDefault="00F06E8F" w:rsidP="00572917">
      <w:pPr>
        <w:jc w:val="center"/>
        <w:rPr>
          <w:b/>
          <w:bCs/>
          <w:color w:val="A6A6A6" w:themeColor="background1" w:themeShade="A6"/>
          <w:sz w:val="28"/>
          <w:szCs w:val="28"/>
          <w:lang w:val="en-GB"/>
        </w:rPr>
      </w:pPr>
    </w:p>
    <w:p w14:paraId="23C45AB2" w14:textId="5B26AC23" w:rsidR="005245D2" w:rsidRPr="002557CB" w:rsidRDefault="00572917" w:rsidP="00572917">
      <w:pPr>
        <w:jc w:val="center"/>
        <w:rPr>
          <w:b/>
          <w:bCs/>
          <w:color w:val="A6A6A6" w:themeColor="background1" w:themeShade="A6"/>
          <w:sz w:val="32"/>
          <w:szCs w:val="32"/>
          <w:lang w:val="en-GB"/>
        </w:rPr>
      </w:pPr>
      <w:bookmarkStart w:id="0" w:name="_Hlk17893808"/>
      <w:r w:rsidRPr="002557CB">
        <w:rPr>
          <w:b/>
          <w:bCs/>
          <w:color w:val="A6A6A6" w:themeColor="background1" w:themeShade="A6"/>
          <w:sz w:val="32"/>
          <w:szCs w:val="32"/>
          <w:lang w:val="en-GB"/>
        </w:rPr>
        <w:t>Members Briefing Note</w:t>
      </w:r>
    </w:p>
    <w:p w14:paraId="4DCF9A29" w14:textId="5443DF20" w:rsidR="007959FA" w:rsidRPr="005245D2" w:rsidRDefault="00F06E8F" w:rsidP="005245D2">
      <w:pPr>
        <w:jc w:val="center"/>
        <w:rPr>
          <w:sz w:val="32"/>
          <w:szCs w:val="32"/>
          <w:lang w:val="en-GB"/>
        </w:rPr>
      </w:pPr>
      <w:r>
        <w:rPr>
          <w:sz w:val="32"/>
          <w:szCs w:val="32"/>
          <w:lang w:val="en-GB"/>
        </w:rPr>
        <w:t xml:space="preserve">Proposed </w:t>
      </w:r>
      <w:r w:rsidR="005245D2" w:rsidRPr="005245D2">
        <w:rPr>
          <w:sz w:val="32"/>
          <w:szCs w:val="32"/>
          <w:lang w:val="en-GB"/>
        </w:rPr>
        <w:t>Variation No. 4 of the South Dublin County Council County Development Plan 2016-2022</w:t>
      </w:r>
    </w:p>
    <w:p w14:paraId="65912176" w14:textId="2C58C4D9" w:rsidR="005245D2" w:rsidRPr="005245D2" w:rsidRDefault="005245D2" w:rsidP="005245D2">
      <w:pPr>
        <w:jc w:val="center"/>
        <w:rPr>
          <w:sz w:val="24"/>
          <w:szCs w:val="24"/>
          <w:lang w:val="en-GB"/>
        </w:rPr>
      </w:pPr>
      <w:r w:rsidRPr="005245D2">
        <w:rPr>
          <w:sz w:val="24"/>
          <w:szCs w:val="24"/>
          <w:lang w:val="en-GB"/>
        </w:rPr>
        <w:t>Alignment of the County Development Plan with the National Planning Framework</w:t>
      </w:r>
      <w:r w:rsidR="004A3927">
        <w:rPr>
          <w:sz w:val="24"/>
          <w:szCs w:val="24"/>
          <w:lang w:val="en-GB"/>
        </w:rPr>
        <w:t xml:space="preserve"> 2040 (NPF)</w:t>
      </w:r>
      <w:r w:rsidRPr="005245D2">
        <w:rPr>
          <w:sz w:val="24"/>
          <w:szCs w:val="24"/>
          <w:lang w:val="en-GB"/>
        </w:rPr>
        <w:t xml:space="preserve"> and the Regional Spatial and Economic Strategy</w:t>
      </w:r>
      <w:r w:rsidR="002557CB">
        <w:rPr>
          <w:sz w:val="24"/>
          <w:szCs w:val="24"/>
          <w:lang w:val="en-GB"/>
        </w:rPr>
        <w:t xml:space="preserve"> (RSES) </w:t>
      </w:r>
      <w:r w:rsidRPr="005245D2">
        <w:rPr>
          <w:sz w:val="24"/>
          <w:szCs w:val="24"/>
          <w:lang w:val="en-GB"/>
        </w:rPr>
        <w:t>for the Easter</w:t>
      </w:r>
      <w:r w:rsidR="002557CB">
        <w:rPr>
          <w:sz w:val="24"/>
          <w:szCs w:val="24"/>
          <w:lang w:val="en-GB"/>
        </w:rPr>
        <w:t>n</w:t>
      </w:r>
      <w:r w:rsidRPr="005245D2">
        <w:rPr>
          <w:sz w:val="24"/>
          <w:szCs w:val="24"/>
          <w:lang w:val="en-GB"/>
        </w:rPr>
        <w:t xml:space="preserve"> and Midland Region</w:t>
      </w:r>
      <w:r w:rsidR="002557CB">
        <w:rPr>
          <w:sz w:val="24"/>
          <w:szCs w:val="24"/>
          <w:lang w:val="en-GB"/>
        </w:rPr>
        <w:t xml:space="preserve"> 2019 - 2031</w:t>
      </w:r>
      <w:r w:rsidRPr="005245D2">
        <w:rPr>
          <w:sz w:val="24"/>
          <w:szCs w:val="24"/>
          <w:lang w:val="en-GB"/>
        </w:rPr>
        <w:t>.</w:t>
      </w:r>
    </w:p>
    <w:bookmarkEnd w:id="0"/>
    <w:p w14:paraId="1FA33175" w14:textId="66A389A3" w:rsidR="005245D2" w:rsidRDefault="005245D2">
      <w:pPr>
        <w:rPr>
          <w:lang w:val="en-GB"/>
        </w:rPr>
      </w:pPr>
      <w:r>
        <w:rPr>
          <w:lang w:val="en-GB"/>
        </w:rPr>
        <w:br w:type="page"/>
      </w:r>
    </w:p>
    <w:p w14:paraId="15465DB1" w14:textId="4226DC4E" w:rsidR="00E07A55" w:rsidRDefault="00E07A55" w:rsidP="002557CB">
      <w:pPr>
        <w:pStyle w:val="ListParagraph"/>
        <w:numPr>
          <w:ilvl w:val="0"/>
          <w:numId w:val="9"/>
        </w:numPr>
        <w:rPr>
          <w:b/>
          <w:bCs/>
          <w:sz w:val="24"/>
          <w:szCs w:val="24"/>
          <w:lang w:val="en-GB"/>
        </w:rPr>
      </w:pPr>
      <w:r>
        <w:rPr>
          <w:b/>
          <w:bCs/>
          <w:sz w:val="24"/>
          <w:szCs w:val="24"/>
          <w:lang w:val="en-GB"/>
        </w:rPr>
        <w:lastRenderedPageBreak/>
        <w:t xml:space="preserve">Proposal </w:t>
      </w:r>
    </w:p>
    <w:p w14:paraId="67DE6457" w14:textId="64A77DE1" w:rsidR="00E07A55" w:rsidRDefault="00E07A55" w:rsidP="00E07A55">
      <w:pPr>
        <w:rPr>
          <w:b/>
          <w:bCs/>
          <w:sz w:val="24"/>
          <w:szCs w:val="24"/>
          <w:lang w:val="en-GB"/>
        </w:rPr>
      </w:pPr>
    </w:p>
    <w:p w14:paraId="0894FE67" w14:textId="6C4E472B" w:rsidR="00E07A55" w:rsidRPr="00357C4D" w:rsidRDefault="00E07A55" w:rsidP="00357C4D">
      <w:pPr>
        <w:rPr>
          <w:sz w:val="24"/>
          <w:szCs w:val="24"/>
          <w:lang w:val="en-GB"/>
        </w:rPr>
      </w:pPr>
      <w:bookmarkStart w:id="1" w:name="_Hlk17893954"/>
      <w:r w:rsidRPr="00357C4D">
        <w:rPr>
          <w:sz w:val="24"/>
          <w:szCs w:val="24"/>
          <w:lang w:val="en-GB"/>
        </w:rPr>
        <w:t xml:space="preserve">This paper proposes </w:t>
      </w:r>
      <w:r w:rsidR="00357C4D">
        <w:rPr>
          <w:sz w:val="24"/>
          <w:szCs w:val="24"/>
          <w:lang w:val="en-GB"/>
        </w:rPr>
        <w:t>V</w:t>
      </w:r>
      <w:r w:rsidRPr="00357C4D">
        <w:rPr>
          <w:sz w:val="24"/>
          <w:szCs w:val="24"/>
          <w:lang w:val="en-GB"/>
        </w:rPr>
        <w:t>ariation number 4 to the Council Development Plan. The variation takes account of SDCC’s requirement to vary our Plan in light of the recently adopted RSES. The paper sets out the process involved whereby we will commence public consultation in October 2019 with a view to returning the variation to Council for agreement in late 2019.</w:t>
      </w:r>
    </w:p>
    <w:bookmarkEnd w:id="1"/>
    <w:p w14:paraId="2AE42B9A" w14:textId="79DFAEEB" w:rsidR="005245D2" w:rsidRPr="002557CB" w:rsidRDefault="005245D2" w:rsidP="002557CB">
      <w:pPr>
        <w:pStyle w:val="ListParagraph"/>
        <w:numPr>
          <w:ilvl w:val="0"/>
          <w:numId w:val="9"/>
        </w:numPr>
        <w:rPr>
          <w:b/>
          <w:bCs/>
          <w:sz w:val="24"/>
          <w:szCs w:val="24"/>
          <w:lang w:val="en-GB"/>
        </w:rPr>
      </w:pPr>
      <w:r w:rsidRPr="002557CB">
        <w:rPr>
          <w:b/>
          <w:bCs/>
          <w:sz w:val="24"/>
          <w:szCs w:val="24"/>
          <w:lang w:val="en-GB"/>
        </w:rPr>
        <w:t xml:space="preserve">Introduction: </w:t>
      </w:r>
    </w:p>
    <w:p w14:paraId="2DBB7F30" w14:textId="40C54ECA" w:rsidR="00E07A55" w:rsidRDefault="00E07A55" w:rsidP="00572917">
      <w:pPr>
        <w:pStyle w:val="Default"/>
        <w:jc w:val="both"/>
        <w:rPr>
          <w:sz w:val="22"/>
          <w:szCs w:val="22"/>
        </w:rPr>
      </w:pPr>
    </w:p>
    <w:p w14:paraId="5B528F18" w14:textId="0D0B2C1B" w:rsidR="00572917" w:rsidRPr="009C7120" w:rsidRDefault="00572917" w:rsidP="00572917">
      <w:pPr>
        <w:pStyle w:val="Default"/>
        <w:jc w:val="both"/>
        <w:rPr>
          <w:sz w:val="22"/>
          <w:szCs w:val="22"/>
        </w:rPr>
      </w:pPr>
      <w:r w:rsidRPr="009C7120">
        <w:rPr>
          <w:sz w:val="22"/>
          <w:szCs w:val="22"/>
        </w:rPr>
        <w:t xml:space="preserve">Project Ireland 2040; National Planning Framework (‘NPF’) was published on </w:t>
      </w:r>
      <w:r w:rsidR="00F06E8F" w:rsidRPr="009C7120">
        <w:rPr>
          <w:sz w:val="22"/>
          <w:szCs w:val="22"/>
        </w:rPr>
        <w:t>the 16th of February 2018 and</w:t>
      </w:r>
      <w:r w:rsidRPr="009C7120">
        <w:rPr>
          <w:sz w:val="22"/>
          <w:szCs w:val="22"/>
        </w:rPr>
        <w:t xml:space="preserve"> sets out a course for planning and development in Ireland. The NPF was adopted on the 29th of May 2018</w:t>
      </w:r>
      <w:r>
        <w:rPr>
          <w:rStyle w:val="FootnoteReference"/>
          <w:sz w:val="22"/>
          <w:szCs w:val="22"/>
        </w:rPr>
        <w:footnoteReference w:id="1"/>
      </w:r>
      <w:r w:rsidRPr="009C7120">
        <w:rPr>
          <w:sz w:val="22"/>
          <w:szCs w:val="22"/>
        </w:rPr>
        <w:t xml:space="preserve"> and was further supported by the publication of the Implementation Roadmap for the National Planning Framework (‘Roadmap’) which was published on the 3rd of July 2018. This document confirmed that the NPF was adopted as a strategy to replace the </w:t>
      </w:r>
      <w:r>
        <w:rPr>
          <w:sz w:val="22"/>
          <w:szCs w:val="22"/>
        </w:rPr>
        <w:t>National Spatial Strategy (</w:t>
      </w:r>
      <w:r w:rsidRPr="009C7120">
        <w:rPr>
          <w:sz w:val="22"/>
          <w:szCs w:val="22"/>
        </w:rPr>
        <w:t>NSS</w:t>
      </w:r>
      <w:r>
        <w:rPr>
          <w:sz w:val="22"/>
          <w:szCs w:val="22"/>
        </w:rPr>
        <w:t>)</w:t>
      </w:r>
      <w:r w:rsidRPr="009C7120">
        <w:rPr>
          <w:sz w:val="22"/>
          <w:szCs w:val="22"/>
        </w:rPr>
        <w:t xml:space="preserve"> and advised that the NPF is of direct relevance to the preparation of Regional Spatial and Economic Strategies </w:t>
      </w:r>
      <w:r>
        <w:rPr>
          <w:sz w:val="22"/>
          <w:szCs w:val="22"/>
        </w:rPr>
        <w:t xml:space="preserve">(RSES) </w:t>
      </w:r>
      <w:r w:rsidRPr="009C7120">
        <w:rPr>
          <w:sz w:val="22"/>
          <w:szCs w:val="22"/>
        </w:rPr>
        <w:t xml:space="preserve">and County Development Plans. </w:t>
      </w:r>
    </w:p>
    <w:p w14:paraId="094860C4" w14:textId="77777777" w:rsidR="00572917" w:rsidRDefault="00572917" w:rsidP="00572917">
      <w:pPr>
        <w:pStyle w:val="Default"/>
        <w:jc w:val="both"/>
        <w:rPr>
          <w:sz w:val="22"/>
          <w:szCs w:val="22"/>
        </w:rPr>
      </w:pPr>
    </w:p>
    <w:p w14:paraId="38B4F8E6" w14:textId="77777777" w:rsidR="00572917" w:rsidRPr="009C7120" w:rsidRDefault="00572917" w:rsidP="00572917">
      <w:pPr>
        <w:pStyle w:val="Default"/>
        <w:jc w:val="both"/>
        <w:rPr>
          <w:sz w:val="22"/>
          <w:szCs w:val="22"/>
        </w:rPr>
      </w:pPr>
      <w:r w:rsidRPr="009C7120">
        <w:rPr>
          <w:sz w:val="22"/>
          <w:szCs w:val="22"/>
        </w:rPr>
        <w:t xml:space="preserve">The Roadmap highlights that one of the key reasons Government has put in place </w:t>
      </w:r>
      <w:r>
        <w:rPr>
          <w:sz w:val="22"/>
          <w:szCs w:val="22"/>
        </w:rPr>
        <w:t>the NPF</w:t>
      </w:r>
      <w:r w:rsidRPr="009C7120">
        <w:rPr>
          <w:sz w:val="22"/>
          <w:szCs w:val="22"/>
        </w:rPr>
        <w:t xml:space="preserve"> is to shape and coordinate planning, economic and spatial development and infrastructure investment at national, regional and local levels, through RSESs, prepared by the three Regional Assemblies, and City and County Development Plans and Local Area Plans. </w:t>
      </w:r>
    </w:p>
    <w:p w14:paraId="11BD6427" w14:textId="77777777" w:rsidR="00572917" w:rsidRDefault="00572917" w:rsidP="00572917">
      <w:pPr>
        <w:pStyle w:val="Default"/>
        <w:jc w:val="both"/>
        <w:rPr>
          <w:sz w:val="22"/>
          <w:szCs w:val="22"/>
        </w:rPr>
      </w:pPr>
    </w:p>
    <w:p w14:paraId="29B7E26B" w14:textId="77777777" w:rsidR="00572917" w:rsidRPr="009C7120" w:rsidRDefault="00572917" w:rsidP="00572917">
      <w:pPr>
        <w:pStyle w:val="Default"/>
        <w:jc w:val="both"/>
        <w:rPr>
          <w:sz w:val="22"/>
          <w:szCs w:val="22"/>
        </w:rPr>
      </w:pPr>
      <w:r w:rsidRPr="009C7120">
        <w:rPr>
          <w:sz w:val="22"/>
          <w:szCs w:val="22"/>
        </w:rPr>
        <w:t xml:space="preserve">The thirty-one City and County Development Plans follow a six-year review cycle, meaning that the planning process in Ireland benefits from frequently reviewed plans. However, due to varying review periods in the past, every local authority has different Development Plan cycles, which means that co-ordination across plan boundaries and throughout the region can be difficult due to the different lifespans applying to different plans in each local authority area. </w:t>
      </w:r>
    </w:p>
    <w:p w14:paraId="0E75E9D5" w14:textId="77777777" w:rsidR="00572917" w:rsidRDefault="00572917" w:rsidP="00572917">
      <w:pPr>
        <w:pStyle w:val="Default"/>
        <w:jc w:val="both"/>
        <w:rPr>
          <w:sz w:val="22"/>
          <w:szCs w:val="22"/>
        </w:rPr>
      </w:pPr>
    </w:p>
    <w:p w14:paraId="6194CDAE" w14:textId="03D03625" w:rsidR="00AE44B9" w:rsidRPr="002557CB" w:rsidRDefault="00AE44B9" w:rsidP="002557CB">
      <w:pPr>
        <w:pStyle w:val="Default"/>
        <w:numPr>
          <w:ilvl w:val="0"/>
          <w:numId w:val="9"/>
        </w:numPr>
        <w:jc w:val="both"/>
        <w:rPr>
          <w:b/>
          <w:bCs/>
        </w:rPr>
      </w:pPr>
      <w:r w:rsidRPr="002557CB">
        <w:rPr>
          <w:b/>
          <w:bCs/>
        </w:rPr>
        <w:t>The Requirement for Alignment</w:t>
      </w:r>
    </w:p>
    <w:p w14:paraId="32625BBD" w14:textId="42122094" w:rsidR="00A3310E" w:rsidRDefault="00E96B2C" w:rsidP="00572917">
      <w:pPr>
        <w:pStyle w:val="Default"/>
        <w:jc w:val="both"/>
        <w:rPr>
          <w:sz w:val="22"/>
          <w:szCs w:val="22"/>
        </w:rPr>
      </w:pPr>
      <w:r>
        <w:rPr>
          <w:sz w:val="22"/>
          <w:szCs w:val="22"/>
        </w:rPr>
        <w:t>The RSES for the East Midlands Regional Area was adopted on 3</w:t>
      </w:r>
      <w:r w:rsidR="00357C4D" w:rsidRPr="00357C4D">
        <w:rPr>
          <w:sz w:val="22"/>
          <w:szCs w:val="22"/>
          <w:vertAlign w:val="superscript"/>
        </w:rPr>
        <w:t>rd</w:t>
      </w:r>
      <w:r w:rsidR="00357C4D">
        <w:rPr>
          <w:sz w:val="22"/>
          <w:szCs w:val="22"/>
        </w:rPr>
        <w:t xml:space="preserve"> </w:t>
      </w:r>
      <w:r>
        <w:rPr>
          <w:sz w:val="22"/>
          <w:szCs w:val="22"/>
        </w:rPr>
        <w:t xml:space="preserve">May 2019. </w:t>
      </w:r>
      <w:r w:rsidR="00357C4D">
        <w:rPr>
          <w:sz w:val="22"/>
          <w:szCs w:val="22"/>
        </w:rPr>
        <w:t>Since this time, the Minister has issue</w:t>
      </w:r>
      <w:r w:rsidR="00A3310E">
        <w:rPr>
          <w:sz w:val="22"/>
          <w:szCs w:val="22"/>
        </w:rPr>
        <w:t>d</w:t>
      </w:r>
      <w:r w:rsidR="00357C4D">
        <w:rPr>
          <w:sz w:val="22"/>
          <w:szCs w:val="22"/>
        </w:rPr>
        <w:t xml:space="preserve"> a Section 31A Direction </w:t>
      </w:r>
      <w:r w:rsidR="00A3310E">
        <w:rPr>
          <w:sz w:val="22"/>
          <w:szCs w:val="22"/>
        </w:rPr>
        <w:t xml:space="preserve">directing the </w:t>
      </w:r>
      <w:r w:rsidR="00A3310E" w:rsidRPr="00A3310E">
        <w:rPr>
          <w:sz w:val="22"/>
          <w:szCs w:val="22"/>
        </w:rPr>
        <w:t>Midland Regional Assembly</w:t>
      </w:r>
      <w:r w:rsidR="00A3310E">
        <w:rPr>
          <w:sz w:val="22"/>
          <w:szCs w:val="22"/>
        </w:rPr>
        <w:t xml:space="preserve"> to carry out amendments to the Strategy that include:</w:t>
      </w:r>
    </w:p>
    <w:p w14:paraId="4C78B085" w14:textId="4D18C797" w:rsidR="00A3310E" w:rsidRDefault="00A3310E" w:rsidP="00572917">
      <w:pPr>
        <w:pStyle w:val="Default"/>
        <w:jc w:val="both"/>
        <w:rPr>
          <w:sz w:val="22"/>
          <w:szCs w:val="22"/>
        </w:rPr>
      </w:pPr>
    </w:p>
    <w:p w14:paraId="4AADCD90" w14:textId="7402DF94" w:rsidR="00A3310E" w:rsidRDefault="00A3310E" w:rsidP="00F44E03">
      <w:pPr>
        <w:pStyle w:val="Default"/>
        <w:numPr>
          <w:ilvl w:val="0"/>
          <w:numId w:val="10"/>
        </w:numPr>
        <w:ind w:left="567" w:hanging="567"/>
        <w:jc w:val="both"/>
        <w:rPr>
          <w:sz w:val="22"/>
          <w:szCs w:val="22"/>
        </w:rPr>
      </w:pPr>
      <w:r>
        <w:rPr>
          <w:sz w:val="22"/>
          <w:szCs w:val="22"/>
        </w:rPr>
        <w:t xml:space="preserve">Changes to Section 5.6 ‘Integrated Land Use and Transportation’ regarding </w:t>
      </w:r>
      <w:r w:rsidR="00F44E03">
        <w:rPr>
          <w:sz w:val="22"/>
          <w:szCs w:val="22"/>
        </w:rPr>
        <w:t xml:space="preserve">the deletion of text in respect of particular </w:t>
      </w:r>
      <w:r>
        <w:rPr>
          <w:sz w:val="22"/>
          <w:szCs w:val="22"/>
        </w:rPr>
        <w:t>rail infrastructure</w:t>
      </w:r>
      <w:r w:rsidR="00F44E03">
        <w:rPr>
          <w:sz w:val="22"/>
          <w:szCs w:val="22"/>
        </w:rPr>
        <w:t xml:space="preserve"> (Rail, Metro and Luas)</w:t>
      </w:r>
      <w:r>
        <w:rPr>
          <w:sz w:val="22"/>
          <w:szCs w:val="22"/>
        </w:rPr>
        <w:t>; and</w:t>
      </w:r>
    </w:p>
    <w:p w14:paraId="4CC3C580" w14:textId="2C9F17FE" w:rsidR="00A3310E" w:rsidRDefault="00A3310E" w:rsidP="00F44E03">
      <w:pPr>
        <w:pStyle w:val="Default"/>
        <w:numPr>
          <w:ilvl w:val="0"/>
          <w:numId w:val="10"/>
        </w:numPr>
        <w:ind w:left="567" w:hanging="567"/>
        <w:jc w:val="both"/>
        <w:rPr>
          <w:sz w:val="22"/>
          <w:szCs w:val="22"/>
        </w:rPr>
      </w:pPr>
      <w:r>
        <w:rPr>
          <w:sz w:val="22"/>
          <w:szCs w:val="22"/>
        </w:rPr>
        <w:t>Changes to Table 8.2 ‘Rail Projects for the Region’</w:t>
      </w:r>
      <w:r w:rsidR="00F44E03" w:rsidRPr="00F44E03">
        <w:t xml:space="preserve"> </w:t>
      </w:r>
      <w:r w:rsidR="00F44E03" w:rsidRPr="00F44E03">
        <w:rPr>
          <w:sz w:val="22"/>
          <w:szCs w:val="22"/>
        </w:rPr>
        <w:t>regarding the deletion of text in respect of particular rail infrastructure (Rail, Metro and Luas)</w:t>
      </w:r>
      <w:r>
        <w:rPr>
          <w:sz w:val="22"/>
          <w:szCs w:val="22"/>
        </w:rPr>
        <w:t xml:space="preserve">. </w:t>
      </w:r>
    </w:p>
    <w:p w14:paraId="5B983920" w14:textId="02B21B0A" w:rsidR="00A3310E" w:rsidRDefault="00A3310E" w:rsidP="00572917">
      <w:pPr>
        <w:pStyle w:val="Default"/>
        <w:jc w:val="both"/>
        <w:rPr>
          <w:sz w:val="22"/>
          <w:szCs w:val="22"/>
        </w:rPr>
      </w:pPr>
    </w:p>
    <w:p w14:paraId="05C40CE7" w14:textId="001E2466" w:rsidR="00F44E03" w:rsidRDefault="00F44E03" w:rsidP="00572917">
      <w:pPr>
        <w:pStyle w:val="Default"/>
        <w:jc w:val="both"/>
        <w:rPr>
          <w:sz w:val="22"/>
          <w:szCs w:val="22"/>
        </w:rPr>
      </w:pPr>
      <w:r>
        <w:rPr>
          <w:sz w:val="22"/>
          <w:szCs w:val="22"/>
        </w:rPr>
        <w:t>The reason given for the Dir</w:t>
      </w:r>
      <w:bookmarkStart w:id="2" w:name="_GoBack"/>
      <w:bookmarkEnd w:id="2"/>
      <w:r>
        <w:rPr>
          <w:sz w:val="22"/>
          <w:szCs w:val="22"/>
        </w:rPr>
        <w:t>ection are that a breach</w:t>
      </w:r>
      <w:r w:rsidR="00E10359">
        <w:rPr>
          <w:sz w:val="22"/>
          <w:szCs w:val="22"/>
        </w:rPr>
        <w:t xml:space="preserve"> of legislative requirements has occurred with the Material Amendments No. 69 and No. 113 of the RSES. The Direction and appendices are currently on display from since the 20</w:t>
      </w:r>
      <w:r w:rsidR="00E10359" w:rsidRPr="00E10359">
        <w:rPr>
          <w:sz w:val="22"/>
          <w:szCs w:val="22"/>
          <w:vertAlign w:val="superscript"/>
        </w:rPr>
        <w:t>th</w:t>
      </w:r>
      <w:r w:rsidR="00E10359">
        <w:rPr>
          <w:sz w:val="22"/>
          <w:szCs w:val="22"/>
        </w:rPr>
        <w:t xml:space="preserve"> August 2019 to Monday 2</w:t>
      </w:r>
      <w:r w:rsidR="00E10359" w:rsidRPr="00E10359">
        <w:rPr>
          <w:sz w:val="22"/>
          <w:szCs w:val="22"/>
          <w:vertAlign w:val="superscript"/>
        </w:rPr>
        <w:t>nd</w:t>
      </w:r>
      <w:r w:rsidR="00E10359">
        <w:rPr>
          <w:sz w:val="22"/>
          <w:szCs w:val="22"/>
        </w:rPr>
        <w:t xml:space="preserve"> August 2019.</w:t>
      </w:r>
    </w:p>
    <w:p w14:paraId="38C8881C" w14:textId="77777777" w:rsidR="00F44E03" w:rsidRDefault="00F44E03" w:rsidP="00572917">
      <w:pPr>
        <w:pStyle w:val="Default"/>
        <w:jc w:val="both"/>
        <w:rPr>
          <w:sz w:val="22"/>
          <w:szCs w:val="22"/>
        </w:rPr>
      </w:pPr>
    </w:p>
    <w:p w14:paraId="5C984461" w14:textId="2B302A51" w:rsidR="00572917" w:rsidRDefault="00E96B2C" w:rsidP="00572917">
      <w:pPr>
        <w:pStyle w:val="Default"/>
        <w:jc w:val="both"/>
        <w:rPr>
          <w:sz w:val="22"/>
          <w:szCs w:val="22"/>
        </w:rPr>
      </w:pPr>
      <w:r>
        <w:rPr>
          <w:sz w:val="22"/>
          <w:szCs w:val="22"/>
        </w:rPr>
        <w:t>Alongside the adopt</w:t>
      </w:r>
      <w:r w:rsidR="00BF00C4">
        <w:rPr>
          <w:sz w:val="22"/>
          <w:szCs w:val="22"/>
        </w:rPr>
        <w:t>ion</w:t>
      </w:r>
      <w:r>
        <w:rPr>
          <w:sz w:val="22"/>
          <w:szCs w:val="22"/>
        </w:rPr>
        <w:t xml:space="preserve"> of the RSES, the</w:t>
      </w:r>
      <w:r w:rsidR="00572917" w:rsidRPr="009C7120">
        <w:rPr>
          <w:sz w:val="22"/>
          <w:szCs w:val="22"/>
        </w:rPr>
        <w:t xml:space="preserve"> Department </w:t>
      </w:r>
      <w:r w:rsidR="00572917">
        <w:rPr>
          <w:sz w:val="22"/>
          <w:szCs w:val="22"/>
        </w:rPr>
        <w:t xml:space="preserve">of Housing Planning and Local Government </w:t>
      </w:r>
      <w:r>
        <w:rPr>
          <w:sz w:val="22"/>
          <w:szCs w:val="22"/>
        </w:rPr>
        <w:t xml:space="preserve">has put in place </w:t>
      </w:r>
      <w:r w:rsidR="00572917" w:rsidRPr="009C7120">
        <w:rPr>
          <w:sz w:val="22"/>
          <w:szCs w:val="22"/>
        </w:rPr>
        <w:t xml:space="preserve">a mechanism to ensure: </w:t>
      </w:r>
    </w:p>
    <w:p w14:paraId="58841953" w14:textId="77777777" w:rsidR="00572917" w:rsidRPr="009C7120" w:rsidRDefault="00572917" w:rsidP="00572917">
      <w:pPr>
        <w:pStyle w:val="Default"/>
        <w:jc w:val="both"/>
        <w:rPr>
          <w:sz w:val="22"/>
          <w:szCs w:val="22"/>
        </w:rPr>
      </w:pPr>
    </w:p>
    <w:p w14:paraId="5ECC680E" w14:textId="77777777" w:rsidR="00572917" w:rsidRPr="009C7120" w:rsidRDefault="00572917" w:rsidP="00572917">
      <w:pPr>
        <w:pStyle w:val="Default"/>
        <w:spacing w:after="58"/>
        <w:jc w:val="both"/>
        <w:rPr>
          <w:sz w:val="22"/>
          <w:szCs w:val="22"/>
        </w:rPr>
      </w:pPr>
      <w:r w:rsidRPr="009C7120">
        <w:rPr>
          <w:sz w:val="22"/>
          <w:szCs w:val="22"/>
        </w:rPr>
        <w:t xml:space="preserve">a) Local Authority Development Plan review processes underway within the RSES finalisation period could be paused until such time as they could benefit from the latest data and policy contexts from the RSES; and </w:t>
      </w:r>
    </w:p>
    <w:p w14:paraId="62C0D84C" w14:textId="77777777" w:rsidR="00572917" w:rsidRPr="009C7120" w:rsidRDefault="00572917" w:rsidP="00572917">
      <w:pPr>
        <w:pStyle w:val="Default"/>
        <w:jc w:val="both"/>
        <w:rPr>
          <w:sz w:val="22"/>
          <w:szCs w:val="22"/>
        </w:rPr>
      </w:pPr>
      <w:r w:rsidRPr="009C7120">
        <w:rPr>
          <w:sz w:val="22"/>
          <w:szCs w:val="22"/>
        </w:rPr>
        <w:lastRenderedPageBreak/>
        <w:t xml:space="preserve">b) Recently adopted plans, which ordinarily last for six years, would be brought forward for review or variation. </w:t>
      </w:r>
    </w:p>
    <w:p w14:paraId="1B36B514" w14:textId="77777777" w:rsidR="00572917" w:rsidRPr="009C7120" w:rsidRDefault="00572917" w:rsidP="00572917">
      <w:pPr>
        <w:pStyle w:val="Default"/>
        <w:jc w:val="both"/>
        <w:rPr>
          <w:sz w:val="22"/>
          <w:szCs w:val="22"/>
        </w:rPr>
      </w:pPr>
    </w:p>
    <w:p w14:paraId="1CCD6F19" w14:textId="77777777" w:rsidR="00572917" w:rsidRDefault="00572917" w:rsidP="00572917">
      <w:pPr>
        <w:pStyle w:val="Default"/>
        <w:jc w:val="both"/>
        <w:rPr>
          <w:sz w:val="22"/>
          <w:szCs w:val="22"/>
        </w:rPr>
      </w:pPr>
      <w:r w:rsidRPr="009C7120">
        <w:rPr>
          <w:sz w:val="22"/>
          <w:szCs w:val="22"/>
        </w:rPr>
        <w:t xml:space="preserve">Both of the above mechanisms are intended to ensure that there is an efficient and effective process of alignment between all the levels of spatial planning in our planning process, from national to regional and to local. </w:t>
      </w:r>
    </w:p>
    <w:p w14:paraId="102BD9B7" w14:textId="77777777" w:rsidR="00572917" w:rsidRPr="009C7120" w:rsidRDefault="00572917" w:rsidP="00572917">
      <w:pPr>
        <w:pStyle w:val="Default"/>
        <w:jc w:val="both"/>
        <w:rPr>
          <w:sz w:val="22"/>
          <w:szCs w:val="22"/>
        </w:rPr>
      </w:pPr>
    </w:p>
    <w:p w14:paraId="7D4C0DD4" w14:textId="77777777" w:rsidR="00572917" w:rsidRPr="009A7E19" w:rsidRDefault="00572917" w:rsidP="00572917">
      <w:pPr>
        <w:pStyle w:val="Default"/>
        <w:jc w:val="both"/>
        <w:rPr>
          <w:color w:val="000000" w:themeColor="text1"/>
          <w:sz w:val="22"/>
          <w:szCs w:val="22"/>
        </w:rPr>
      </w:pPr>
      <w:r w:rsidRPr="009A7E19">
        <w:rPr>
          <w:color w:val="000000" w:themeColor="text1"/>
          <w:sz w:val="22"/>
          <w:szCs w:val="22"/>
        </w:rPr>
        <w:t xml:space="preserve">Therefore, additional legislative provisions have been made under Section 11(1) of the Planning and Development (Amendment) Act 2018 which included provisions for the initiation of review of City/County Development Plans to be: </w:t>
      </w:r>
    </w:p>
    <w:p w14:paraId="69BB81BD" w14:textId="77777777" w:rsidR="00572917" w:rsidRPr="00D13AA6" w:rsidRDefault="00572917" w:rsidP="00572917">
      <w:pPr>
        <w:pStyle w:val="Default"/>
        <w:jc w:val="both"/>
        <w:rPr>
          <w:sz w:val="22"/>
          <w:szCs w:val="22"/>
        </w:rPr>
      </w:pPr>
    </w:p>
    <w:p w14:paraId="596D1616" w14:textId="77777777" w:rsidR="00572917" w:rsidRPr="009C7120" w:rsidRDefault="00572917" w:rsidP="00572917">
      <w:pPr>
        <w:pStyle w:val="Default"/>
        <w:spacing w:after="58"/>
        <w:jc w:val="both"/>
        <w:rPr>
          <w:sz w:val="22"/>
          <w:szCs w:val="22"/>
        </w:rPr>
      </w:pPr>
      <w:r w:rsidRPr="009C7120">
        <w:rPr>
          <w:sz w:val="22"/>
          <w:szCs w:val="22"/>
        </w:rPr>
        <w:t xml:space="preserve">i. Deferred on a once-off basis, where due to commence prior to or within a period of 3 months after the initial making of the relevant RSES, until not later than a period of 3 months after the relevant RSES has been made; </w:t>
      </w:r>
    </w:p>
    <w:p w14:paraId="48F52F72" w14:textId="77777777" w:rsidR="00572917" w:rsidRPr="009C7120" w:rsidRDefault="00572917" w:rsidP="00572917">
      <w:pPr>
        <w:pStyle w:val="Default"/>
        <w:jc w:val="both"/>
        <w:rPr>
          <w:sz w:val="22"/>
          <w:szCs w:val="22"/>
        </w:rPr>
      </w:pPr>
      <w:r w:rsidRPr="009C7120">
        <w:rPr>
          <w:sz w:val="22"/>
          <w:szCs w:val="22"/>
        </w:rPr>
        <w:t xml:space="preserve">ii. Temporarily suspended, where commenced and ongoing and where a draft plan has not been submitted to the members of the Planning Authority under Section 11(5)(a) of the Act, prior to the initial making of the relevant RSES in each case, until not later than a period of 3 months after the relevant RSES has been made; </w:t>
      </w:r>
    </w:p>
    <w:p w14:paraId="012A0002" w14:textId="77777777" w:rsidR="00572917" w:rsidRPr="009C7120" w:rsidRDefault="00572917" w:rsidP="00572917">
      <w:pPr>
        <w:pStyle w:val="Default"/>
        <w:jc w:val="both"/>
        <w:rPr>
          <w:sz w:val="22"/>
          <w:szCs w:val="22"/>
        </w:rPr>
      </w:pPr>
      <w:r w:rsidRPr="009C7120">
        <w:rPr>
          <w:sz w:val="22"/>
          <w:szCs w:val="22"/>
        </w:rPr>
        <w:t xml:space="preserve">iii. Rendered consistent with the RSES, either through (a) a variation of the Development Plan or (b) if considered more appropriate, a full review, to commence within a maximum period of 6 months after the making of the relevant RSES. </w:t>
      </w:r>
    </w:p>
    <w:p w14:paraId="434F0D2A" w14:textId="77777777" w:rsidR="00572917" w:rsidRDefault="00572917" w:rsidP="00572917">
      <w:pPr>
        <w:pStyle w:val="Default"/>
        <w:jc w:val="both"/>
        <w:rPr>
          <w:sz w:val="22"/>
          <w:szCs w:val="22"/>
        </w:rPr>
      </w:pPr>
    </w:p>
    <w:p w14:paraId="4AB8E631" w14:textId="77777777" w:rsidR="00572917" w:rsidRDefault="00572917" w:rsidP="00572917">
      <w:pPr>
        <w:pStyle w:val="Default"/>
        <w:jc w:val="both"/>
        <w:rPr>
          <w:sz w:val="22"/>
          <w:szCs w:val="22"/>
        </w:rPr>
      </w:pPr>
      <w:r w:rsidRPr="009C7120">
        <w:rPr>
          <w:sz w:val="22"/>
          <w:szCs w:val="22"/>
        </w:rPr>
        <w:t xml:space="preserve">The above means that most, if not all City/County Development Plans will be subject to review during 2019/21, so that they are broadly aligned to address a six-year period to 2026/27. It should be noted that this will also tie-in with the intercensal period from 2021-2026. </w:t>
      </w:r>
    </w:p>
    <w:p w14:paraId="0D3EED2C" w14:textId="57297A71" w:rsidR="005245D2" w:rsidRDefault="005245D2" w:rsidP="005245D2">
      <w:pPr>
        <w:rPr>
          <w:lang w:val="en-GB"/>
        </w:rPr>
      </w:pPr>
    </w:p>
    <w:p w14:paraId="7086F1BE" w14:textId="54C6F048" w:rsidR="00F06E8F" w:rsidRPr="002557CB" w:rsidRDefault="00F06E8F" w:rsidP="002557CB">
      <w:pPr>
        <w:pStyle w:val="ListParagraph"/>
        <w:numPr>
          <w:ilvl w:val="0"/>
          <w:numId w:val="9"/>
        </w:numPr>
        <w:rPr>
          <w:b/>
          <w:bCs/>
          <w:sz w:val="24"/>
          <w:szCs w:val="24"/>
          <w:lang w:val="en-GB"/>
        </w:rPr>
      </w:pPr>
      <w:r w:rsidRPr="002557CB">
        <w:rPr>
          <w:b/>
          <w:bCs/>
          <w:sz w:val="24"/>
          <w:szCs w:val="24"/>
          <w:lang w:val="en-GB"/>
        </w:rPr>
        <w:t xml:space="preserve">The Proposal for Alignment with the NPF and the RSES </w:t>
      </w:r>
    </w:p>
    <w:p w14:paraId="76642D91" w14:textId="5774EC06" w:rsidR="00046572" w:rsidRDefault="00F06E8F" w:rsidP="002557CB">
      <w:pPr>
        <w:jc w:val="both"/>
      </w:pPr>
      <w:r>
        <w:rPr>
          <w:lang w:val="en-GB"/>
        </w:rPr>
        <w:t xml:space="preserve">As the </w:t>
      </w:r>
      <w:r w:rsidR="007B351E">
        <w:rPr>
          <w:lang w:val="en-GB"/>
        </w:rPr>
        <w:t>South Dublin County Council County Development Plan 2016-2022 (</w:t>
      </w:r>
      <w:r w:rsidR="00046572">
        <w:rPr>
          <w:lang w:val="en-GB"/>
        </w:rPr>
        <w:t>CDP</w:t>
      </w:r>
      <w:r w:rsidR="007B351E">
        <w:rPr>
          <w:lang w:val="en-GB"/>
        </w:rPr>
        <w:t>)</w:t>
      </w:r>
      <w:r w:rsidR="00046572">
        <w:rPr>
          <w:lang w:val="en-GB"/>
        </w:rPr>
        <w:t xml:space="preserve"> was only </w:t>
      </w:r>
      <w:r w:rsidR="00046572">
        <w:t xml:space="preserve">adopted in May 2016 and a deferral or suspension has not occurred option iii </w:t>
      </w:r>
      <w:r w:rsidR="002557CB">
        <w:t xml:space="preserve">above </w:t>
      </w:r>
      <w:r w:rsidR="00046572">
        <w:t xml:space="preserve">‘rendering the CDP </w:t>
      </w:r>
      <w:r w:rsidRPr="009C7120">
        <w:t>consistent with the RSES, either through (a) a variation of the Development Plan or (b) if considered more appropriate, a full review, to commence within a maximum period of 6 months after the making of the relevant RSES</w:t>
      </w:r>
      <w:r w:rsidR="00046572">
        <w:t>’ is the most relevant option for South Dublin County Council</w:t>
      </w:r>
      <w:r w:rsidRPr="009C7120">
        <w:t>.</w:t>
      </w:r>
    </w:p>
    <w:p w14:paraId="1AB0176B" w14:textId="7B9CFA31" w:rsidR="00046572" w:rsidRDefault="00046572" w:rsidP="00046572">
      <w:r>
        <w:t xml:space="preserve">Having carried out an analysis of the RSES and the CDP it is considered that the process for varying the CDP in accordance with </w:t>
      </w:r>
      <w:r w:rsidR="007B351E">
        <w:t>S</w:t>
      </w:r>
      <w:r>
        <w:t xml:space="preserve">ection 13 of the Planning and Development Act 2000 (as amended) is the most suitable option to achieve alignment with the NPF and RSES.  </w:t>
      </w:r>
    </w:p>
    <w:p w14:paraId="139B6DC6" w14:textId="74073FBB" w:rsidR="00F06E8F" w:rsidRPr="002557CB" w:rsidRDefault="002557CB" w:rsidP="002557CB">
      <w:pPr>
        <w:pStyle w:val="ListParagraph"/>
        <w:numPr>
          <w:ilvl w:val="0"/>
          <w:numId w:val="9"/>
        </w:numPr>
        <w:rPr>
          <w:b/>
          <w:bCs/>
          <w:sz w:val="24"/>
          <w:szCs w:val="24"/>
        </w:rPr>
      </w:pPr>
      <w:r w:rsidRPr="002557CB">
        <w:rPr>
          <w:b/>
          <w:bCs/>
          <w:sz w:val="24"/>
          <w:szCs w:val="24"/>
        </w:rPr>
        <w:t xml:space="preserve">Proposed </w:t>
      </w:r>
      <w:r w:rsidR="00046572" w:rsidRPr="002557CB">
        <w:rPr>
          <w:b/>
          <w:bCs/>
          <w:sz w:val="24"/>
          <w:szCs w:val="24"/>
        </w:rPr>
        <w:t>Variation Content</w:t>
      </w:r>
    </w:p>
    <w:p w14:paraId="53775EC9" w14:textId="6F4726E4" w:rsidR="00E96B2C" w:rsidRDefault="00E96B2C" w:rsidP="00F06E8F">
      <w:pPr>
        <w:jc w:val="both"/>
      </w:pPr>
      <w:r>
        <w:t>A</w:t>
      </w:r>
      <w:r w:rsidR="00E10359">
        <w:t>s discussed above, a</w:t>
      </w:r>
      <w:r>
        <w:t xml:space="preserve"> central issue in assessing whether a full review of </w:t>
      </w:r>
      <w:r w:rsidR="00E10359">
        <w:t>the CDP</w:t>
      </w:r>
      <w:r>
        <w:t xml:space="preserve"> should be commenced is an assessment of projected population growth as set out in the RSES. </w:t>
      </w:r>
      <w:r w:rsidR="00E10359">
        <w:t xml:space="preserve">It is </w:t>
      </w:r>
      <w:r w:rsidR="00E10359" w:rsidRPr="00E10359">
        <w:t>note</w:t>
      </w:r>
      <w:r w:rsidR="00E10359">
        <w:t>d</w:t>
      </w:r>
      <w:r w:rsidR="00E10359" w:rsidRPr="00E10359">
        <w:t xml:space="preserve"> that the SDCC CDP population forecast (Table 2 </w:t>
      </w:r>
      <w:r w:rsidR="00E10359">
        <w:t xml:space="preserve">of the CDP </w:t>
      </w:r>
      <w:r w:rsidR="00E10359" w:rsidRPr="00E10359">
        <w:t>refers) for 2022 of 310,851 falls within the population projections set out in the NPF and the RSES i.e. the low range for 2026 of 308,000 and the higher range of 314,000ppl.</w:t>
      </w:r>
    </w:p>
    <w:p w14:paraId="28E1F31F" w14:textId="38A2AA98" w:rsidR="00046572" w:rsidRDefault="00046572" w:rsidP="00F06E8F">
      <w:pPr>
        <w:jc w:val="both"/>
      </w:pPr>
      <w:r>
        <w:t xml:space="preserve">The analysis carried out of the RSES and CDP has identified that </w:t>
      </w:r>
      <w:r w:rsidR="00AE44B9">
        <w:t xml:space="preserve">there will be a number of minor text changes throughout the CDP document particularly where references are made to the </w:t>
      </w:r>
      <w:r w:rsidR="007B351E">
        <w:t xml:space="preserve">National Spatial Strategy 2002 and </w:t>
      </w:r>
      <w:r w:rsidR="00AE44B9">
        <w:t>Regional Planning Guidelines 2016-2022</w:t>
      </w:r>
      <w:r w:rsidR="007B351E">
        <w:t xml:space="preserve">. Changes include minor </w:t>
      </w:r>
      <w:r w:rsidR="00AE44B9">
        <w:t>amendments</w:t>
      </w:r>
      <w:r w:rsidR="007B351E">
        <w:t>/additions</w:t>
      </w:r>
      <w:r w:rsidR="00AE44B9">
        <w:t xml:space="preserve"> to</w:t>
      </w:r>
      <w:r w:rsidR="007B351E">
        <w:t xml:space="preserve"> a small number of </w:t>
      </w:r>
      <w:r w:rsidR="00AE44B9">
        <w:t xml:space="preserve">objectives throughout the plan with the vast majority of the variation relating to </w:t>
      </w:r>
      <w:r w:rsidR="003E5510">
        <w:t xml:space="preserve">minor </w:t>
      </w:r>
      <w:r w:rsidR="00AE44B9">
        <w:t xml:space="preserve">updates/amendments to the Core Strategy Table in order to ensure alignment with the population projections for the County. </w:t>
      </w:r>
    </w:p>
    <w:p w14:paraId="469138ED" w14:textId="39780435" w:rsidR="00AE44B9" w:rsidRDefault="00AE44B9" w:rsidP="007E30A6">
      <w:pPr>
        <w:jc w:val="both"/>
      </w:pPr>
      <w:r>
        <w:lastRenderedPageBreak/>
        <w:t xml:space="preserve">The following table provides a brief overview of the extent of works required in order to achieve alignment with the RSES/NPF. </w:t>
      </w:r>
    </w:p>
    <w:tbl>
      <w:tblPr>
        <w:tblW w:w="0" w:type="auto"/>
        <w:tblCellMar>
          <w:left w:w="0" w:type="dxa"/>
          <w:right w:w="0" w:type="dxa"/>
        </w:tblCellMar>
        <w:tblLook w:val="04A0" w:firstRow="1" w:lastRow="0" w:firstColumn="1" w:lastColumn="0" w:noHBand="0" w:noVBand="1"/>
      </w:tblPr>
      <w:tblGrid>
        <w:gridCol w:w="1009"/>
        <w:gridCol w:w="3801"/>
        <w:gridCol w:w="4196"/>
      </w:tblGrid>
      <w:tr w:rsidR="007E30A6" w14:paraId="063F0732" w14:textId="77777777" w:rsidTr="002557CB">
        <w:tc>
          <w:tcPr>
            <w:tcW w:w="1009"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6CE4CF29" w14:textId="77777777" w:rsidR="007E30A6" w:rsidRPr="002557CB" w:rsidRDefault="007E30A6">
            <w:pPr>
              <w:jc w:val="both"/>
              <w:rPr>
                <w:b/>
                <w:bCs/>
                <w:color w:val="FFFFFF" w:themeColor="background1"/>
              </w:rPr>
            </w:pPr>
            <w:r w:rsidRPr="002557CB">
              <w:rPr>
                <w:b/>
                <w:bCs/>
                <w:color w:val="FFFFFF" w:themeColor="background1"/>
              </w:rPr>
              <w:t xml:space="preserve">Chapter </w:t>
            </w:r>
          </w:p>
        </w:tc>
        <w:tc>
          <w:tcPr>
            <w:tcW w:w="3801"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0EC3CE6" w14:textId="77777777" w:rsidR="007E30A6" w:rsidRPr="002557CB" w:rsidRDefault="007E30A6">
            <w:pPr>
              <w:jc w:val="both"/>
              <w:rPr>
                <w:b/>
                <w:bCs/>
                <w:color w:val="FFFFFF" w:themeColor="background1"/>
              </w:rPr>
            </w:pPr>
            <w:r w:rsidRPr="002557CB">
              <w:rPr>
                <w:b/>
                <w:bCs/>
                <w:color w:val="FFFFFF" w:themeColor="background1"/>
              </w:rPr>
              <w:t xml:space="preserve">Title </w:t>
            </w:r>
          </w:p>
        </w:tc>
        <w:tc>
          <w:tcPr>
            <w:tcW w:w="419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1E917B4" w14:textId="01D07427" w:rsidR="007E30A6" w:rsidRPr="002557CB" w:rsidRDefault="007E30A6">
            <w:pPr>
              <w:jc w:val="both"/>
              <w:rPr>
                <w:b/>
                <w:bCs/>
                <w:color w:val="FFFFFF" w:themeColor="background1"/>
              </w:rPr>
            </w:pPr>
            <w:r w:rsidRPr="002557CB">
              <w:rPr>
                <w:b/>
                <w:bCs/>
                <w:color w:val="FFFFFF" w:themeColor="background1"/>
              </w:rPr>
              <w:t>Alignment Requirement</w:t>
            </w:r>
            <w:r w:rsidR="002557CB" w:rsidRPr="002557CB">
              <w:rPr>
                <w:b/>
                <w:bCs/>
                <w:color w:val="FFFFFF" w:themeColor="background1"/>
              </w:rPr>
              <w:t>/</w:t>
            </w:r>
            <w:r w:rsidRPr="002557CB">
              <w:rPr>
                <w:b/>
                <w:bCs/>
                <w:color w:val="FFFFFF" w:themeColor="background1"/>
              </w:rPr>
              <w:t>Overview</w:t>
            </w:r>
          </w:p>
        </w:tc>
      </w:tr>
      <w:tr w:rsidR="007E30A6" w14:paraId="1AC8EB86"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3C27C" w14:textId="77777777" w:rsidR="007E30A6" w:rsidRPr="007E30A6" w:rsidRDefault="007E30A6">
            <w:pPr>
              <w:jc w:val="both"/>
              <w:rPr>
                <w:sz w:val="20"/>
                <w:szCs w:val="20"/>
              </w:rPr>
            </w:pPr>
            <w:r w:rsidRPr="007E30A6">
              <w:rPr>
                <w:sz w:val="20"/>
                <w:szCs w:val="20"/>
              </w:rPr>
              <w:t>1</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1A48E72A" w14:textId="77777777" w:rsidR="007E30A6" w:rsidRPr="007E30A6" w:rsidRDefault="007E30A6">
            <w:pPr>
              <w:jc w:val="both"/>
              <w:rPr>
                <w:sz w:val="20"/>
                <w:szCs w:val="20"/>
              </w:rPr>
            </w:pPr>
            <w:r w:rsidRPr="007E30A6">
              <w:rPr>
                <w:sz w:val="20"/>
                <w:szCs w:val="20"/>
              </w:rPr>
              <w:t xml:space="preserve">Introduction and Core Strategy </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79D9011C"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p w14:paraId="150C7A9F"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Updates to population and housing tables</w:t>
            </w:r>
          </w:p>
        </w:tc>
      </w:tr>
      <w:tr w:rsidR="007E30A6" w14:paraId="1D227A89"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02B47" w14:textId="77777777" w:rsidR="007E30A6" w:rsidRPr="007E30A6" w:rsidRDefault="007E30A6">
            <w:pPr>
              <w:jc w:val="both"/>
              <w:rPr>
                <w:sz w:val="20"/>
                <w:szCs w:val="20"/>
              </w:rPr>
            </w:pPr>
            <w:r w:rsidRPr="007E30A6">
              <w:rPr>
                <w:sz w:val="20"/>
                <w:szCs w:val="20"/>
              </w:rPr>
              <w:t>2</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06891418" w14:textId="77777777" w:rsidR="007E30A6" w:rsidRPr="007E30A6" w:rsidRDefault="007E30A6">
            <w:pPr>
              <w:jc w:val="both"/>
              <w:rPr>
                <w:sz w:val="20"/>
                <w:szCs w:val="20"/>
              </w:rPr>
            </w:pPr>
            <w:r w:rsidRPr="007E30A6">
              <w:rPr>
                <w:sz w:val="20"/>
                <w:szCs w:val="20"/>
              </w:rPr>
              <w:t>Housing</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53D49344"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tc>
      </w:tr>
      <w:tr w:rsidR="007E30A6" w14:paraId="5F66E275"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3A3A6" w14:textId="77777777" w:rsidR="007E30A6" w:rsidRPr="007E30A6" w:rsidRDefault="007E30A6">
            <w:pPr>
              <w:jc w:val="both"/>
              <w:rPr>
                <w:sz w:val="20"/>
                <w:szCs w:val="20"/>
              </w:rPr>
            </w:pPr>
            <w:r w:rsidRPr="007E30A6">
              <w:rPr>
                <w:sz w:val="20"/>
                <w:szCs w:val="20"/>
              </w:rPr>
              <w:t>3</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4269F4E4" w14:textId="77777777" w:rsidR="007E30A6" w:rsidRPr="007E30A6" w:rsidRDefault="007E30A6">
            <w:pPr>
              <w:jc w:val="both"/>
              <w:rPr>
                <w:sz w:val="20"/>
                <w:szCs w:val="20"/>
              </w:rPr>
            </w:pPr>
            <w:r w:rsidRPr="007E30A6">
              <w:rPr>
                <w:sz w:val="20"/>
                <w:szCs w:val="20"/>
              </w:rPr>
              <w:t>Community Infrastructure</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75E4A3A5"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tc>
      </w:tr>
      <w:tr w:rsidR="007E30A6" w14:paraId="0DAC7CDD"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A838A" w14:textId="77777777" w:rsidR="007E30A6" w:rsidRPr="007E30A6" w:rsidRDefault="007E30A6">
            <w:pPr>
              <w:jc w:val="both"/>
              <w:rPr>
                <w:sz w:val="20"/>
                <w:szCs w:val="20"/>
              </w:rPr>
            </w:pPr>
            <w:r w:rsidRPr="007E30A6">
              <w:rPr>
                <w:sz w:val="20"/>
                <w:szCs w:val="20"/>
              </w:rPr>
              <w:t>4</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73650139" w14:textId="77777777" w:rsidR="007E30A6" w:rsidRPr="007E30A6" w:rsidRDefault="007E30A6">
            <w:pPr>
              <w:jc w:val="both"/>
              <w:rPr>
                <w:sz w:val="20"/>
                <w:szCs w:val="20"/>
              </w:rPr>
            </w:pPr>
            <w:r w:rsidRPr="007E30A6">
              <w:rPr>
                <w:sz w:val="20"/>
                <w:szCs w:val="20"/>
              </w:rPr>
              <w:t>Economic Development and Tourism</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04ECDB7A"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tc>
      </w:tr>
      <w:tr w:rsidR="007E30A6" w14:paraId="44AD389D"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EDDD6" w14:textId="77777777" w:rsidR="007E30A6" w:rsidRPr="007E30A6" w:rsidRDefault="007E30A6">
            <w:pPr>
              <w:jc w:val="both"/>
              <w:rPr>
                <w:sz w:val="20"/>
                <w:szCs w:val="20"/>
              </w:rPr>
            </w:pPr>
            <w:r w:rsidRPr="007E30A6">
              <w:rPr>
                <w:sz w:val="20"/>
                <w:szCs w:val="20"/>
              </w:rPr>
              <w:t>5</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5FD13361" w14:textId="77777777" w:rsidR="007E30A6" w:rsidRPr="007E30A6" w:rsidRDefault="007E30A6">
            <w:pPr>
              <w:jc w:val="both"/>
              <w:rPr>
                <w:sz w:val="20"/>
                <w:szCs w:val="20"/>
              </w:rPr>
            </w:pPr>
            <w:r w:rsidRPr="007E30A6">
              <w:rPr>
                <w:sz w:val="20"/>
                <w:szCs w:val="20"/>
              </w:rPr>
              <w:t>Urban Centres and Retailing</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77AD0BDE"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tc>
      </w:tr>
      <w:tr w:rsidR="007E30A6" w14:paraId="6163889A"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1A757" w14:textId="77777777" w:rsidR="007E30A6" w:rsidRPr="007E30A6" w:rsidRDefault="007E30A6">
            <w:pPr>
              <w:jc w:val="both"/>
              <w:rPr>
                <w:sz w:val="20"/>
                <w:szCs w:val="20"/>
              </w:rPr>
            </w:pPr>
            <w:r w:rsidRPr="007E30A6">
              <w:rPr>
                <w:sz w:val="20"/>
                <w:szCs w:val="20"/>
              </w:rPr>
              <w:t>6</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715D994E" w14:textId="77777777" w:rsidR="007E30A6" w:rsidRPr="007E30A6" w:rsidRDefault="007E30A6">
            <w:pPr>
              <w:jc w:val="both"/>
              <w:rPr>
                <w:sz w:val="20"/>
                <w:szCs w:val="20"/>
              </w:rPr>
            </w:pPr>
            <w:r w:rsidRPr="007E30A6">
              <w:rPr>
                <w:sz w:val="20"/>
                <w:szCs w:val="20"/>
              </w:rPr>
              <w:t>Transport and Mobility</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2ECF4A56"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tc>
      </w:tr>
      <w:tr w:rsidR="007E30A6" w14:paraId="584E3F24"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C6119" w14:textId="77777777" w:rsidR="007E30A6" w:rsidRPr="007E30A6" w:rsidRDefault="007E30A6">
            <w:pPr>
              <w:jc w:val="both"/>
              <w:rPr>
                <w:sz w:val="20"/>
                <w:szCs w:val="20"/>
              </w:rPr>
            </w:pPr>
            <w:r w:rsidRPr="007E30A6">
              <w:rPr>
                <w:sz w:val="20"/>
                <w:szCs w:val="20"/>
              </w:rPr>
              <w:t>7</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38A5DE2A" w14:textId="77777777" w:rsidR="007E30A6" w:rsidRPr="007E30A6" w:rsidRDefault="007E30A6">
            <w:pPr>
              <w:jc w:val="both"/>
              <w:rPr>
                <w:sz w:val="20"/>
                <w:szCs w:val="20"/>
              </w:rPr>
            </w:pPr>
            <w:r w:rsidRPr="007E30A6">
              <w:rPr>
                <w:sz w:val="20"/>
                <w:szCs w:val="20"/>
              </w:rPr>
              <w:t>Infrastructure and Environmental Quality</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4E48C22E"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tc>
      </w:tr>
      <w:tr w:rsidR="007E30A6" w14:paraId="085B3D49"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93F83" w14:textId="77777777" w:rsidR="007E30A6" w:rsidRPr="007E30A6" w:rsidRDefault="007E30A6">
            <w:pPr>
              <w:jc w:val="both"/>
              <w:rPr>
                <w:sz w:val="20"/>
                <w:szCs w:val="20"/>
              </w:rPr>
            </w:pPr>
            <w:r w:rsidRPr="007E30A6">
              <w:rPr>
                <w:sz w:val="20"/>
                <w:szCs w:val="20"/>
              </w:rPr>
              <w:t>8</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456672F6" w14:textId="77777777" w:rsidR="007E30A6" w:rsidRPr="007E30A6" w:rsidRDefault="007E30A6">
            <w:pPr>
              <w:jc w:val="both"/>
              <w:rPr>
                <w:sz w:val="20"/>
                <w:szCs w:val="20"/>
              </w:rPr>
            </w:pPr>
            <w:r w:rsidRPr="007E30A6">
              <w:rPr>
                <w:sz w:val="20"/>
                <w:szCs w:val="20"/>
              </w:rPr>
              <w:t>Green Infrastructure</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06551034"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No Changes envisaged</w:t>
            </w:r>
          </w:p>
        </w:tc>
      </w:tr>
      <w:tr w:rsidR="007E30A6" w14:paraId="12E74B50"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ADB4F" w14:textId="77777777" w:rsidR="007E30A6" w:rsidRPr="007E30A6" w:rsidRDefault="007E30A6">
            <w:pPr>
              <w:jc w:val="both"/>
              <w:rPr>
                <w:sz w:val="20"/>
                <w:szCs w:val="20"/>
              </w:rPr>
            </w:pPr>
            <w:r w:rsidRPr="007E30A6">
              <w:rPr>
                <w:sz w:val="20"/>
                <w:szCs w:val="20"/>
              </w:rPr>
              <w:t>9</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65CC2B9B" w14:textId="77777777" w:rsidR="007E30A6" w:rsidRPr="007E30A6" w:rsidRDefault="007E30A6">
            <w:pPr>
              <w:jc w:val="both"/>
              <w:rPr>
                <w:sz w:val="20"/>
                <w:szCs w:val="20"/>
              </w:rPr>
            </w:pPr>
            <w:r w:rsidRPr="007E30A6">
              <w:rPr>
                <w:sz w:val="20"/>
                <w:szCs w:val="20"/>
              </w:rPr>
              <w:t>Heritage, Conservation &amp; Landscape</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64B1C534"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No Changes envisaged</w:t>
            </w:r>
          </w:p>
        </w:tc>
      </w:tr>
      <w:tr w:rsidR="007E30A6" w14:paraId="2787B3A3"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0F35C" w14:textId="77777777" w:rsidR="007E30A6" w:rsidRPr="007E30A6" w:rsidRDefault="007E30A6">
            <w:pPr>
              <w:jc w:val="both"/>
              <w:rPr>
                <w:sz w:val="20"/>
                <w:szCs w:val="20"/>
              </w:rPr>
            </w:pPr>
            <w:r w:rsidRPr="007E30A6">
              <w:rPr>
                <w:sz w:val="20"/>
                <w:szCs w:val="20"/>
              </w:rPr>
              <w:t>10</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2CC4EC36" w14:textId="77777777" w:rsidR="007E30A6" w:rsidRPr="007E30A6" w:rsidRDefault="007E30A6">
            <w:pPr>
              <w:jc w:val="both"/>
              <w:rPr>
                <w:sz w:val="20"/>
                <w:szCs w:val="20"/>
              </w:rPr>
            </w:pPr>
            <w:r w:rsidRPr="007E30A6">
              <w:rPr>
                <w:sz w:val="20"/>
                <w:szCs w:val="20"/>
              </w:rPr>
              <w:t>Energy</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19A69AA7" w14:textId="77777777" w:rsidR="007E30A6" w:rsidRPr="007E30A6" w:rsidRDefault="007E30A6" w:rsidP="007E30A6">
            <w:pPr>
              <w:pStyle w:val="ListParagraph"/>
              <w:numPr>
                <w:ilvl w:val="0"/>
                <w:numId w:val="7"/>
              </w:numPr>
              <w:jc w:val="both"/>
              <w:rPr>
                <w:rFonts w:eastAsia="Times New Roman"/>
                <w:sz w:val="20"/>
                <w:szCs w:val="20"/>
              </w:rPr>
            </w:pPr>
            <w:r w:rsidRPr="007E30A6">
              <w:rPr>
                <w:rFonts w:eastAsia="Times New Roman"/>
                <w:sz w:val="20"/>
                <w:szCs w:val="20"/>
              </w:rPr>
              <w:t>Minor text changes/updates</w:t>
            </w:r>
          </w:p>
        </w:tc>
      </w:tr>
      <w:tr w:rsidR="007E30A6" w14:paraId="224EDCCE" w14:textId="77777777" w:rsidTr="002557CB">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C2F" w14:textId="77777777" w:rsidR="007E30A6" w:rsidRPr="007E30A6" w:rsidRDefault="007E30A6">
            <w:pPr>
              <w:jc w:val="both"/>
              <w:rPr>
                <w:sz w:val="20"/>
                <w:szCs w:val="20"/>
              </w:rPr>
            </w:pPr>
            <w:r w:rsidRPr="007E30A6">
              <w:rPr>
                <w:sz w:val="20"/>
                <w:szCs w:val="20"/>
              </w:rPr>
              <w:t>11</w:t>
            </w:r>
          </w:p>
        </w:tc>
        <w:tc>
          <w:tcPr>
            <w:tcW w:w="3801" w:type="dxa"/>
            <w:tcBorders>
              <w:top w:val="nil"/>
              <w:left w:val="nil"/>
              <w:bottom w:val="single" w:sz="8" w:space="0" w:color="auto"/>
              <w:right w:val="single" w:sz="8" w:space="0" w:color="auto"/>
            </w:tcBorders>
            <w:tcMar>
              <w:top w:w="0" w:type="dxa"/>
              <w:left w:w="108" w:type="dxa"/>
              <w:bottom w:w="0" w:type="dxa"/>
              <w:right w:w="108" w:type="dxa"/>
            </w:tcMar>
            <w:hideMark/>
          </w:tcPr>
          <w:p w14:paraId="458E63FE" w14:textId="77777777" w:rsidR="007E30A6" w:rsidRPr="007E30A6" w:rsidRDefault="007E30A6">
            <w:pPr>
              <w:jc w:val="both"/>
              <w:rPr>
                <w:sz w:val="20"/>
                <w:szCs w:val="20"/>
              </w:rPr>
            </w:pPr>
            <w:r w:rsidRPr="007E30A6">
              <w:rPr>
                <w:sz w:val="20"/>
                <w:szCs w:val="20"/>
              </w:rPr>
              <w:t>Implementation</w:t>
            </w:r>
          </w:p>
        </w:tc>
        <w:tc>
          <w:tcPr>
            <w:tcW w:w="4196" w:type="dxa"/>
            <w:tcBorders>
              <w:top w:val="nil"/>
              <w:left w:val="nil"/>
              <w:bottom w:val="single" w:sz="8" w:space="0" w:color="auto"/>
              <w:right w:val="single" w:sz="8" w:space="0" w:color="auto"/>
            </w:tcBorders>
            <w:tcMar>
              <w:top w:w="0" w:type="dxa"/>
              <w:left w:w="108" w:type="dxa"/>
              <w:bottom w:w="0" w:type="dxa"/>
              <w:right w:w="108" w:type="dxa"/>
            </w:tcMar>
            <w:hideMark/>
          </w:tcPr>
          <w:p w14:paraId="029ED49A" w14:textId="77777777" w:rsidR="007E30A6" w:rsidRPr="007E30A6" w:rsidRDefault="007E30A6" w:rsidP="007E30A6">
            <w:pPr>
              <w:pStyle w:val="ListParagraph"/>
              <w:numPr>
                <w:ilvl w:val="0"/>
                <w:numId w:val="8"/>
              </w:numPr>
              <w:jc w:val="both"/>
              <w:rPr>
                <w:rFonts w:eastAsia="Times New Roman"/>
                <w:sz w:val="20"/>
                <w:szCs w:val="20"/>
              </w:rPr>
            </w:pPr>
            <w:r w:rsidRPr="007E30A6">
              <w:rPr>
                <w:rFonts w:eastAsia="Times New Roman"/>
                <w:sz w:val="20"/>
                <w:szCs w:val="20"/>
              </w:rPr>
              <w:t>No Changes envisaged</w:t>
            </w:r>
          </w:p>
        </w:tc>
      </w:tr>
    </w:tbl>
    <w:p w14:paraId="4C462DA2" w14:textId="113359DE" w:rsidR="007E30A6" w:rsidRPr="007E30A6" w:rsidRDefault="007E30A6" w:rsidP="007E30A6">
      <w:pPr>
        <w:jc w:val="both"/>
        <w:rPr>
          <w:b/>
          <w:bCs/>
          <w:i/>
          <w:iCs/>
          <w:color w:val="4472C4" w:themeColor="accent1"/>
          <w:sz w:val="20"/>
          <w:szCs w:val="20"/>
        </w:rPr>
      </w:pPr>
      <w:r w:rsidRPr="007E30A6">
        <w:rPr>
          <w:b/>
          <w:bCs/>
          <w:i/>
          <w:iCs/>
          <w:color w:val="4472C4" w:themeColor="accent1"/>
          <w:sz w:val="20"/>
          <w:szCs w:val="20"/>
        </w:rPr>
        <w:t>Table 1: Variation Overview</w:t>
      </w:r>
    </w:p>
    <w:p w14:paraId="1CA9D063" w14:textId="77777777" w:rsidR="002557CB" w:rsidRDefault="002557CB" w:rsidP="00415CAB">
      <w:pPr>
        <w:rPr>
          <w:b/>
          <w:bCs/>
        </w:rPr>
      </w:pPr>
    </w:p>
    <w:p w14:paraId="1DA5EFB4" w14:textId="77777777" w:rsidR="002557CB" w:rsidRDefault="002557CB" w:rsidP="00415CAB">
      <w:pPr>
        <w:rPr>
          <w:b/>
          <w:bCs/>
        </w:rPr>
      </w:pPr>
    </w:p>
    <w:p w14:paraId="290740D8" w14:textId="0931A3D4" w:rsidR="00415CAB" w:rsidRPr="002557CB" w:rsidRDefault="00415CAB" w:rsidP="002557CB">
      <w:pPr>
        <w:pStyle w:val="ListParagraph"/>
        <w:numPr>
          <w:ilvl w:val="0"/>
          <w:numId w:val="9"/>
        </w:numPr>
        <w:rPr>
          <w:b/>
          <w:bCs/>
          <w:sz w:val="24"/>
          <w:szCs w:val="24"/>
        </w:rPr>
      </w:pPr>
      <w:r w:rsidRPr="002557CB">
        <w:rPr>
          <w:b/>
          <w:bCs/>
          <w:sz w:val="24"/>
          <w:szCs w:val="24"/>
        </w:rPr>
        <w:t>Variation Timeframe</w:t>
      </w:r>
    </w:p>
    <w:p w14:paraId="27D26E86" w14:textId="790011F5" w:rsidR="00415CAB" w:rsidRPr="00415CAB" w:rsidRDefault="00415CAB" w:rsidP="00415CAB">
      <w:pPr>
        <w:rPr>
          <w:color w:val="000000" w:themeColor="text1"/>
        </w:rPr>
      </w:pPr>
      <w:bookmarkStart w:id="3" w:name="_Hlk17894403"/>
      <w:r>
        <w:rPr>
          <w:color w:val="000000" w:themeColor="text1"/>
        </w:rPr>
        <w:t xml:space="preserve">Figure 1 below </w:t>
      </w:r>
      <w:r w:rsidRPr="00415CAB">
        <w:rPr>
          <w:color w:val="000000" w:themeColor="text1"/>
        </w:rPr>
        <w:t>outlines the 4 stage</w:t>
      </w:r>
      <w:r>
        <w:rPr>
          <w:color w:val="000000" w:themeColor="text1"/>
        </w:rPr>
        <w:t>s</w:t>
      </w:r>
      <w:r w:rsidRPr="00415CAB">
        <w:rPr>
          <w:color w:val="000000" w:themeColor="text1"/>
        </w:rPr>
        <w:t xml:space="preserve"> </w:t>
      </w:r>
      <w:r>
        <w:rPr>
          <w:color w:val="000000" w:themeColor="text1"/>
        </w:rPr>
        <w:t xml:space="preserve">for completing the </w:t>
      </w:r>
      <w:r w:rsidRPr="00415CAB">
        <w:rPr>
          <w:color w:val="000000" w:themeColor="text1"/>
        </w:rPr>
        <w:t>variation process</w:t>
      </w:r>
      <w:r>
        <w:rPr>
          <w:color w:val="000000" w:themeColor="text1"/>
        </w:rPr>
        <w:t xml:space="preserve"> in accordance with </w:t>
      </w:r>
      <w:r w:rsidR="007B351E">
        <w:t>S</w:t>
      </w:r>
      <w:r>
        <w:t>ection 13 of the Planning and Development Act 2000 (as amended)</w:t>
      </w:r>
      <w:r w:rsidR="007E30A6">
        <w:t xml:space="preserve">. It is envisaged that the variation will be completed over a period of 9 weeks. </w:t>
      </w:r>
    </w:p>
    <w:p w14:paraId="4973E0A3" w14:textId="77777777" w:rsidR="00415CAB" w:rsidRPr="00046572" w:rsidRDefault="00415CAB" w:rsidP="00415CAB">
      <w:pPr>
        <w:rPr>
          <w:b/>
          <w:bCs/>
        </w:rPr>
      </w:pPr>
    </w:p>
    <w:p w14:paraId="6D4B1EB5" w14:textId="5D854E64" w:rsidR="00572917" w:rsidRDefault="003E5510" w:rsidP="005245D2">
      <w:pPr>
        <w:rPr>
          <w:lang w:val="en-GB"/>
        </w:rPr>
      </w:pPr>
      <w:r>
        <w:rPr>
          <w:noProof/>
        </w:rPr>
        <w:drawing>
          <wp:anchor distT="0" distB="0" distL="114300" distR="114300" simplePos="0" relativeHeight="251660288" behindDoc="0" locked="0" layoutInCell="1" allowOverlap="1" wp14:anchorId="76F37CEF" wp14:editId="2D6095C9">
            <wp:simplePos x="0" y="0"/>
            <wp:positionH relativeFrom="margin">
              <wp:posOffset>-267419</wp:posOffset>
            </wp:positionH>
            <wp:positionV relativeFrom="paragraph">
              <wp:posOffset>498331</wp:posOffset>
            </wp:positionV>
            <wp:extent cx="6323162" cy="1492250"/>
            <wp:effectExtent l="0" t="342900" r="0" b="35560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E1D3CCD" w14:textId="22B26296" w:rsidR="007E30A6" w:rsidRPr="007E30A6" w:rsidRDefault="007E30A6" w:rsidP="007E30A6">
      <w:pPr>
        <w:rPr>
          <w:lang w:val="en-GB"/>
        </w:rPr>
      </w:pPr>
    </w:p>
    <w:p w14:paraId="307CCD5D" w14:textId="3EDF3D74" w:rsidR="007E30A6" w:rsidRPr="007E30A6" w:rsidRDefault="007E30A6" w:rsidP="007E30A6">
      <w:pPr>
        <w:rPr>
          <w:lang w:val="en-GB"/>
        </w:rPr>
      </w:pPr>
    </w:p>
    <w:p w14:paraId="15456EB9" w14:textId="23B5720C" w:rsidR="007E30A6" w:rsidRPr="007E30A6" w:rsidRDefault="007E30A6" w:rsidP="007E30A6">
      <w:pPr>
        <w:rPr>
          <w:lang w:val="en-GB"/>
        </w:rPr>
      </w:pPr>
    </w:p>
    <w:p w14:paraId="02E4EABD" w14:textId="230E06DD" w:rsidR="007E30A6" w:rsidRPr="007E30A6" w:rsidRDefault="007E30A6" w:rsidP="007E30A6">
      <w:pPr>
        <w:rPr>
          <w:lang w:val="en-GB"/>
        </w:rPr>
      </w:pPr>
    </w:p>
    <w:p w14:paraId="6C2A1A96" w14:textId="264AD638" w:rsidR="007E30A6" w:rsidRPr="007E30A6" w:rsidRDefault="007E30A6" w:rsidP="007E30A6">
      <w:pPr>
        <w:rPr>
          <w:lang w:val="en-GB"/>
        </w:rPr>
      </w:pPr>
    </w:p>
    <w:p w14:paraId="2008E136" w14:textId="0FB4974F" w:rsidR="007E30A6" w:rsidRPr="007E30A6" w:rsidRDefault="007E30A6" w:rsidP="007E30A6">
      <w:pPr>
        <w:rPr>
          <w:lang w:val="en-GB"/>
        </w:rPr>
      </w:pPr>
    </w:p>
    <w:p w14:paraId="1E1D5824" w14:textId="66CB1785" w:rsidR="007E30A6" w:rsidRPr="007E30A6" w:rsidRDefault="007E30A6" w:rsidP="007E30A6">
      <w:pPr>
        <w:rPr>
          <w:lang w:val="en-GB"/>
        </w:rPr>
      </w:pPr>
    </w:p>
    <w:p w14:paraId="18523D3C" w14:textId="2603DA33" w:rsidR="007E30A6" w:rsidRPr="007E30A6" w:rsidRDefault="007E30A6" w:rsidP="007E30A6">
      <w:pPr>
        <w:rPr>
          <w:lang w:val="en-GB"/>
        </w:rPr>
      </w:pPr>
    </w:p>
    <w:bookmarkEnd w:id="3"/>
    <w:p w14:paraId="7CD6A13A" w14:textId="3E856EE9" w:rsidR="007E30A6" w:rsidRPr="002557CB" w:rsidRDefault="007E30A6" w:rsidP="007E30A6">
      <w:pPr>
        <w:rPr>
          <w:b/>
          <w:bCs/>
          <w:i/>
          <w:iCs/>
          <w:color w:val="4472C4" w:themeColor="accent1"/>
          <w:sz w:val="20"/>
          <w:szCs w:val="20"/>
          <w:lang w:val="en-GB"/>
        </w:rPr>
      </w:pPr>
      <w:r w:rsidRPr="002557CB">
        <w:rPr>
          <w:b/>
          <w:bCs/>
          <w:i/>
          <w:iCs/>
          <w:color w:val="4472C4" w:themeColor="accent1"/>
          <w:sz w:val="20"/>
          <w:szCs w:val="20"/>
          <w:lang w:val="en-GB"/>
        </w:rPr>
        <w:t xml:space="preserve">Figure 1: </w:t>
      </w:r>
      <w:r w:rsidR="002557CB">
        <w:rPr>
          <w:b/>
          <w:bCs/>
          <w:i/>
          <w:iCs/>
          <w:color w:val="4472C4" w:themeColor="accent1"/>
          <w:sz w:val="20"/>
          <w:szCs w:val="20"/>
          <w:lang w:val="en-GB"/>
        </w:rPr>
        <w:t>Variation Timeframe</w:t>
      </w:r>
    </w:p>
    <w:p w14:paraId="432CDEC4" w14:textId="71FF2F43" w:rsidR="007E30A6" w:rsidRPr="002557CB" w:rsidRDefault="007E30A6" w:rsidP="002557CB">
      <w:pPr>
        <w:pStyle w:val="ListParagraph"/>
        <w:numPr>
          <w:ilvl w:val="0"/>
          <w:numId w:val="9"/>
        </w:numPr>
        <w:rPr>
          <w:b/>
          <w:bCs/>
          <w:sz w:val="24"/>
          <w:szCs w:val="24"/>
        </w:rPr>
      </w:pPr>
      <w:bookmarkStart w:id="4" w:name="_Hlk17894430"/>
      <w:r w:rsidRPr="002557CB">
        <w:rPr>
          <w:b/>
          <w:bCs/>
          <w:sz w:val="24"/>
          <w:szCs w:val="24"/>
        </w:rPr>
        <w:lastRenderedPageBreak/>
        <w:t>Next Steps</w:t>
      </w:r>
    </w:p>
    <w:p w14:paraId="29392D71" w14:textId="12BDD7EC" w:rsidR="007E30A6" w:rsidRDefault="007E30A6" w:rsidP="007E30A6">
      <w:pPr>
        <w:jc w:val="both"/>
      </w:pPr>
      <w:r w:rsidRPr="007E30A6">
        <w:t>It is proposed that the f</w:t>
      </w:r>
      <w:r w:rsidR="002557CB">
        <w:t>u</w:t>
      </w:r>
      <w:r w:rsidRPr="007E30A6">
        <w:t>ll variation document will go on public display on the 7</w:t>
      </w:r>
      <w:r w:rsidRPr="007E30A6">
        <w:rPr>
          <w:vertAlign w:val="superscript"/>
        </w:rPr>
        <w:t>th</w:t>
      </w:r>
      <w:r w:rsidRPr="007E30A6">
        <w:t xml:space="preserve"> of October with the </w:t>
      </w:r>
      <w:r w:rsidR="002557CB">
        <w:t xml:space="preserve">public </w:t>
      </w:r>
      <w:r w:rsidRPr="007E30A6">
        <w:t>notices</w:t>
      </w:r>
      <w:r w:rsidR="002557CB">
        <w:t xml:space="preserve"> required </w:t>
      </w:r>
      <w:r w:rsidRPr="007E30A6">
        <w:t xml:space="preserve">under </w:t>
      </w:r>
      <w:r w:rsidR="007B351E">
        <w:t>S</w:t>
      </w:r>
      <w:r w:rsidRPr="007E30A6">
        <w:t>ection 13 of the Planning Development Act 2000 (as amended) outlining that the submissions can be made over a 4-week period up to the 4</w:t>
      </w:r>
      <w:r w:rsidRPr="007E30A6">
        <w:rPr>
          <w:vertAlign w:val="superscript"/>
        </w:rPr>
        <w:t>th</w:t>
      </w:r>
      <w:r w:rsidRPr="007E30A6">
        <w:t xml:space="preserve"> of November. </w:t>
      </w:r>
      <w:r w:rsidR="002557CB">
        <w:t>Th</w:t>
      </w:r>
      <w:r w:rsidRPr="007E30A6">
        <w:t>e Chief Executives report will be prepared and submitted to the members for their consideration on the 25</w:t>
      </w:r>
      <w:r w:rsidRPr="007E30A6">
        <w:rPr>
          <w:vertAlign w:val="superscript"/>
        </w:rPr>
        <w:t>th</w:t>
      </w:r>
      <w:r w:rsidRPr="007E30A6">
        <w:t xml:space="preserve"> of November with the report being considered at the </w:t>
      </w:r>
      <w:r w:rsidR="002557CB">
        <w:t xml:space="preserve">council </w:t>
      </w:r>
      <w:r w:rsidRPr="007E30A6">
        <w:t>meeting on the 9</w:t>
      </w:r>
      <w:r w:rsidRPr="007E30A6">
        <w:rPr>
          <w:vertAlign w:val="superscript"/>
        </w:rPr>
        <w:t>th</w:t>
      </w:r>
      <w:r w:rsidRPr="007E30A6">
        <w:t xml:space="preserve"> of December 2019. </w:t>
      </w:r>
    </w:p>
    <w:bookmarkEnd w:id="4"/>
    <w:p w14:paraId="2890679A" w14:textId="46E34634" w:rsidR="004A3927" w:rsidRDefault="004A3927" w:rsidP="007E30A6">
      <w:pPr>
        <w:jc w:val="both"/>
      </w:pPr>
    </w:p>
    <w:p w14:paraId="180908C4" w14:textId="77777777" w:rsidR="004A3927" w:rsidRPr="007E30A6" w:rsidRDefault="004A3927" w:rsidP="007E30A6">
      <w:pPr>
        <w:jc w:val="both"/>
        <w:rPr>
          <w:lang w:val="en-GB"/>
        </w:rPr>
      </w:pPr>
    </w:p>
    <w:sectPr w:rsidR="004A3927" w:rsidRPr="007E30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4C04A" w14:textId="77777777" w:rsidR="00D573A9" w:rsidRDefault="00D573A9" w:rsidP="00572917">
      <w:pPr>
        <w:spacing w:after="0" w:line="240" w:lineRule="auto"/>
      </w:pPr>
      <w:r>
        <w:separator/>
      </w:r>
    </w:p>
  </w:endnote>
  <w:endnote w:type="continuationSeparator" w:id="0">
    <w:p w14:paraId="3E654F5F" w14:textId="77777777" w:rsidR="00D573A9" w:rsidRDefault="00D573A9" w:rsidP="0057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5A6A" w14:textId="77777777" w:rsidR="00D573A9" w:rsidRDefault="00D573A9" w:rsidP="00572917">
      <w:pPr>
        <w:spacing w:after="0" w:line="240" w:lineRule="auto"/>
      </w:pPr>
      <w:r>
        <w:separator/>
      </w:r>
    </w:p>
  </w:footnote>
  <w:footnote w:type="continuationSeparator" w:id="0">
    <w:p w14:paraId="0A44D9CC" w14:textId="77777777" w:rsidR="00D573A9" w:rsidRDefault="00D573A9" w:rsidP="00572917">
      <w:pPr>
        <w:spacing w:after="0" w:line="240" w:lineRule="auto"/>
      </w:pPr>
      <w:r>
        <w:continuationSeparator/>
      </w:r>
    </w:p>
  </w:footnote>
  <w:footnote w:id="1">
    <w:p w14:paraId="3263B440" w14:textId="77777777" w:rsidR="00572917" w:rsidRPr="00AE5877" w:rsidRDefault="00572917" w:rsidP="00572917">
      <w:pPr>
        <w:pStyle w:val="FootnoteText"/>
        <w:rPr>
          <w:lang w:val="en-GB"/>
        </w:rPr>
      </w:pPr>
      <w:r>
        <w:rPr>
          <w:rStyle w:val="FootnoteReference"/>
        </w:rPr>
        <w:footnoteRef/>
      </w:r>
      <w:r>
        <w:t xml:space="preserve"> </w:t>
      </w:r>
      <w:r w:rsidRPr="002557CB">
        <w:rPr>
          <w:sz w:val="16"/>
          <w:szCs w:val="16"/>
        </w:rPr>
        <w:t>Circular FP S06/2018</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12EF"/>
    <w:multiLevelType w:val="hybridMultilevel"/>
    <w:tmpl w:val="11D0BD28"/>
    <w:lvl w:ilvl="0" w:tplc="E2462416">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9440E5C"/>
    <w:multiLevelType w:val="hybridMultilevel"/>
    <w:tmpl w:val="2258E0E0"/>
    <w:lvl w:ilvl="0" w:tplc="DE7CF456">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6F3B95"/>
    <w:multiLevelType w:val="multilevel"/>
    <w:tmpl w:val="7714B7B8"/>
    <w:lvl w:ilvl="0">
      <w:start w:val="1"/>
      <w:numFmt w:val="decimal"/>
      <w:lvlText w:val="%1."/>
      <w:lvlJc w:val="left"/>
      <w:pPr>
        <w:tabs>
          <w:tab w:val="num" w:pos="720"/>
        </w:tabs>
        <w:ind w:left="720" w:hanging="360"/>
      </w:pPr>
      <w:rPr>
        <w:rFonts w:ascii="Calibri" w:eastAsiaTheme="minorHAnsi" w:hAnsi="Calibri" w:cstheme="minorBidi"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435E87"/>
    <w:multiLevelType w:val="hybridMultilevel"/>
    <w:tmpl w:val="FA7269E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52990AFD"/>
    <w:multiLevelType w:val="hybridMultilevel"/>
    <w:tmpl w:val="F79C9D52"/>
    <w:lvl w:ilvl="0" w:tplc="6D4C8B78">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E673183"/>
    <w:multiLevelType w:val="hybridMultilevel"/>
    <w:tmpl w:val="40AA4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1ED6E07"/>
    <w:multiLevelType w:val="hybridMultilevel"/>
    <w:tmpl w:val="BFA21DB0"/>
    <w:lvl w:ilvl="0" w:tplc="412A4D58">
      <w:start w:val="1"/>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753C42E7"/>
    <w:multiLevelType w:val="hybridMultilevel"/>
    <w:tmpl w:val="9CD64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1"/>
  </w:num>
  <w:num w:numId="6">
    <w:abstractNumId w:val="6"/>
  </w:num>
  <w:num w:numId="7">
    <w:abstractNumId w:val="0"/>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D2"/>
    <w:rsid w:val="00046572"/>
    <w:rsid w:val="001D6C37"/>
    <w:rsid w:val="002557CB"/>
    <w:rsid w:val="00357C4D"/>
    <w:rsid w:val="003E5510"/>
    <w:rsid w:val="00415CAB"/>
    <w:rsid w:val="004563DA"/>
    <w:rsid w:val="004A3927"/>
    <w:rsid w:val="005245D2"/>
    <w:rsid w:val="00572917"/>
    <w:rsid w:val="007959FA"/>
    <w:rsid w:val="007B351E"/>
    <w:rsid w:val="007E30A6"/>
    <w:rsid w:val="009F121F"/>
    <w:rsid w:val="00A3310E"/>
    <w:rsid w:val="00A4448E"/>
    <w:rsid w:val="00AE44B9"/>
    <w:rsid w:val="00BF00C4"/>
    <w:rsid w:val="00D573A9"/>
    <w:rsid w:val="00DF037F"/>
    <w:rsid w:val="00E07A55"/>
    <w:rsid w:val="00E10359"/>
    <w:rsid w:val="00E2046D"/>
    <w:rsid w:val="00E96B2C"/>
    <w:rsid w:val="00F06E8F"/>
    <w:rsid w:val="00F44E03"/>
    <w:rsid w:val="00F94C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5C96"/>
  <w15:chartTrackingRefBased/>
  <w15:docId w15:val="{88F4B508-40CB-4230-894F-3FDCD8B5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291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572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917"/>
    <w:rPr>
      <w:sz w:val="20"/>
      <w:szCs w:val="20"/>
    </w:rPr>
  </w:style>
  <w:style w:type="character" w:styleId="FootnoteReference">
    <w:name w:val="footnote reference"/>
    <w:basedOn w:val="DefaultParagraphFont"/>
    <w:uiPriority w:val="99"/>
    <w:semiHidden/>
    <w:unhideWhenUsed/>
    <w:rsid w:val="00572917"/>
    <w:rPr>
      <w:vertAlign w:val="superscript"/>
    </w:rPr>
  </w:style>
  <w:style w:type="paragraph" w:styleId="ListParagraph">
    <w:name w:val="List Paragraph"/>
    <w:basedOn w:val="Normal"/>
    <w:uiPriority w:val="34"/>
    <w:qFormat/>
    <w:rsid w:val="00F06E8F"/>
    <w:pPr>
      <w:spacing w:after="0" w:line="240" w:lineRule="auto"/>
      <w:ind w:left="720"/>
      <w:contextualSpacing/>
    </w:pPr>
    <w:rPr>
      <w:rFonts w:ascii="Calibri" w:hAnsi="Calibri"/>
    </w:rPr>
  </w:style>
  <w:style w:type="table" w:styleId="TableGrid">
    <w:name w:val="Table Grid"/>
    <w:basedOn w:val="TableNormal"/>
    <w:uiPriority w:val="39"/>
    <w:rsid w:val="00AE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B2C"/>
    <w:rPr>
      <w:sz w:val="16"/>
      <w:szCs w:val="16"/>
    </w:rPr>
  </w:style>
  <w:style w:type="paragraph" w:styleId="CommentText">
    <w:name w:val="annotation text"/>
    <w:basedOn w:val="Normal"/>
    <w:link w:val="CommentTextChar"/>
    <w:uiPriority w:val="99"/>
    <w:semiHidden/>
    <w:unhideWhenUsed/>
    <w:rsid w:val="00E96B2C"/>
    <w:pPr>
      <w:spacing w:line="240" w:lineRule="auto"/>
    </w:pPr>
    <w:rPr>
      <w:sz w:val="20"/>
      <w:szCs w:val="20"/>
    </w:rPr>
  </w:style>
  <w:style w:type="character" w:customStyle="1" w:styleId="CommentTextChar">
    <w:name w:val="Comment Text Char"/>
    <w:basedOn w:val="DefaultParagraphFont"/>
    <w:link w:val="CommentText"/>
    <w:uiPriority w:val="99"/>
    <w:semiHidden/>
    <w:rsid w:val="00E96B2C"/>
    <w:rPr>
      <w:sz w:val="20"/>
      <w:szCs w:val="20"/>
    </w:rPr>
  </w:style>
  <w:style w:type="paragraph" w:styleId="CommentSubject">
    <w:name w:val="annotation subject"/>
    <w:basedOn w:val="CommentText"/>
    <w:next w:val="CommentText"/>
    <w:link w:val="CommentSubjectChar"/>
    <w:uiPriority w:val="99"/>
    <w:semiHidden/>
    <w:unhideWhenUsed/>
    <w:rsid w:val="00E96B2C"/>
    <w:rPr>
      <w:b/>
      <w:bCs/>
    </w:rPr>
  </w:style>
  <w:style w:type="character" w:customStyle="1" w:styleId="CommentSubjectChar">
    <w:name w:val="Comment Subject Char"/>
    <w:basedOn w:val="CommentTextChar"/>
    <w:link w:val="CommentSubject"/>
    <w:uiPriority w:val="99"/>
    <w:semiHidden/>
    <w:rsid w:val="00E96B2C"/>
    <w:rPr>
      <w:b/>
      <w:bCs/>
      <w:sz w:val="20"/>
      <w:szCs w:val="20"/>
    </w:rPr>
  </w:style>
  <w:style w:type="paragraph" w:styleId="BalloonText">
    <w:name w:val="Balloon Text"/>
    <w:basedOn w:val="Normal"/>
    <w:link w:val="BalloonTextChar"/>
    <w:uiPriority w:val="99"/>
    <w:semiHidden/>
    <w:unhideWhenUsed/>
    <w:rsid w:val="00E96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2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A149EF-E9FD-4992-8A93-F9B96FA2F2B8}"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en-IE"/>
        </a:p>
      </dgm:t>
    </dgm:pt>
    <dgm:pt modelId="{4ACC74ED-18B6-41E8-BE59-3123F1DCFD5A}">
      <dgm:prSet phldrT="[Text]" custT="1"/>
      <dgm:spPr>
        <a:xfrm>
          <a:off x="3885" y="678772"/>
          <a:ext cx="747479" cy="747479"/>
        </a:xfrm>
      </dgm:spPr>
      <dgm:t>
        <a:bodyPr/>
        <a:lstStyle/>
        <a:p>
          <a:pPr algn="ctr"/>
          <a:r>
            <a:rPr lang="en-IE" sz="1000" b="1">
              <a:solidFill>
                <a:schemeClr val="accent1"/>
              </a:solidFill>
            </a:rPr>
            <a:t>7th October 2019</a:t>
          </a:r>
        </a:p>
      </dgm:t>
    </dgm:pt>
    <dgm:pt modelId="{AA3D302D-E85E-4D69-A1E8-5F4F300CE271}" type="parTrans" cxnId="{8F321E4A-C220-4B1C-B1EF-A721D741AF02}">
      <dgm:prSet/>
      <dgm:spPr/>
      <dgm:t>
        <a:bodyPr/>
        <a:lstStyle/>
        <a:p>
          <a:endParaRPr lang="en-IE"/>
        </a:p>
      </dgm:t>
    </dgm:pt>
    <dgm:pt modelId="{0661BA13-3F01-48A6-9448-52B03809ED7F}" type="sibTrans" cxnId="{8F321E4A-C220-4B1C-B1EF-A721D741AF02}">
      <dgm:prSet/>
      <dgm:spPr/>
      <dgm:t>
        <a:bodyPr/>
        <a:lstStyle/>
        <a:p>
          <a:endParaRPr lang="en-IE"/>
        </a:p>
      </dgm:t>
    </dgm:pt>
    <dgm:pt modelId="{244BE228-5594-45B4-A071-C484FC7F813C}">
      <dgm:prSet phldrT="[Text]" custT="1"/>
      <dgm:spPr>
        <a:xfrm>
          <a:off x="377625" y="399120"/>
          <a:ext cx="1494959" cy="1306783"/>
        </a:xfrm>
      </dgm:spPr>
      <dgm:t>
        <a:bodyPr/>
        <a:lstStyle/>
        <a:p>
          <a:pPr algn="l"/>
          <a:r>
            <a:rPr lang="en-IE" sz="1000"/>
            <a:t>Publish Public Notices</a:t>
          </a:r>
        </a:p>
      </dgm:t>
    </dgm:pt>
    <dgm:pt modelId="{E38428FE-B3B6-4CDF-B17B-4481504A572C}" type="parTrans" cxnId="{2B10BA21-C386-4914-B9AE-020B7D6AD8E6}">
      <dgm:prSet/>
      <dgm:spPr/>
      <dgm:t>
        <a:bodyPr/>
        <a:lstStyle/>
        <a:p>
          <a:endParaRPr lang="en-IE"/>
        </a:p>
      </dgm:t>
    </dgm:pt>
    <dgm:pt modelId="{620DF34F-0C4E-4693-B5CA-085E3692FF1A}" type="sibTrans" cxnId="{2B10BA21-C386-4914-B9AE-020B7D6AD8E6}">
      <dgm:prSet/>
      <dgm:spPr/>
      <dgm:t>
        <a:bodyPr/>
        <a:lstStyle/>
        <a:p>
          <a:endParaRPr lang="en-IE"/>
        </a:p>
      </dgm:t>
    </dgm:pt>
    <dgm:pt modelId="{57968E20-0E58-46D7-B324-9B602F5F6F72}">
      <dgm:prSet phldrT="[Text]" custT="1"/>
      <dgm:spPr>
        <a:xfrm>
          <a:off x="377625" y="399120"/>
          <a:ext cx="1494959" cy="1306783"/>
        </a:xfrm>
      </dgm:spPr>
      <dgm:t>
        <a:bodyPr/>
        <a:lstStyle/>
        <a:p>
          <a:pPr algn="l"/>
          <a:r>
            <a:rPr lang="en-IE" sz="1000"/>
            <a:t>Display and Submission Period 4 weeks</a:t>
          </a:r>
        </a:p>
      </dgm:t>
    </dgm:pt>
    <dgm:pt modelId="{426442C9-ED09-4326-ADFA-005B7285F3D9}" type="parTrans" cxnId="{1CA8176E-84B1-4C32-87A0-953B54378913}">
      <dgm:prSet/>
      <dgm:spPr/>
      <dgm:t>
        <a:bodyPr/>
        <a:lstStyle/>
        <a:p>
          <a:endParaRPr lang="en-IE"/>
        </a:p>
      </dgm:t>
    </dgm:pt>
    <dgm:pt modelId="{936DB342-33FB-47A6-B7EB-EF20CA244F0F}" type="sibTrans" cxnId="{1CA8176E-84B1-4C32-87A0-953B54378913}">
      <dgm:prSet/>
      <dgm:spPr/>
      <dgm:t>
        <a:bodyPr/>
        <a:lstStyle/>
        <a:p>
          <a:endParaRPr lang="en-IE"/>
        </a:p>
      </dgm:t>
    </dgm:pt>
    <dgm:pt modelId="{1D35A586-FA1A-438B-AA22-87C660599474}">
      <dgm:prSet phldrT="[Text]" custT="1"/>
      <dgm:spPr>
        <a:xfrm>
          <a:off x="1966020" y="678772"/>
          <a:ext cx="747479" cy="747479"/>
        </a:xfrm>
      </dgm:spPr>
      <dgm:t>
        <a:bodyPr/>
        <a:lstStyle/>
        <a:p>
          <a:pPr algn="ctr"/>
          <a:r>
            <a:rPr lang="en-IE" sz="1000" b="1">
              <a:solidFill>
                <a:schemeClr val="accent1"/>
              </a:solidFill>
            </a:rPr>
            <a:t>4th November 2019</a:t>
          </a:r>
        </a:p>
      </dgm:t>
    </dgm:pt>
    <dgm:pt modelId="{DFFFA939-A175-42DE-A3A4-477DD068E1DB}" type="parTrans" cxnId="{8F9F8228-7179-4A67-8006-C35CCFCA8F06}">
      <dgm:prSet/>
      <dgm:spPr/>
      <dgm:t>
        <a:bodyPr/>
        <a:lstStyle/>
        <a:p>
          <a:endParaRPr lang="en-IE"/>
        </a:p>
      </dgm:t>
    </dgm:pt>
    <dgm:pt modelId="{0AF462DB-3483-4AC5-B155-029E3DD19D3E}" type="sibTrans" cxnId="{8F9F8228-7179-4A67-8006-C35CCFCA8F06}">
      <dgm:prSet/>
      <dgm:spPr/>
      <dgm:t>
        <a:bodyPr/>
        <a:lstStyle/>
        <a:p>
          <a:endParaRPr lang="en-IE"/>
        </a:p>
      </dgm:t>
    </dgm:pt>
    <dgm:pt modelId="{C59A577C-8748-487F-A264-234C3281B878}">
      <dgm:prSet phldrT="[Text]" custT="1"/>
      <dgm:spPr>
        <a:xfrm>
          <a:off x="2339760" y="399120"/>
          <a:ext cx="1494959" cy="1306783"/>
        </a:xfrm>
      </dgm:spPr>
      <dgm:t>
        <a:bodyPr/>
        <a:lstStyle/>
        <a:p>
          <a:pPr algn="l"/>
          <a:r>
            <a:rPr lang="en-IE" sz="1000"/>
            <a:t>Commence Chief Execuitive (CE) Report 3 weeks</a:t>
          </a:r>
        </a:p>
      </dgm:t>
    </dgm:pt>
    <dgm:pt modelId="{8E3E9F5B-9140-488D-92E2-236DFF8EBBA6}" type="parTrans" cxnId="{43ABA432-5945-41FA-B9E8-777B08BEF840}">
      <dgm:prSet/>
      <dgm:spPr/>
      <dgm:t>
        <a:bodyPr/>
        <a:lstStyle/>
        <a:p>
          <a:endParaRPr lang="en-IE"/>
        </a:p>
      </dgm:t>
    </dgm:pt>
    <dgm:pt modelId="{605D72DD-3DB5-45E9-B584-F8B7DD0613B5}" type="sibTrans" cxnId="{43ABA432-5945-41FA-B9E8-777B08BEF840}">
      <dgm:prSet/>
      <dgm:spPr/>
      <dgm:t>
        <a:bodyPr/>
        <a:lstStyle/>
        <a:p>
          <a:endParaRPr lang="en-IE"/>
        </a:p>
      </dgm:t>
    </dgm:pt>
    <dgm:pt modelId="{99EDBAAA-652D-4A4A-83C0-D782F4D48745}">
      <dgm:prSet phldrT="[Text]" custT="1"/>
      <dgm:spPr>
        <a:xfrm>
          <a:off x="3928154" y="678772"/>
          <a:ext cx="747479" cy="747479"/>
        </a:xfrm>
      </dgm:spPr>
      <dgm:t>
        <a:bodyPr/>
        <a:lstStyle/>
        <a:p>
          <a:pPr algn="ctr"/>
          <a:r>
            <a:rPr lang="en-IE" sz="1000" b="1">
              <a:solidFill>
                <a:schemeClr val="accent1"/>
              </a:solidFill>
            </a:rPr>
            <a:t>25th November 2019</a:t>
          </a:r>
        </a:p>
      </dgm:t>
    </dgm:pt>
    <dgm:pt modelId="{2284A25D-65AB-4AC9-BEC3-89649F3EE095}" type="parTrans" cxnId="{B7B917A3-4B2E-4EF0-B86D-911B27B92856}">
      <dgm:prSet/>
      <dgm:spPr/>
      <dgm:t>
        <a:bodyPr/>
        <a:lstStyle/>
        <a:p>
          <a:endParaRPr lang="en-IE"/>
        </a:p>
      </dgm:t>
    </dgm:pt>
    <dgm:pt modelId="{9552F8FE-698E-4395-B8DC-5F52321C6ADB}" type="sibTrans" cxnId="{B7B917A3-4B2E-4EF0-B86D-911B27B92856}">
      <dgm:prSet/>
      <dgm:spPr/>
      <dgm:t>
        <a:bodyPr/>
        <a:lstStyle/>
        <a:p>
          <a:endParaRPr lang="en-IE"/>
        </a:p>
      </dgm:t>
    </dgm:pt>
    <dgm:pt modelId="{400282D6-9E36-4646-AE5F-50120DCFC897}">
      <dgm:prSet phldrT="[Text]" custT="1"/>
      <dgm:spPr>
        <a:xfrm>
          <a:off x="4301894" y="399120"/>
          <a:ext cx="1494959" cy="1306783"/>
        </a:xfrm>
      </dgm:spPr>
      <dgm:t>
        <a:bodyPr/>
        <a:lstStyle/>
        <a:p>
          <a:pPr algn="l"/>
          <a:r>
            <a:rPr lang="en-IE" sz="1000"/>
            <a:t>Consideration of CE Report By Members 2 weeks</a:t>
          </a:r>
        </a:p>
      </dgm:t>
    </dgm:pt>
    <dgm:pt modelId="{C2BD86AA-70EF-46F8-AE3C-A79022A0AD26}" type="parTrans" cxnId="{1E3D6C23-3541-4DEF-9833-DCA715990DF7}">
      <dgm:prSet/>
      <dgm:spPr/>
      <dgm:t>
        <a:bodyPr/>
        <a:lstStyle/>
        <a:p>
          <a:endParaRPr lang="en-IE"/>
        </a:p>
      </dgm:t>
    </dgm:pt>
    <dgm:pt modelId="{40266DED-4BF3-434C-9CC9-E7E2CD025868}" type="sibTrans" cxnId="{1E3D6C23-3541-4DEF-9833-DCA715990DF7}">
      <dgm:prSet/>
      <dgm:spPr/>
      <dgm:t>
        <a:bodyPr/>
        <a:lstStyle/>
        <a:p>
          <a:endParaRPr lang="en-IE"/>
        </a:p>
      </dgm:t>
    </dgm:pt>
    <dgm:pt modelId="{48486209-A4C2-40D7-B57D-052B1027C27F}">
      <dgm:prSet custT="1"/>
      <dgm:spPr>
        <a:xfrm>
          <a:off x="5890289" y="678772"/>
          <a:ext cx="747479" cy="747479"/>
        </a:xfrm>
      </dgm:spPr>
      <dgm:t>
        <a:bodyPr/>
        <a:lstStyle/>
        <a:p>
          <a:pPr algn="ctr"/>
          <a:r>
            <a:rPr lang="en-IE" sz="1000" b="1">
              <a:solidFill>
                <a:schemeClr val="accent1"/>
              </a:solidFill>
            </a:rPr>
            <a:t>9th December 2019</a:t>
          </a:r>
        </a:p>
      </dgm:t>
    </dgm:pt>
    <dgm:pt modelId="{1FAED533-FD34-4B25-A008-25C255C9F561}" type="parTrans" cxnId="{8B398651-C190-4FCA-8A57-B971C8BDCE33}">
      <dgm:prSet/>
      <dgm:spPr/>
      <dgm:t>
        <a:bodyPr/>
        <a:lstStyle/>
        <a:p>
          <a:endParaRPr lang="en-IE"/>
        </a:p>
      </dgm:t>
    </dgm:pt>
    <dgm:pt modelId="{1922A66F-2488-4AA2-AF4A-084BB9CD4F53}" type="sibTrans" cxnId="{8B398651-C190-4FCA-8A57-B971C8BDCE33}">
      <dgm:prSet/>
      <dgm:spPr/>
      <dgm:t>
        <a:bodyPr/>
        <a:lstStyle/>
        <a:p>
          <a:endParaRPr lang="en-IE"/>
        </a:p>
      </dgm:t>
    </dgm:pt>
    <dgm:pt modelId="{BE5732D4-3467-4496-8D97-80F66D3C64CD}">
      <dgm:prSet custT="1"/>
      <dgm:spPr>
        <a:xfrm>
          <a:off x="6264029" y="399120"/>
          <a:ext cx="1494959" cy="1306783"/>
        </a:xfrm>
      </dgm:spPr>
      <dgm:t>
        <a:bodyPr/>
        <a:lstStyle/>
        <a:p>
          <a:pPr algn="l"/>
          <a:r>
            <a:rPr lang="en-IE" sz="1000"/>
            <a:t>Decision made at Council Meeting</a:t>
          </a:r>
        </a:p>
      </dgm:t>
    </dgm:pt>
    <dgm:pt modelId="{557929FF-275C-4B4C-B869-35187D446F55}" type="parTrans" cxnId="{EAF2B855-DC72-4F79-9413-B1BF141FDDF5}">
      <dgm:prSet/>
      <dgm:spPr/>
      <dgm:t>
        <a:bodyPr/>
        <a:lstStyle/>
        <a:p>
          <a:endParaRPr lang="en-IE"/>
        </a:p>
      </dgm:t>
    </dgm:pt>
    <dgm:pt modelId="{B20FA7C6-FB7D-4108-9DE9-8CD213FF0931}" type="sibTrans" cxnId="{EAF2B855-DC72-4F79-9413-B1BF141FDDF5}">
      <dgm:prSet/>
      <dgm:spPr/>
      <dgm:t>
        <a:bodyPr/>
        <a:lstStyle/>
        <a:p>
          <a:endParaRPr lang="en-IE"/>
        </a:p>
      </dgm:t>
    </dgm:pt>
    <dgm:pt modelId="{6710258C-8BD5-44DB-9947-01533EFF865D}" type="pres">
      <dgm:prSet presAssocID="{C6A149EF-E9FD-4992-8A93-F9B96FA2F2B8}" presName="Name0" presStyleCnt="0">
        <dgm:presLayoutVars>
          <dgm:dir/>
          <dgm:resizeHandles val="exact"/>
        </dgm:presLayoutVars>
      </dgm:prSet>
      <dgm:spPr/>
    </dgm:pt>
    <dgm:pt modelId="{23F13886-1F83-4AC3-AC96-11C476DEF225}" type="pres">
      <dgm:prSet presAssocID="{C6A149EF-E9FD-4992-8A93-F9B96FA2F2B8}" presName="arrow" presStyleLbl="bgShp" presStyleIdx="0" presStyleCnt="1"/>
      <dgm:spPr/>
    </dgm:pt>
    <dgm:pt modelId="{C3912DE0-9E9E-4AD1-9DF2-3BB33F675CBC}" type="pres">
      <dgm:prSet presAssocID="{C6A149EF-E9FD-4992-8A93-F9B96FA2F2B8}" presName="points" presStyleCnt="0"/>
      <dgm:spPr/>
    </dgm:pt>
    <dgm:pt modelId="{3415BE75-ACB2-4DA3-BC53-3E53069FFEF2}" type="pres">
      <dgm:prSet presAssocID="{4ACC74ED-18B6-41E8-BE59-3123F1DCFD5A}" presName="compositeA" presStyleCnt="0"/>
      <dgm:spPr/>
    </dgm:pt>
    <dgm:pt modelId="{E113DD1D-D754-41FA-BB3D-61C557E2A07E}" type="pres">
      <dgm:prSet presAssocID="{4ACC74ED-18B6-41E8-BE59-3123F1DCFD5A}" presName="textA" presStyleLbl="revTx" presStyleIdx="0" presStyleCnt="4" custScaleX="213664">
        <dgm:presLayoutVars>
          <dgm:bulletEnabled val="1"/>
        </dgm:presLayoutVars>
      </dgm:prSet>
      <dgm:spPr>
        <a:prstGeom prst="rightArrow">
          <a:avLst>
            <a:gd name="adj1" fmla="val 70000"/>
            <a:gd name="adj2" fmla="val 50000"/>
          </a:avLst>
        </a:prstGeom>
      </dgm:spPr>
    </dgm:pt>
    <dgm:pt modelId="{1412FBC9-F5BE-45D9-962B-CBB27391B69C}" type="pres">
      <dgm:prSet presAssocID="{4ACC74ED-18B6-41E8-BE59-3123F1DCFD5A}" presName="circleA" presStyleLbl="node1" presStyleIdx="0" presStyleCnt="4"/>
      <dgm:spPr/>
    </dgm:pt>
    <dgm:pt modelId="{919D567F-AA42-45DC-B51D-D726BB7E2A0E}" type="pres">
      <dgm:prSet presAssocID="{4ACC74ED-18B6-41E8-BE59-3123F1DCFD5A}" presName="spaceA" presStyleCnt="0"/>
      <dgm:spPr/>
    </dgm:pt>
    <dgm:pt modelId="{932982B9-8B3F-4F89-9E3D-A006F8D2F6FE}" type="pres">
      <dgm:prSet presAssocID="{0661BA13-3F01-48A6-9448-52B03809ED7F}" presName="space" presStyleCnt="0"/>
      <dgm:spPr/>
    </dgm:pt>
    <dgm:pt modelId="{0CE398B9-4BBD-45B9-987F-5E31A8996E4E}" type="pres">
      <dgm:prSet presAssocID="{1D35A586-FA1A-438B-AA22-87C660599474}" presName="compositeB" presStyleCnt="0"/>
      <dgm:spPr/>
    </dgm:pt>
    <dgm:pt modelId="{7D8BCBB8-B624-407B-A84F-CAA15AF6286E}" type="pres">
      <dgm:prSet presAssocID="{1D35A586-FA1A-438B-AA22-87C660599474}" presName="textB" presStyleLbl="revTx" presStyleIdx="1" presStyleCnt="4" custScaleX="165991">
        <dgm:presLayoutVars>
          <dgm:bulletEnabled val="1"/>
        </dgm:presLayoutVars>
      </dgm:prSet>
      <dgm:spPr>
        <a:prstGeom prst="rightArrow">
          <a:avLst>
            <a:gd name="adj1" fmla="val 70000"/>
            <a:gd name="adj2" fmla="val 50000"/>
          </a:avLst>
        </a:prstGeom>
      </dgm:spPr>
    </dgm:pt>
    <dgm:pt modelId="{06A6DA53-B6D2-4016-A913-6D2E170C6F4C}" type="pres">
      <dgm:prSet presAssocID="{1D35A586-FA1A-438B-AA22-87C660599474}" presName="circleB" presStyleLbl="node1" presStyleIdx="1" presStyleCnt="4"/>
      <dgm:spPr/>
    </dgm:pt>
    <dgm:pt modelId="{7D6B4F1C-9C8F-45AC-8D5B-938A604B86D3}" type="pres">
      <dgm:prSet presAssocID="{1D35A586-FA1A-438B-AA22-87C660599474}" presName="spaceB" presStyleCnt="0"/>
      <dgm:spPr/>
    </dgm:pt>
    <dgm:pt modelId="{2B1DB674-F41D-4F83-A114-DF32AAB68389}" type="pres">
      <dgm:prSet presAssocID="{0AF462DB-3483-4AC5-B155-029E3DD19D3E}" presName="space" presStyleCnt="0"/>
      <dgm:spPr/>
    </dgm:pt>
    <dgm:pt modelId="{E64D953C-EDC2-4DDB-81F4-5DB74DEB267D}" type="pres">
      <dgm:prSet presAssocID="{99EDBAAA-652D-4A4A-83C0-D782F4D48745}" presName="compositeA" presStyleCnt="0"/>
      <dgm:spPr/>
    </dgm:pt>
    <dgm:pt modelId="{C8508302-16F3-4350-9CAE-EFB2EEEFE503}" type="pres">
      <dgm:prSet presAssocID="{99EDBAAA-652D-4A4A-83C0-D782F4D48745}" presName="textA" presStyleLbl="revTx" presStyleIdx="2" presStyleCnt="4" custScaleX="177112">
        <dgm:presLayoutVars>
          <dgm:bulletEnabled val="1"/>
        </dgm:presLayoutVars>
      </dgm:prSet>
      <dgm:spPr>
        <a:prstGeom prst="rightArrow">
          <a:avLst>
            <a:gd name="adj1" fmla="val 70000"/>
            <a:gd name="adj2" fmla="val 50000"/>
          </a:avLst>
        </a:prstGeom>
      </dgm:spPr>
    </dgm:pt>
    <dgm:pt modelId="{1D47E013-A30C-4325-8055-C05BDDB62E57}" type="pres">
      <dgm:prSet presAssocID="{99EDBAAA-652D-4A4A-83C0-D782F4D48745}" presName="circleA" presStyleLbl="node1" presStyleIdx="2" presStyleCnt="4"/>
      <dgm:spPr/>
    </dgm:pt>
    <dgm:pt modelId="{E214EF09-BA82-4671-86CE-6784EC7C5F1A}" type="pres">
      <dgm:prSet presAssocID="{99EDBAAA-652D-4A4A-83C0-D782F4D48745}" presName="spaceA" presStyleCnt="0"/>
      <dgm:spPr/>
    </dgm:pt>
    <dgm:pt modelId="{03FC4E35-4C77-466A-B5E1-649C53AE87C8}" type="pres">
      <dgm:prSet presAssocID="{9552F8FE-698E-4395-B8DC-5F52321C6ADB}" presName="space" presStyleCnt="0"/>
      <dgm:spPr/>
    </dgm:pt>
    <dgm:pt modelId="{E7E88978-DF47-49B3-920E-E8202B945D9E}" type="pres">
      <dgm:prSet presAssocID="{48486209-A4C2-40D7-B57D-052B1027C27F}" presName="compositeB" presStyleCnt="0"/>
      <dgm:spPr/>
    </dgm:pt>
    <dgm:pt modelId="{E0A5ACF7-A180-4301-AB82-87E0EC0FB601}" type="pres">
      <dgm:prSet presAssocID="{48486209-A4C2-40D7-B57D-052B1027C27F}" presName="textB" presStyleLbl="revTx" presStyleIdx="3" presStyleCnt="4" custScaleX="153987">
        <dgm:presLayoutVars>
          <dgm:bulletEnabled val="1"/>
        </dgm:presLayoutVars>
      </dgm:prSet>
      <dgm:spPr>
        <a:prstGeom prst="rightArrow">
          <a:avLst>
            <a:gd name="adj1" fmla="val 70000"/>
            <a:gd name="adj2" fmla="val 50000"/>
          </a:avLst>
        </a:prstGeom>
      </dgm:spPr>
    </dgm:pt>
    <dgm:pt modelId="{379E781B-7244-4DD7-8D1D-1A95CCE76194}" type="pres">
      <dgm:prSet presAssocID="{48486209-A4C2-40D7-B57D-052B1027C27F}" presName="circleB" presStyleLbl="node1" presStyleIdx="3" presStyleCnt="4"/>
      <dgm:spPr/>
    </dgm:pt>
    <dgm:pt modelId="{DF7366BB-8846-433F-9B69-5926BDFD6315}" type="pres">
      <dgm:prSet presAssocID="{48486209-A4C2-40D7-B57D-052B1027C27F}" presName="spaceB" presStyleCnt="0"/>
      <dgm:spPr/>
    </dgm:pt>
  </dgm:ptLst>
  <dgm:cxnLst>
    <dgm:cxn modelId="{558C2D01-10D5-4B6C-AE20-0E0EAF90CE25}" type="presOf" srcId="{57968E20-0E58-46D7-B324-9B602F5F6F72}" destId="{E113DD1D-D754-41FA-BB3D-61C557E2A07E}" srcOrd="0" destOrd="2" presId="urn:microsoft.com/office/officeart/2005/8/layout/hProcess11"/>
    <dgm:cxn modelId="{9CA4FE0E-6DE0-4105-9617-E994AA86E563}" type="presOf" srcId="{244BE228-5594-45B4-A071-C484FC7F813C}" destId="{E113DD1D-D754-41FA-BB3D-61C557E2A07E}" srcOrd="0" destOrd="1" presId="urn:microsoft.com/office/officeart/2005/8/layout/hProcess11"/>
    <dgm:cxn modelId="{2B10BA21-C386-4914-B9AE-020B7D6AD8E6}" srcId="{4ACC74ED-18B6-41E8-BE59-3123F1DCFD5A}" destId="{244BE228-5594-45B4-A071-C484FC7F813C}" srcOrd="0" destOrd="0" parTransId="{E38428FE-B3B6-4CDF-B17B-4481504A572C}" sibTransId="{620DF34F-0C4E-4693-B5CA-085E3692FF1A}"/>
    <dgm:cxn modelId="{1E3D6C23-3541-4DEF-9833-DCA715990DF7}" srcId="{99EDBAAA-652D-4A4A-83C0-D782F4D48745}" destId="{400282D6-9E36-4646-AE5F-50120DCFC897}" srcOrd="0" destOrd="0" parTransId="{C2BD86AA-70EF-46F8-AE3C-A79022A0AD26}" sibTransId="{40266DED-4BF3-434C-9CC9-E7E2CD025868}"/>
    <dgm:cxn modelId="{F9656826-D658-4C5E-AB54-07780C962670}" type="presOf" srcId="{C59A577C-8748-487F-A264-234C3281B878}" destId="{7D8BCBB8-B624-407B-A84F-CAA15AF6286E}" srcOrd="0" destOrd="1" presId="urn:microsoft.com/office/officeart/2005/8/layout/hProcess11"/>
    <dgm:cxn modelId="{8F9F8228-7179-4A67-8006-C35CCFCA8F06}" srcId="{C6A149EF-E9FD-4992-8A93-F9B96FA2F2B8}" destId="{1D35A586-FA1A-438B-AA22-87C660599474}" srcOrd="1" destOrd="0" parTransId="{DFFFA939-A175-42DE-A3A4-477DD068E1DB}" sibTransId="{0AF462DB-3483-4AC5-B155-029E3DD19D3E}"/>
    <dgm:cxn modelId="{43ABA432-5945-41FA-B9E8-777B08BEF840}" srcId="{1D35A586-FA1A-438B-AA22-87C660599474}" destId="{C59A577C-8748-487F-A264-234C3281B878}" srcOrd="0" destOrd="0" parTransId="{8E3E9F5B-9140-488D-92E2-236DFF8EBBA6}" sibTransId="{605D72DD-3DB5-45E9-B584-F8B7DD0613B5}"/>
    <dgm:cxn modelId="{736A8038-44A6-4A3E-8993-4CAB42FBA27E}" type="presOf" srcId="{4ACC74ED-18B6-41E8-BE59-3123F1DCFD5A}" destId="{E113DD1D-D754-41FA-BB3D-61C557E2A07E}" srcOrd="0" destOrd="0" presId="urn:microsoft.com/office/officeart/2005/8/layout/hProcess11"/>
    <dgm:cxn modelId="{8F321E4A-C220-4B1C-B1EF-A721D741AF02}" srcId="{C6A149EF-E9FD-4992-8A93-F9B96FA2F2B8}" destId="{4ACC74ED-18B6-41E8-BE59-3123F1DCFD5A}" srcOrd="0" destOrd="0" parTransId="{AA3D302D-E85E-4D69-A1E8-5F4F300CE271}" sibTransId="{0661BA13-3F01-48A6-9448-52B03809ED7F}"/>
    <dgm:cxn modelId="{1CA8176E-84B1-4C32-87A0-953B54378913}" srcId="{4ACC74ED-18B6-41E8-BE59-3123F1DCFD5A}" destId="{57968E20-0E58-46D7-B324-9B602F5F6F72}" srcOrd="1" destOrd="0" parTransId="{426442C9-ED09-4326-ADFA-005B7285F3D9}" sibTransId="{936DB342-33FB-47A6-B7EB-EF20CA244F0F}"/>
    <dgm:cxn modelId="{78B67C50-50E7-47DD-9168-128C6BD977E3}" type="presOf" srcId="{1D35A586-FA1A-438B-AA22-87C660599474}" destId="{7D8BCBB8-B624-407B-A84F-CAA15AF6286E}" srcOrd="0" destOrd="0" presId="urn:microsoft.com/office/officeart/2005/8/layout/hProcess11"/>
    <dgm:cxn modelId="{8B398651-C190-4FCA-8A57-B971C8BDCE33}" srcId="{C6A149EF-E9FD-4992-8A93-F9B96FA2F2B8}" destId="{48486209-A4C2-40D7-B57D-052B1027C27F}" srcOrd="3" destOrd="0" parTransId="{1FAED533-FD34-4B25-A008-25C255C9F561}" sibTransId="{1922A66F-2488-4AA2-AF4A-084BB9CD4F53}"/>
    <dgm:cxn modelId="{EAF2B855-DC72-4F79-9413-B1BF141FDDF5}" srcId="{48486209-A4C2-40D7-B57D-052B1027C27F}" destId="{BE5732D4-3467-4496-8D97-80F66D3C64CD}" srcOrd="0" destOrd="0" parTransId="{557929FF-275C-4B4C-B869-35187D446F55}" sibTransId="{B20FA7C6-FB7D-4108-9DE9-8CD213FF0931}"/>
    <dgm:cxn modelId="{B7B917A3-4B2E-4EF0-B86D-911B27B92856}" srcId="{C6A149EF-E9FD-4992-8A93-F9B96FA2F2B8}" destId="{99EDBAAA-652D-4A4A-83C0-D782F4D48745}" srcOrd="2" destOrd="0" parTransId="{2284A25D-65AB-4AC9-BEC3-89649F3EE095}" sibTransId="{9552F8FE-698E-4395-B8DC-5F52321C6ADB}"/>
    <dgm:cxn modelId="{FF4693A9-E611-4042-8DEF-5BECCA981ABE}" type="presOf" srcId="{99EDBAAA-652D-4A4A-83C0-D782F4D48745}" destId="{C8508302-16F3-4350-9CAE-EFB2EEEFE503}" srcOrd="0" destOrd="0" presId="urn:microsoft.com/office/officeart/2005/8/layout/hProcess11"/>
    <dgm:cxn modelId="{9C46F6AE-66DA-45A6-BC8C-064330708250}" type="presOf" srcId="{BE5732D4-3467-4496-8D97-80F66D3C64CD}" destId="{E0A5ACF7-A180-4301-AB82-87E0EC0FB601}" srcOrd="0" destOrd="1" presId="urn:microsoft.com/office/officeart/2005/8/layout/hProcess11"/>
    <dgm:cxn modelId="{183957B2-03B8-46C2-BAFA-B550052A0351}" type="presOf" srcId="{48486209-A4C2-40D7-B57D-052B1027C27F}" destId="{E0A5ACF7-A180-4301-AB82-87E0EC0FB601}" srcOrd="0" destOrd="0" presId="urn:microsoft.com/office/officeart/2005/8/layout/hProcess11"/>
    <dgm:cxn modelId="{CB2FAAEF-B623-4A11-BD54-9A73C6237C8C}" type="presOf" srcId="{400282D6-9E36-4646-AE5F-50120DCFC897}" destId="{C8508302-16F3-4350-9CAE-EFB2EEEFE503}" srcOrd="0" destOrd="1" presId="urn:microsoft.com/office/officeart/2005/8/layout/hProcess11"/>
    <dgm:cxn modelId="{BF9EADFD-F15C-4A85-A7FF-0A94709EAA54}" type="presOf" srcId="{C6A149EF-E9FD-4992-8A93-F9B96FA2F2B8}" destId="{6710258C-8BD5-44DB-9947-01533EFF865D}" srcOrd="0" destOrd="0" presId="urn:microsoft.com/office/officeart/2005/8/layout/hProcess11"/>
    <dgm:cxn modelId="{41E8E314-C531-49C3-A5C9-F40EC4A91776}" type="presParOf" srcId="{6710258C-8BD5-44DB-9947-01533EFF865D}" destId="{23F13886-1F83-4AC3-AC96-11C476DEF225}" srcOrd="0" destOrd="0" presId="urn:microsoft.com/office/officeart/2005/8/layout/hProcess11"/>
    <dgm:cxn modelId="{0F83660B-84DA-45E9-BCD6-0FEFB7E20DD0}" type="presParOf" srcId="{6710258C-8BD5-44DB-9947-01533EFF865D}" destId="{C3912DE0-9E9E-4AD1-9DF2-3BB33F675CBC}" srcOrd="1" destOrd="0" presId="urn:microsoft.com/office/officeart/2005/8/layout/hProcess11"/>
    <dgm:cxn modelId="{2661A4C0-9C5F-4A8F-9F06-3B5167AB3A92}" type="presParOf" srcId="{C3912DE0-9E9E-4AD1-9DF2-3BB33F675CBC}" destId="{3415BE75-ACB2-4DA3-BC53-3E53069FFEF2}" srcOrd="0" destOrd="0" presId="urn:microsoft.com/office/officeart/2005/8/layout/hProcess11"/>
    <dgm:cxn modelId="{68A61DC4-3E05-43BF-8DE9-07AADB5BCD2D}" type="presParOf" srcId="{3415BE75-ACB2-4DA3-BC53-3E53069FFEF2}" destId="{E113DD1D-D754-41FA-BB3D-61C557E2A07E}" srcOrd="0" destOrd="0" presId="urn:microsoft.com/office/officeart/2005/8/layout/hProcess11"/>
    <dgm:cxn modelId="{603573D3-361B-4468-84B5-6E2670F74DFB}" type="presParOf" srcId="{3415BE75-ACB2-4DA3-BC53-3E53069FFEF2}" destId="{1412FBC9-F5BE-45D9-962B-CBB27391B69C}" srcOrd="1" destOrd="0" presId="urn:microsoft.com/office/officeart/2005/8/layout/hProcess11"/>
    <dgm:cxn modelId="{4A3D40E1-7644-4B59-8232-240E0A1FCFB9}" type="presParOf" srcId="{3415BE75-ACB2-4DA3-BC53-3E53069FFEF2}" destId="{919D567F-AA42-45DC-B51D-D726BB7E2A0E}" srcOrd="2" destOrd="0" presId="urn:microsoft.com/office/officeart/2005/8/layout/hProcess11"/>
    <dgm:cxn modelId="{FA24DE48-CADF-463C-BB4F-A269BA85FFF1}" type="presParOf" srcId="{C3912DE0-9E9E-4AD1-9DF2-3BB33F675CBC}" destId="{932982B9-8B3F-4F89-9E3D-A006F8D2F6FE}" srcOrd="1" destOrd="0" presId="urn:microsoft.com/office/officeart/2005/8/layout/hProcess11"/>
    <dgm:cxn modelId="{A07EA3FF-C5D2-4B18-BF24-C4830974D352}" type="presParOf" srcId="{C3912DE0-9E9E-4AD1-9DF2-3BB33F675CBC}" destId="{0CE398B9-4BBD-45B9-987F-5E31A8996E4E}" srcOrd="2" destOrd="0" presId="urn:microsoft.com/office/officeart/2005/8/layout/hProcess11"/>
    <dgm:cxn modelId="{E49D8429-D8D2-4816-BC8D-6FCB8F287BE6}" type="presParOf" srcId="{0CE398B9-4BBD-45B9-987F-5E31A8996E4E}" destId="{7D8BCBB8-B624-407B-A84F-CAA15AF6286E}" srcOrd="0" destOrd="0" presId="urn:microsoft.com/office/officeart/2005/8/layout/hProcess11"/>
    <dgm:cxn modelId="{EEF88C49-FD9C-402D-A38C-DE9B7CA13DD0}" type="presParOf" srcId="{0CE398B9-4BBD-45B9-987F-5E31A8996E4E}" destId="{06A6DA53-B6D2-4016-A913-6D2E170C6F4C}" srcOrd="1" destOrd="0" presId="urn:microsoft.com/office/officeart/2005/8/layout/hProcess11"/>
    <dgm:cxn modelId="{971D4369-682A-4E55-9AB7-6528F1461B67}" type="presParOf" srcId="{0CE398B9-4BBD-45B9-987F-5E31A8996E4E}" destId="{7D6B4F1C-9C8F-45AC-8D5B-938A604B86D3}" srcOrd="2" destOrd="0" presId="urn:microsoft.com/office/officeart/2005/8/layout/hProcess11"/>
    <dgm:cxn modelId="{BF9EDF7D-A827-4C66-8FAA-5D685F9B9B42}" type="presParOf" srcId="{C3912DE0-9E9E-4AD1-9DF2-3BB33F675CBC}" destId="{2B1DB674-F41D-4F83-A114-DF32AAB68389}" srcOrd="3" destOrd="0" presId="urn:microsoft.com/office/officeart/2005/8/layout/hProcess11"/>
    <dgm:cxn modelId="{11EBF09F-DA2A-4C95-A8F2-D1B51CC52F2A}" type="presParOf" srcId="{C3912DE0-9E9E-4AD1-9DF2-3BB33F675CBC}" destId="{E64D953C-EDC2-4DDB-81F4-5DB74DEB267D}" srcOrd="4" destOrd="0" presId="urn:microsoft.com/office/officeart/2005/8/layout/hProcess11"/>
    <dgm:cxn modelId="{03D1D941-4092-43DB-B1EB-A5E679BF3783}" type="presParOf" srcId="{E64D953C-EDC2-4DDB-81F4-5DB74DEB267D}" destId="{C8508302-16F3-4350-9CAE-EFB2EEEFE503}" srcOrd="0" destOrd="0" presId="urn:microsoft.com/office/officeart/2005/8/layout/hProcess11"/>
    <dgm:cxn modelId="{A68A3495-9D0E-440E-B2DB-CDD203D9B2F5}" type="presParOf" srcId="{E64D953C-EDC2-4DDB-81F4-5DB74DEB267D}" destId="{1D47E013-A30C-4325-8055-C05BDDB62E57}" srcOrd="1" destOrd="0" presId="urn:microsoft.com/office/officeart/2005/8/layout/hProcess11"/>
    <dgm:cxn modelId="{60BF9EB5-52F2-41DD-B36C-D9EE8F2BC6E0}" type="presParOf" srcId="{E64D953C-EDC2-4DDB-81F4-5DB74DEB267D}" destId="{E214EF09-BA82-4671-86CE-6784EC7C5F1A}" srcOrd="2" destOrd="0" presId="urn:microsoft.com/office/officeart/2005/8/layout/hProcess11"/>
    <dgm:cxn modelId="{94E06460-E9CC-4F33-A1AC-EFC3BA301FC5}" type="presParOf" srcId="{C3912DE0-9E9E-4AD1-9DF2-3BB33F675CBC}" destId="{03FC4E35-4C77-466A-B5E1-649C53AE87C8}" srcOrd="5" destOrd="0" presId="urn:microsoft.com/office/officeart/2005/8/layout/hProcess11"/>
    <dgm:cxn modelId="{69BA3B01-8933-4296-8041-384C90FF11B0}" type="presParOf" srcId="{C3912DE0-9E9E-4AD1-9DF2-3BB33F675CBC}" destId="{E7E88978-DF47-49B3-920E-E8202B945D9E}" srcOrd="6" destOrd="0" presId="urn:microsoft.com/office/officeart/2005/8/layout/hProcess11"/>
    <dgm:cxn modelId="{6AD9FB0B-44DE-4373-8142-B887B4D331F1}" type="presParOf" srcId="{E7E88978-DF47-49B3-920E-E8202B945D9E}" destId="{E0A5ACF7-A180-4301-AB82-87E0EC0FB601}" srcOrd="0" destOrd="0" presId="urn:microsoft.com/office/officeart/2005/8/layout/hProcess11"/>
    <dgm:cxn modelId="{A8F70490-11E6-4620-9DB4-0750BBAF22AA}" type="presParOf" srcId="{E7E88978-DF47-49B3-920E-E8202B945D9E}" destId="{379E781B-7244-4DD7-8D1D-1A95CCE76194}" srcOrd="1" destOrd="0" presId="urn:microsoft.com/office/officeart/2005/8/layout/hProcess11"/>
    <dgm:cxn modelId="{C7FCC86D-B10E-4AE0-A824-AD606CF98ABD}" type="presParOf" srcId="{E7E88978-DF47-49B3-920E-E8202B945D9E}" destId="{DF7366BB-8846-433F-9B69-5926BDFD6315}" srcOrd="2" destOrd="0" presId="urn:microsoft.com/office/officeart/2005/8/layout/hProcess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F13886-1F83-4AC3-AC96-11C476DEF225}">
      <dsp:nvSpPr>
        <dsp:cNvPr id="0" name=""/>
        <dsp:cNvSpPr/>
      </dsp:nvSpPr>
      <dsp:spPr>
        <a:xfrm>
          <a:off x="0" y="447674"/>
          <a:ext cx="6323162" cy="59690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113DD1D-D754-41FA-BB3D-61C557E2A07E}">
      <dsp:nvSpPr>
        <dsp:cNvPr id="0" name=""/>
        <dsp:cNvSpPr/>
      </dsp:nvSpPr>
      <dsp:spPr>
        <a:xfrm>
          <a:off x="1908" y="0"/>
          <a:ext cx="1674277" cy="596900"/>
        </a:xfrm>
        <a:prstGeom prst="rightArrow">
          <a:avLst>
            <a:gd name="adj1" fmla="val 70000"/>
            <a:gd name="adj2" fmla="val 50000"/>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1">
          <a:noAutofit/>
        </a:bodyPr>
        <a:lstStyle/>
        <a:p>
          <a:pPr marL="0" lvl="0" indent="0" algn="ctr" defTabSz="444500">
            <a:lnSpc>
              <a:spcPct val="90000"/>
            </a:lnSpc>
            <a:spcBef>
              <a:spcPct val="0"/>
            </a:spcBef>
            <a:spcAft>
              <a:spcPct val="35000"/>
            </a:spcAft>
            <a:buNone/>
          </a:pPr>
          <a:r>
            <a:rPr lang="en-IE" sz="1000" b="1" kern="1200">
              <a:solidFill>
                <a:schemeClr val="accent1"/>
              </a:solidFill>
            </a:rPr>
            <a:t>7th October 2019</a:t>
          </a:r>
        </a:p>
        <a:p>
          <a:pPr marL="57150" lvl="1" indent="-57150" algn="l" defTabSz="444500">
            <a:lnSpc>
              <a:spcPct val="90000"/>
            </a:lnSpc>
            <a:spcBef>
              <a:spcPct val="0"/>
            </a:spcBef>
            <a:spcAft>
              <a:spcPct val="15000"/>
            </a:spcAft>
            <a:buChar char="•"/>
          </a:pPr>
          <a:r>
            <a:rPr lang="en-IE" sz="1000" kern="1200"/>
            <a:t>Publish Public Notices</a:t>
          </a:r>
        </a:p>
        <a:p>
          <a:pPr marL="57150" lvl="1" indent="-57150" algn="l" defTabSz="444500">
            <a:lnSpc>
              <a:spcPct val="90000"/>
            </a:lnSpc>
            <a:spcBef>
              <a:spcPct val="0"/>
            </a:spcBef>
            <a:spcAft>
              <a:spcPct val="15000"/>
            </a:spcAft>
            <a:buChar char="•"/>
          </a:pPr>
          <a:r>
            <a:rPr lang="en-IE" sz="1000" kern="1200"/>
            <a:t>Display and Submission Period 4 weeks</a:t>
          </a:r>
        </a:p>
      </dsp:txBody>
      <dsp:txXfrm>
        <a:off x="1908" y="89535"/>
        <a:ext cx="1465362" cy="417830"/>
      </dsp:txXfrm>
    </dsp:sp>
    <dsp:sp modelId="{1412FBC9-F5BE-45D9-962B-CBB27391B69C}">
      <dsp:nvSpPr>
        <dsp:cNvPr id="0" name=""/>
        <dsp:cNvSpPr/>
      </dsp:nvSpPr>
      <dsp:spPr>
        <a:xfrm>
          <a:off x="764434" y="671512"/>
          <a:ext cx="149225" cy="1492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8BCBB8-B624-407B-A84F-CAA15AF6286E}">
      <dsp:nvSpPr>
        <dsp:cNvPr id="0" name=""/>
        <dsp:cNvSpPr/>
      </dsp:nvSpPr>
      <dsp:spPr>
        <a:xfrm>
          <a:off x="1715365" y="895349"/>
          <a:ext cx="1300710" cy="596900"/>
        </a:xfrm>
        <a:prstGeom prst="rightArrow">
          <a:avLst>
            <a:gd name="adj1" fmla="val 70000"/>
            <a:gd name="adj2" fmla="val 50000"/>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1">
          <a:noAutofit/>
        </a:bodyPr>
        <a:lstStyle/>
        <a:p>
          <a:pPr marL="0" lvl="0" indent="0" algn="ctr" defTabSz="444500">
            <a:lnSpc>
              <a:spcPct val="90000"/>
            </a:lnSpc>
            <a:spcBef>
              <a:spcPct val="0"/>
            </a:spcBef>
            <a:spcAft>
              <a:spcPct val="35000"/>
            </a:spcAft>
            <a:buNone/>
          </a:pPr>
          <a:r>
            <a:rPr lang="en-IE" sz="1000" b="1" kern="1200">
              <a:solidFill>
                <a:schemeClr val="accent1"/>
              </a:solidFill>
            </a:rPr>
            <a:t>4th November 2019</a:t>
          </a:r>
        </a:p>
        <a:p>
          <a:pPr marL="57150" lvl="1" indent="-57150" algn="l" defTabSz="444500">
            <a:lnSpc>
              <a:spcPct val="90000"/>
            </a:lnSpc>
            <a:spcBef>
              <a:spcPct val="0"/>
            </a:spcBef>
            <a:spcAft>
              <a:spcPct val="15000"/>
            </a:spcAft>
            <a:buChar char="•"/>
          </a:pPr>
          <a:r>
            <a:rPr lang="en-IE" sz="1000" kern="1200"/>
            <a:t>Commence Chief Execuitive (CE) Report 3 weeks</a:t>
          </a:r>
        </a:p>
      </dsp:txBody>
      <dsp:txXfrm>
        <a:off x="1715365" y="984884"/>
        <a:ext cx="1091795" cy="417830"/>
      </dsp:txXfrm>
    </dsp:sp>
    <dsp:sp modelId="{06A6DA53-B6D2-4016-A913-6D2E170C6F4C}">
      <dsp:nvSpPr>
        <dsp:cNvPr id="0" name=""/>
        <dsp:cNvSpPr/>
      </dsp:nvSpPr>
      <dsp:spPr>
        <a:xfrm>
          <a:off x="2291108" y="671512"/>
          <a:ext cx="149225" cy="1492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508302-16F3-4350-9CAE-EFB2EEEFE503}">
      <dsp:nvSpPr>
        <dsp:cNvPr id="0" name=""/>
        <dsp:cNvSpPr/>
      </dsp:nvSpPr>
      <dsp:spPr>
        <a:xfrm>
          <a:off x="3055256" y="0"/>
          <a:ext cx="1387854" cy="596900"/>
        </a:xfrm>
        <a:prstGeom prst="rightArrow">
          <a:avLst>
            <a:gd name="adj1" fmla="val 70000"/>
            <a:gd name="adj2" fmla="val 50000"/>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1">
          <a:noAutofit/>
        </a:bodyPr>
        <a:lstStyle/>
        <a:p>
          <a:pPr marL="0" lvl="0" indent="0" algn="ctr" defTabSz="444500">
            <a:lnSpc>
              <a:spcPct val="90000"/>
            </a:lnSpc>
            <a:spcBef>
              <a:spcPct val="0"/>
            </a:spcBef>
            <a:spcAft>
              <a:spcPct val="35000"/>
            </a:spcAft>
            <a:buNone/>
          </a:pPr>
          <a:r>
            <a:rPr lang="en-IE" sz="1000" b="1" kern="1200">
              <a:solidFill>
                <a:schemeClr val="accent1"/>
              </a:solidFill>
            </a:rPr>
            <a:t>25th November 2019</a:t>
          </a:r>
        </a:p>
        <a:p>
          <a:pPr marL="57150" lvl="1" indent="-57150" algn="l" defTabSz="444500">
            <a:lnSpc>
              <a:spcPct val="90000"/>
            </a:lnSpc>
            <a:spcBef>
              <a:spcPct val="0"/>
            </a:spcBef>
            <a:spcAft>
              <a:spcPct val="15000"/>
            </a:spcAft>
            <a:buChar char="•"/>
          </a:pPr>
          <a:r>
            <a:rPr lang="en-IE" sz="1000" kern="1200"/>
            <a:t>Consideration of CE Report By Members 2 weeks</a:t>
          </a:r>
        </a:p>
      </dsp:txBody>
      <dsp:txXfrm>
        <a:off x="3055256" y="89535"/>
        <a:ext cx="1178939" cy="417830"/>
      </dsp:txXfrm>
    </dsp:sp>
    <dsp:sp modelId="{1D47E013-A30C-4325-8055-C05BDDB62E57}">
      <dsp:nvSpPr>
        <dsp:cNvPr id="0" name=""/>
        <dsp:cNvSpPr/>
      </dsp:nvSpPr>
      <dsp:spPr>
        <a:xfrm>
          <a:off x="3674570" y="671512"/>
          <a:ext cx="149225" cy="1492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A5ACF7-A180-4301-AB82-87E0EC0FB601}">
      <dsp:nvSpPr>
        <dsp:cNvPr id="0" name=""/>
        <dsp:cNvSpPr/>
      </dsp:nvSpPr>
      <dsp:spPr>
        <a:xfrm>
          <a:off x="4482290" y="895349"/>
          <a:ext cx="1206646" cy="596900"/>
        </a:xfrm>
        <a:prstGeom prst="rightArrow">
          <a:avLst>
            <a:gd name="adj1" fmla="val 70000"/>
            <a:gd name="adj2" fmla="val 50000"/>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1">
          <a:noAutofit/>
        </a:bodyPr>
        <a:lstStyle/>
        <a:p>
          <a:pPr marL="0" lvl="0" indent="0" algn="ctr" defTabSz="444500">
            <a:lnSpc>
              <a:spcPct val="90000"/>
            </a:lnSpc>
            <a:spcBef>
              <a:spcPct val="0"/>
            </a:spcBef>
            <a:spcAft>
              <a:spcPct val="35000"/>
            </a:spcAft>
            <a:buNone/>
          </a:pPr>
          <a:r>
            <a:rPr lang="en-IE" sz="1000" b="1" kern="1200">
              <a:solidFill>
                <a:schemeClr val="accent1"/>
              </a:solidFill>
            </a:rPr>
            <a:t>9th December 2019</a:t>
          </a:r>
        </a:p>
        <a:p>
          <a:pPr marL="57150" lvl="1" indent="-57150" algn="l" defTabSz="444500">
            <a:lnSpc>
              <a:spcPct val="90000"/>
            </a:lnSpc>
            <a:spcBef>
              <a:spcPct val="0"/>
            </a:spcBef>
            <a:spcAft>
              <a:spcPct val="15000"/>
            </a:spcAft>
            <a:buChar char="•"/>
          </a:pPr>
          <a:r>
            <a:rPr lang="en-IE" sz="1000" kern="1200"/>
            <a:t>Decision made at Council Meeting</a:t>
          </a:r>
        </a:p>
      </dsp:txBody>
      <dsp:txXfrm>
        <a:off x="4482290" y="984884"/>
        <a:ext cx="997731" cy="417830"/>
      </dsp:txXfrm>
    </dsp:sp>
    <dsp:sp modelId="{379E781B-7244-4DD7-8D1D-1A95CCE76194}">
      <dsp:nvSpPr>
        <dsp:cNvPr id="0" name=""/>
        <dsp:cNvSpPr/>
      </dsp:nvSpPr>
      <dsp:spPr>
        <a:xfrm>
          <a:off x="5011001" y="671512"/>
          <a:ext cx="149225" cy="1492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1253</Words>
  <Characters>7144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Willoughby</dc:creator>
  <cp:keywords/>
  <dc:description/>
  <cp:lastModifiedBy>Mick Mulhern</cp:lastModifiedBy>
  <cp:revision>2</cp:revision>
  <dcterms:created xsi:type="dcterms:W3CDTF">2019-08-30T12:57:00Z</dcterms:created>
  <dcterms:modified xsi:type="dcterms:W3CDTF">2019-08-30T12:57:00Z</dcterms:modified>
</cp:coreProperties>
</file>