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A93DC" w14:textId="77777777"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0B721FB" w14:textId="77777777"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B11ACEB" wp14:editId="60236BDE">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C9F89D4" w14:textId="77777777"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14:paraId="4F7761C2" w14:textId="1334FCE4" w:rsidR="000E1E04" w:rsidRDefault="00042988" w:rsidP="000E1E04">
      <w:pPr>
        <w:pStyle w:val="NormalWeb"/>
        <w:jc w:val="center"/>
        <w:rPr>
          <w:rFonts w:ascii="Tahoma" w:hAnsi="Tahoma" w:cs="Tahoma"/>
          <w:b/>
          <w:u w:val="single"/>
        </w:rPr>
      </w:pPr>
      <w:r>
        <w:rPr>
          <w:rFonts w:ascii="Tahoma" w:hAnsi="Tahoma" w:cs="Tahoma"/>
          <w:b/>
          <w:u w:val="single"/>
        </w:rPr>
        <w:t>Monday,</w:t>
      </w:r>
      <w:r w:rsidR="00EA6402">
        <w:rPr>
          <w:rFonts w:ascii="Tahoma" w:hAnsi="Tahoma" w:cs="Tahoma"/>
          <w:b/>
          <w:u w:val="single"/>
        </w:rPr>
        <w:t xml:space="preserve"> </w:t>
      </w:r>
      <w:r w:rsidR="00023AF8">
        <w:rPr>
          <w:rFonts w:ascii="Tahoma" w:hAnsi="Tahoma" w:cs="Tahoma"/>
          <w:b/>
          <w:u w:val="single"/>
        </w:rPr>
        <w:t>9</w:t>
      </w:r>
      <w:r w:rsidR="00023AF8" w:rsidRPr="00023AF8">
        <w:rPr>
          <w:rFonts w:ascii="Tahoma" w:hAnsi="Tahoma" w:cs="Tahoma"/>
          <w:b/>
          <w:u w:val="single"/>
          <w:vertAlign w:val="superscript"/>
        </w:rPr>
        <w:t>th</w:t>
      </w:r>
      <w:r w:rsidR="00023AF8">
        <w:rPr>
          <w:rFonts w:ascii="Tahoma" w:hAnsi="Tahoma" w:cs="Tahoma"/>
          <w:b/>
          <w:u w:val="single"/>
        </w:rPr>
        <w:t xml:space="preserve"> September</w:t>
      </w:r>
      <w:r w:rsidR="000E1E04">
        <w:rPr>
          <w:rFonts w:ascii="Tahoma" w:hAnsi="Tahoma" w:cs="Tahoma"/>
          <w:b/>
          <w:u w:val="single"/>
        </w:rPr>
        <w:t xml:space="preserve"> 2019</w:t>
      </w:r>
    </w:p>
    <w:p w14:paraId="31EE1DDA" w14:textId="222FFD54" w:rsidR="000E1E04" w:rsidRDefault="000E1E04" w:rsidP="000E1E04">
      <w:pPr>
        <w:jc w:val="center"/>
        <w:rPr>
          <w:rFonts w:ascii="Tahoma" w:hAnsi="Tahoma" w:cs="Tahoma"/>
          <w:b/>
          <w:szCs w:val="24"/>
        </w:rPr>
      </w:pPr>
      <w:r>
        <w:rPr>
          <w:rFonts w:ascii="Tahoma" w:hAnsi="Tahoma" w:cs="Tahoma"/>
          <w:b/>
          <w:szCs w:val="24"/>
        </w:rPr>
        <w:t xml:space="preserve">H-I </w:t>
      </w:r>
      <w:r w:rsidR="000B4844">
        <w:rPr>
          <w:rFonts w:ascii="Tahoma" w:hAnsi="Tahoma" w:cs="Tahoma"/>
          <w:b/>
          <w:szCs w:val="24"/>
        </w:rPr>
        <w:t>7 (e)</w:t>
      </w:r>
      <w:bookmarkStart w:id="0" w:name="_GoBack"/>
      <w:bookmarkEnd w:id="0"/>
    </w:p>
    <w:p w14:paraId="16FC0DE3" w14:textId="77777777" w:rsidR="00AF6F4D" w:rsidRDefault="00AF6F4D" w:rsidP="000E1E04">
      <w:pPr>
        <w:jc w:val="center"/>
        <w:rPr>
          <w:rFonts w:ascii="Tahoma" w:hAnsi="Tahoma" w:cs="Tahoma"/>
          <w:b/>
          <w:szCs w:val="24"/>
        </w:rPr>
      </w:pPr>
    </w:p>
    <w:p w14:paraId="41426329" w14:textId="2C5FA8A3" w:rsidR="008C123C" w:rsidRDefault="00E343EE" w:rsidP="00023AF8">
      <w:pPr>
        <w:ind w:left="1440" w:hanging="1440"/>
        <w:rPr>
          <w:rFonts w:ascii="Tahoma" w:hAnsi="Tahoma" w:cs="Tahoma"/>
          <w:b/>
          <w:szCs w:val="24"/>
        </w:rPr>
      </w:pPr>
      <w:r>
        <w:rPr>
          <w:rFonts w:ascii="Tahoma" w:hAnsi="Tahoma" w:cs="Tahoma"/>
          <w:b/>
          <w:szCs w:val="24"/>
        </w:rPr>
        <w:t>LD 1</w:t>
      </w:r>
      <w:r w:rsidR="001C1627">
        <w:rPr>
          <w:rFonts w:ascii="Tahoma" w:hAnsi="Tahoma" w:cs="Tahoma"/>
          <w:b/>
          <w:szCs w:val="24"/>
        </w:rPr>
        <w:t>501</w:t>
      </w:r>
      <w:r w:rsidR="008C123C">
        <w:rPr>
          <w:rFonts w:ascii="Tahoma" w:hAnsi="Tahoma" w:cs="Tahoma"/>
          <w:b/>
          <w:szCs w:val="24"/>
        </w:rPr>
        <w:tab/>
      </w:r>
      <w:r w:rsidR="001C1627">
        <w:rPr>
          <w:rFonts w:ascii="Tahoma" w:hAnsi="Tahoma" w:cs="Tahoma"/>
          <w:b/>
          <w:szCs w:val="24"/>
        </w:rPr>
        <w:t>Leasehold disposal of indoor substation site to the ESB –</w:t>
      </w:r>
    </w:p>
    <w:p w14:paraId="36B426B4" w14:textId="17C4D137" w:rsidR="001C1627" w:rsidRDefault="001C1627" w:rsidP="00023AF8">
      <w:pPr>
        <w:ind w:left="1440" w:hanging="1440"/>
        <w:rPr>
          <w:rFonts w:ascii="Tahoma" w:hAnsi="Tahoma" w:cs="Tahoma"/>
          <w:b/>
          <w:szCs w:val="24"/>
        </w:rPr>
      </w:pPr>
      <w:r>
        <w:rPr>
          <w:rFonts w:ascii="Tahoma" w:hAnsi="Tahoma" w:cs="Tahoma"/>
          <w:b/>
          <w:szCs w:val="24"/>
        </w:rPr>
        <w:tab/>
        <w:t>HSE Community Nursing Unit, Tymon North Rd., Tallaght</w:t>
      </w:r>
    </w:p>
    <w:p w14:paraId="784568AF" w14:textId="19CDEAB4" w:rsidR="00E92938" w:rsidRDefault="00E92938" w:rsidP="00023AF8">
      <w:pPr>
        <w:ind w:left="1440" w:hanging="1440"/>
        <w:rPr>
          <w:rFonts w:ascii="Tahoma" w:hAnsi="Tahoma" w:cs="Tahoma"/>
          <w:b/>
          <w:szCs w:val="24"/>
        </w:rPr>
      </w:pPr>
    </w:p>
    <w:p w14:paraId="1829DC48" w14:textId="353A6148" w:rsidR="00622C2C" w:rsidRDefault="00622C2C">
      <w:pPr>
        <w:rPr>
          <w:rFonts w:ascii="Tahoma" w:hAnsi="Tahoma" w:cs="Tahoma"/>
        </w:rPr>
      </w:pPr>
    </w:p>
    <w:p w14:paraId="5175D17D" w14:textId="77777777" w:rsidR="00FC5DD6" w:rsidRPr="00FC5DD6" w:rsidRDefault="00FC5DD6" w:rsidP="00FC5DD6">
      <w:pPr>
        <w:rPr>
          <w:rFonts w:ascii="Tahoma" w:hAnsi="Tahoma" w:cs="Tahoma"/>
          <w:szCs w:val="24"/>
        </w:rPr>
      </w:pPr>
      <w:r w:rsidRPr="00FC5DD6">
        <w:rPr>
          <w:rFonts w:ascii="Tahoma" w:hAnsi="Tahoma" w:cs="Tahoma"/>
          <w:szCs w:val="24"/>
        </w:rPr>
        <w:t>The Council at its meeting on 14 July 2014 approved the disposal of a site at Tymon North Road, Tallaght, Dublin 24 to the Health Service Executive (HSE) to facilitate the provision of a Community Nursing Unit (CNU).  Chief Executive’s Order Dev/16A/14 and Minute No. H7b/0714 refer.</w:t>
      </w:r>
    </w:p>
    <w:p w14:paraId="2FF288C5" w14:textId="77777777" w:rsidR="00FC5DD6" w:rsidRPr="00FC5DD6" w:rsidRDefault="00FC5DD6" w:rsidP="00FC5DD6">
      <w:pPr>
        <w:rPr>
          <w:rFonts w:ascii="Tahoma" w:hAnsi="Tahoma" w:cs="Tahoma"/>
          <w:szCs w:val="24"/>
        </w:rPr>
      </w:pPr>
    </w:p>
    <w:p w14:paraId="0675B7AD" w14:textId="77777777" w:rsidR="00FC5DD6" w:rsidRPr="00FC5DD6" w:rsidRDefault="00FC5DD6" w:rsidP="00FC5DD6">
      <w:pPr>
        <w:rPr>
          <w:rFonts w:ascii="Tahoma" w:hAnsi="Tahoma" w:cs="Tahoma"/>
          <w:szCs w:val="24"/>
        </w:rPr>
      </w:pPr>
      <w:r w:rsidRPr="00FC5DD6">
        <w:rPr>
          <w:rFonts w:ascii="Tahoma" w:hAnsi="Tahoma" w:cs="Tahoma"/>
          <w:szCs w:val="24"/>
        </w:rPr>
        <w:t xml:space="preserve">Due to constraints of the site regarding access to services, the Council at its meeting on 11 May 2015, approved the disposal of a further adjoining plot of land to the HSE.  Chief Executive’s Order Dev/27/15 and Minute No. H7a/0515 refer. </w:t>
      </w:r>
    </w:p>
    <w:p w14:paraId="6D140D9C" w14:textId="77777777" w:rsidR="00FC5DD6" w:rsidRPr="00FC5DD6" w:rsidRDefault="00FC5DD6" w:rsidP="00FC5DD6">
      <w:pPr>
        <w:rPr>
          <w:rFonts w:ascii="Tahoma" w:hAnsi="Tahoma" w:cs="Tahoma"/>
          <w:szCs w:val="24"/>
        </w:rPr>
      </w:pPr>
    </w:p>
    <w:p w14:paraId="355B087E" w14:textId="77777777" w:rsidR="00FC5DD6" w:rsidRPr="00FC5DD6" w:rsidRDefault="00FC5DD6" w:rsidP="00FC5DD6">
      <w:pPr>
        <w:rPr>
          <w:rFonts w:ascii="Tahoma" w:hAnsi="Tahoma" w:cs="Tahoma"/>
          <w:szCs w:val="24"/>
        </w:rPr>
      </w:pPr>
      <w:r w:rsidRPr="00FC5DD6">
        <w:rPr>
          <w:rFonts w:ascii="Tahoma" w:hAnsi="Tahoma" w:cs="Tahoma"/>
          <w:szCs w:val="24"/>
        </w:rPr>
        <w:t>The combined disposal by Agreement to Lease is nearing completion and work is well underway on the Community Nursing Unit development.</w:t>
      </w:r>
    </w:p>
    <w:p w14:paraId="00619621" w14:textId="77777777" w:rsidR="00FC5DD6" w:rsidRPr="00FC5DD6" w:rsidRDefault="00FC5DD6" w:rsidP="00FC5DD6">
      <w:pPr>
        <w:rPr>
          <w:rFonts w:ascii="Tahoma" w:hAnsi="Tahoma" w:cs="Tahoma"/>
          <w:szCs w:val="24"/>
        </w:rPr>
      </w:pPr>
    </w:p>
    <w:p w14:paraId="3AC926FC" w14:textId="77777777" w:rsidR="00FC5DD6" w:rsidRPr="00FC5DD6" w:rsidRDefault="00FC5DD6" w:rsidP="00FC5DD6">
      <w:pPr>
        <w:rPr>
          <w:rFonts w:ascii="Tahoma" w:hAnsi="Tahoma" w:cs="Tahoma"/>
          <w:szCs w:val="24"/>
        </w:rPr>
      </w:pPr>
      <w:r w:rsidRPr="00FC5DD6">
        <w:rPr>
          <w:rFonts w:ascii="Tahoma" w:hAnsi="Tahoma" w:cs="Tahoma"/>
          <w:szCs w:val="24"/>
        </w:rPr>
        <w:t>The Electricity Supply Board (ESB) have made an application to acquire the leasehold interest in an area of the Community Nursing Unit for the erection of an indoor substation which will provide essential service to the Unit. The application also includes a request for a Right-of-Way to provide access to the substation.  The HSE has agreed to these requests.</w:t>
      </w:r>
    </w:p>
    <w:p w14:paraId="51E977D3" w14:textId="77777777" w:rsidR="00FC5DD6" w:rsidRPr="00FC5DD6" w:rsidRDefault="00FC5DD6" w:rsidP="00FC5DD6">
      <w:pPr>
        <w:rPr>
          <w:rFonts w:ascii="Tahoma" w:hAnsi="Tahoma" w:cs="Tahoma"/>
          <w:szCs w:val="24"/>
        </w:rPr>
      </w:pPr>
    </w:p>
    <w:p w14:paraId="04A6BF8F" w14:textId="77777777" w:rsidR="00FC5DD6" w:rsidRPr="00FC5DD6" w:rsidRDefault="00FC5DD6" w:rsidP="00FC5DD6">
      <w:pPr>
        <w:rPr>
          <w:rFonts w:ascii="Tahoma" w:hAnsi="Tahoma" w:cs="Tahoma"/>
          <w:szCs w:val="24"/>
        </w:rPr>
      </w:pPr>
      <w:r w:rsidRPr="00FC5DD6">
        <w:rPr>
          <w:rFonts w:ascii="Tahoma" w:hAnsi="Tahoma" w:cs="Tahoma"/>
          <w:szCs w:val="24"/>
        </w:rPr>
        <w:t>I recommend that the Council dispose of its leasehold interest in the site outlined in red and identified as ‘ESB Substation Site’, and grant a Right-of Way for area of land shaded yellow on Drawing No. LA/37/18, in accordance with Section 211 of the Planning and Development Act, 2000 and subject to the provisions of Section 183 of the Local Government Act, 2001 subject to the following terms and conditions:-</w:t>
      </w:r>
    </w:p>
    <w:p w14:paraId="0C0F85A1" w14:textId="77777777" w:rsidR="00FC5DD6" w:rsidRPr="00FC5DD6" w:rsidRDefault="00FC5DD6" w:rsidP="00FC5DD6">
      <w:pPr>
        <w:jc w:val="both"/>
        <w:rPr>
          <w:rFonts w:ascii="Tahoma" w:hAnsi="Tahoma" w:cs="Tahoma"/>
          <w:szCs w:val="24"/>
        </w:rPr>
      </w:pPr>
    </w:p>
    <w:p w14:paraId="4A861933" w14:textId="77777777" w:rsidR="00FC5DD6" w:rsidRPr="00FC5DD6" w:rsidRDefault="00FC5DD6" w:rsidP="00FC5DD6">
      <w:pPr>
        <w:numPr>
          <w:ilvl w:val="0"/>
          <w:numId w:val="14"/>
        </w:numPr>
        <w:rPr>
          <w:rFonts w:ascii="Tahoma" w:hAnsi="Tahoma" w:cs="Tahoma"/>
          <w:szCs w:val="24"/>
        </w:rPr>
      </w:pPr>
      <w:r w:rsidRPr="00FC5DD6">
        <w:rPr>
          <w:rFonts w:ascii="Tahoma" w:hAnsi="Tahoma" w:cs="Tahoma"/>
          <w:szCs w:val="24"/>
        </w:rPr>
        <w:t>That the Council dispose of its leasehold interest in the site outlined in red and identified ‘ESB Substation Site’ on Drawing No. LA/37/18 comprising 0.81 hectares or thereabouts for the consideration of €10 (ten euro).</w:t>
      </w:r>
      <w:r w:rsidRPr="00FC5DD6">
        <w:rPr>
          <w:rFonts w:ascii="Tahoma" w:hAnsi="Tahoma" w:cs="Tahoma"/>
          <w:szCs w:val="24"/>
        </w:rPr>
        <w:br/>
      </w:r>
    </w:p>
    <w:p w14:paraId="15819DB6" w14:textId="77777777" w:rsidR="00FC5DD6" w:rsidRPr="00FC5DD6" w:rsidRDefault="00FC5DD6" w:rsidP="00FC5DD6">
      <w:pPr>
        <w:numPr>
          <w:ilvl w:val="0"/>
          <w:numId w:val="14"/>
        </w:numPr>
        <w:rPr>
          <w:rFonts w:ascii="Tahoma" w:hAnsi="Tahoma" w:cs="Tahoma"/>
          <w:szCs w:val="24"/>
        </w:rPr>
      </w:pPr>
      <w:r w:rsidRPr="00FC5DD6">
        <w:rPr>
          <w:rFonts w:ascii="Tahoma" w:hAnsi="Tahoma" w:cs="Tahoma"/>
          <w:szCs w:val="24"/>
        </w:rPr>
        <w:lastRenderedPageBreak/>
        <w:t>That the Council grant a Right-of-Way over land shaded yellow on Drawing No. LA/37/18.</w:t>
      </w:r>
      <w:r w:rsidRPr="00FC5DD6">
        <w:rPr>
          <w:rFonts w:ascii="Tahoma" w:hAnsi="Tahoma" w:cs="Tahoma"/>
          <w:szCs w:val="24"/>
        </w:rPr>
        <w:br/>
      </w:r>
    </w:p>
    <w:p w14:paraId="288BFCFA" w14:textId="77777777" w:rsidR="00FC5DD6" w:rsidRPr="00FC5DD6" w:rsidRDefault="00FC5DD6" w:rsidP="00FC5DD6">
      <w:pPr>
        <w:numPr>
          <w:ilvl w:val="0"/>
          <w:numId w:val="14"/>
        </w:numPr>
        <w:rPr>
          <w:rFonts w:ascii="Tahoma" w:hAnsi="Tahoma" w:cs="Tahoma"/>
          <w:szCs w:val="24"/>
        </w:rPr>
      </w:pPr>
      <w:r w:rsidRPr="00FC5DD6">
        <w:rPr>
          <w:rFonts w:ascii="Tahoma" w:hAnsi="Tahoma" w:cs="Tahoma"/>
          <w:szCs w:val="24"/>
        </w:rPr>
        <w:t>That the ESB shall pay a contribution in respect of the Council’s legal fees.</w:t>
      </w:r>
    </w:p>
    <w:p w14:paraId="1D74BC98" w14:textId="77777777" w:rsidR="00FC5DD6" w:rsidRPr="00FC5DD6" w:rsidRDefault="00FC5DD6" w:rsidP="00FC5DD6">
      <w:pPr>
        <w:ind w:left="1080"/>
        <w:rPr>
          <w:rFonts w:ascii="Tahoma" w:hAnsi="Tahoma" w:cs="Tahoma"/>
          <w:szCs w:val="24"/>
        </w:rPr>
      </w:pPr>
    </w:p>
    <w:p w14:paraId="2273C86C" w14:textId="77777777" w:rsidR="00FC5DD6" w:rsidRPr="00FC5DD6" w:rsidRDefault="00FC5DD6" w:rsidP="00FC5DD6">
      <w:pPr>
        <w:pStyle w:val="ListParagraph"/>
        <w:numPr>
          <w:ilvl w:val="0"/>
          <w:numId w:val="14"/>
        </w:numPr>
        <w:contextualSpacing w:val="0"/>
        <w:rPr>
          <w:rFonts w:ascii="Tahoma" w:hAnsi="Tahoma" w:cs="Tahoma"/>
          <w:iCs/>
          <w:sz w:val="24"/>
        </w:rPr>
      </w:pPr>
      <w:r w:rsidRPr="00FC5DD6">
        <w:rPr>
          <w:rFonts w:ascii="Tahoma" w:hAnsi="Tahoma" w:cs="Tahoma"/>
          <w:iCs/>
          <w:sz w:val="24"/>
        </w:rPr>
        <w:t>That</w:t>
      </w:r>
      <w:r w:rsidRPr="00FC5DD6">
        <w:rPr>
          <w:rFonts w:ascii="Tahoma" w:hAnsi="Tahoma" w:cs="Tahoma"/>
          <w:iCs/>
          <w:color w:val="FF0000"/>
          <w:sz w:val="24"/>
        </w:rPr>
        <w:t xml:space="preserve"> </w:t>
      </w:r>
      <w:r w:rsidRPr="00FC5DD6">
        <w:rPr>
          <w:rFonts w:ascii="Tahoma" w:hAnsi="Tahoma" w:cs="Tahoma"/>
          <w:iCs/>
          <w:sz w:val="24"/>
        </w:rPr>
        <w:t>in the event of any name change to Applicant prior to formal</w:t>
      </w:r>
      <w:r w:rsidRPr="00FC5DD6">
        <w:rPr>
          <w:rFonts w:ascii="Tahoma" w:hAnsi="Tahoma" w:cs="Tahoma"/>
          <w:iCs/>
          <w:color w:val="FF0000"/>
          <w:sz w:val="24"/>
        </w:rPr>
        <w:t xml:space="preserve"> </w:t>
      </w:r>
      <w:r w:rsidRPr="00FC5DD6">
        <w:rPr>
          <w:rFonts w:ascii="Tahoma" w:hAnsi="Tahoma" w:cs="Tahoma"/>
          <w:iCs/>
          <w:sz w:val="24"/>
        </w:rPr>
        <w:t>completion of the legal transfer, the Applicant must</w:t>
      </w:r>
      <w:r w:rsidRPr="00FC5DD6">
        <w:rPr>
          <w:rFonts w:ascii="Tahoma" w:hAnsi="Tahoma" w:cs="Tahoma"/>
          <w:iCs/>
          <w:color w:val="FF0000"/>
          <w:sz w:val="24"/>
        </w:rPr>
        <w:t xml:space="preserve"> </w:t>
      </w:r>
      <w:r w:rsidRPr="00FC5DD6">
        <w:rPr>
          <w:rFonts w:ascii="Tahoma" w:hAnsi="Tahoma" w:cs="Tahoma"/>
          <w:iCs/>
          <w:sz w:val="24"/>
        </w:rPr>
        <w:t>provide documentary evidence to the Council proving that the new named party is one and the same as the named Applicant heretofore to enable the transfer to complete.</w:t>
      </w:r>
    </w:p>
    <w:p w14:paraId="4EDC895C" w14:textId="77777777" w:rsidR="00FC5DD6" w:rsidRPr="00FC5DD6" w:rsidRDefault="00FC5DD6" w:rsidP="00FC5DD6">
      <w:pPr>
        <w:rPr>
          <w:rFonts w:ascii="Tahoma" w:hAnsi="Tahoma" w:cs="Tahoma"/>
          <w:szCs w:val="24"/>
        </w:rPr>
      </w:pPr>
    </w:p>
    <w:p w14:paraId="7D8E7C1D" w14:textId="77777777" w:rsidR="00FC5DD6" w:rsidRPr="00FC5DD6" w:rsidRDefault="00FC5DD6" w:rsidP="00FC5DD6">
      <w:pPr>
        <w:numPr>
          <w:ilvl w:val="0"/>
          <w:numId w:val="14"/>
        </w:numPr>
        <w:rPr>
          <w:rFonts w:ascii="Tahoma" w:hAnsi="Tahoma" w:cs="Tahoma"/>
          <w:szCs w:val="24"/>
        </w:rPr>
      </w:pPr>
      <w:r w:rsidRPr="00FC5DD6">
        <w:rPr>
          <w:rFonts w:ascii="Tahoma" w:hAnsi="Tahoma" w:cs="Tahoma"/>
          <w:szCs w:val="24"/>
        </w:rPr>
        <w:t>That each party shall use their best endeavours to complete the transaction within a reasonable timeframe following adoption of the disposal resolution.</w:t>
      </w:r>
    </w:p>
    <w:p w14:paraId="5E3C61BD" w14:textId="77777777" w:rsidR="00FC5DD6" w:rsidRPr="00FC5DD6" w:rsidRDefault="00FC5DD6" w:rsidP="00FC5DD6">
      <w:pPr>
        <w:ind w:left="360"/>
        <w:rPr>
          <w:rFonts w:ascii="Tahoma" w:hAnsi="Tahoma" w:cs="Tahoma"/>
          <w:szCs w:val="24"/>
        </w:rPr>
      </w:pPr>
    </w:p>
    <w:p w14:paraId="4D7E7D94" w14:textId="77777777" w:rsidR="00FC5DD6" w:rsidRPr="00FC5DD6" w:rsidRDefault="00FC5DD6" w:rsidP="00FC5DD6">
      <w:pPr>
        <w:numPr>
          <w:ilvl w:val="0"/>
          <w:numId w:val="14"/>
        </w:numPr>
        <w:rPr>
          <w:rFonts w:ascii="Tahoma" w:hAnsi="Tahoma" w:cs="Tahoma"/>
          <w:szCs w:val="24"/>
        </w:rPr>
      </w:pPr>
      <w:r w:rsidRPr="00FC5DD6">
        <w:rPr>
          <w:rFonts w:ascii="Tahoma" w:hAnsi="Tahoma" w:cs="Tahoma"/>
          <w:iCs/>
          <w:szCs w:val="24"/>
        </w:rPr>
        <w:t>That the Law Agent shall draft the necessary documents and shall include any further terms deemed appropriate in Agreements of this nature.</w:t>
      </w:r>
    </w:p>
    <w:p w14:paraId="08A48284" w14:textId="77777777" w:rsidR="00FC5DD6" w:rsidRPr="00FC5DD6" w:rsidRDefault="00FC5DD6" w:rsidP="00FC5DD6">
      <w:pPr>
        <w:pStyle w:val="ListParagraph"/>
        <w:rPr>
          <w:rFonts w:ascii="Tahoma" w:hAnsi="Tahoma" w:cs="Tahoma"/>
          <w:sz w:val="24"/>
        </w:rPr>
      </w:pPr>
    </w:p>
    <w:p w14:paraId="2A2FBD13" w14:textId="77777777" w:rsidR="00FC5DD6" w:rsidRPr="00FC5DD6" w:rsidRDefault="00FC5DD6" w:rsidP="00FC5DD6">
      <w:pPr>
        <w:numPr>
          <w:ilvl w:val="0"/>
          <w:numId w:val="14"/>
        </w:numPr>
        <w:rPr>
          <w:rFonts w:ascii="Tahoma" w:hAnsi="Tahoma" w:cs="Tahoma"/>
          <w:szCs w:val="24"/>
        </w:rPr>
      </w:pPr>
      <w:r w:rsidRPr="00FC5DD6">
        <w:rPr>
          <w:rFonts w:ascii="Tahoma" w:hAnsi="Tahoma" w:cs="Tahoma"/>
          <w:iCs/>
          <w:szCs w:val="24"/>
        </w:rPr>
        <w:t>That no contract enforceable at law is created or intended to be created until such time as contracts have been exchanged.</w:t>
      </w:r>
    </w:p>
    <w:p w14:paraId="04754172" w14:textId="77777777" w:rsidR="00FC5DD6" w:rsidRPr="00FC5DD6" w:rsidRDefault="00FC5DD6" w:rsidP="00FC5DD6">
      <w:pPr>
        <w:rPr>
          <w:rFonts w:ascii="Tahoma" w:hAnsi="Tahoma" w:cs="Tahoma"/>
          <w:szCs w:val="24"/>
        </w:rPr>
      </w:pPr>
    </w:p>
    <w:p w14:paraId="215C6717" w14:textId="77777777" w:rsidR="00FC5DD6" w:rsidRPr="00FC5DD6" w:rsidRDefault="00FC5DD6" w:rsidP="00FC5DD6">
      <w:pPr>
        <w:numPr>
          <w:ilvl w:val="0"/>
          <w:numId w:val="14"/>
        </w:numPr>
        <w:rPr>
          <w:rFonts w:ascii="Tahoma" w:hAnsi="Tahoma" w:cs="Tahoma"/>
          <w:szCs w:val="24"/>
        </w:rPr>
      </w:pPr>
      <w:r w:rsidRPr="00FC5DD6">
        <w:rPr>
          <w:rFonts w:ascii="Tahoma" w:eastAsia="Batang" w:hAnsi="Tahoma" w:cs="Tahoma"/>
          <w:szCs w:val="24"/>
          <w:lang w:eastAsia="ko-KR"/>
        </w:rPr>
        <w:t>That the disposal is subject to the necessary approvals and consents being obtained.</w:t>
      </w:r>
    </w:p>
    <w:p w14:paraId="20642BC4" w14:textId="3DEFC8FB" w:rsidR="00CB1B55" w:rsidRPr="005E3A30" w:rsidRDefault="00CB1B55">
      <w:pPr>
        <w:rPr>
          <w:rFonts w:ascii="Tahoma" w:hAnsi="Tahoma" w:cs="Tahoma"/>
          <w:bCs/>
        </w:rPr>
      </w:pPr>
    </w:p>
    <w:p w14:paraId="38767D05" w14:textId="6FBEA958" w:rsidR="00D86F61" w:rsidRDefault="00D86F61" w:rsidP="00D86F61">
      <w:pPr>
        <w:rPr>
          <w:rFonts w:ascii="Tahoma" w:hAnsi="Tahoma" w:cs="Tahoma"/>
          <w:szCs w:val="24"/>
        </w:rPr>
      </w:pPr>
      <w:r>
        <w:rPr>
          <w:rFonts w:ascii="Tahoma" w:hAnsi="Tahoma" w:cs="Tahoma"/>
          <w:szCs w:val="24"/>
        </w:rPr>
        <w:t xml:space="preserve">The </w:t>
      </w:r>
      <w:r w:rsidR="00C04759">
        <w:rPr>
          <w:rFonts w:ascii="Tahoma" w:hAnsi="Tahoma" w:cs="Tahoma"/>
          <w:szCs w:val="24"/>
        </w:rPr>
        <w:t>site</w:t>
      </w:r>
      <w:r>
        <w:rPr>
          <w:rFonts w:ascii="Tahoma" w:hAnsi="Tahoma" w:cs="Tahoma"/>
          <w:szCs w:val="24"/>
        </w:rPr>
        <w:t xml:space="preserve"> disposed of is part of lands acquired from M. Waterman in 1975 for housing and open space purposes.</w:t>
      </w:r>
    </w:p>
    <w:p w14:paraId="7B0AAE8B" w14:textId="77777777" w:rsidR="00E408CF" w:rsidRPr="005E3A30" w:rsidRDefault="00E408CF" w:rsidP="00E408CF">
      <w:pPr>
        <w:rPr>
          <w:rFonts w:ascii="Tahoma" w:hAnsi="Tahoma" w:cs="Tahoma"/>
        </w:rPr>
      </w:pPr>
    </w:p>
    <w:p w14:paraId="63D706A7" w14:textId="77777777" w:rsidR="00E408CF" w:rsidRPr="005E3A30" w:rsidRDefault="00E408CF" w:rsidP="00E408CF">
      <w:pPr>
        <w:rPr>
          <w:rFonts w:ascii="Tahoma" w:hAnsi="Tahoma" w:cs="Tahoma"/>
        </w:rPr>
      </w:pPr>
    </w:p>
    <w:p w14:paraId="4B270DC2" w14:textId="77777777" w:rsidR="00E408CF" w:rsidRPr="005E3A30" w:rsidRDefault="00E408CF" w:rsidP="00E408CF">
      <w:pPr>
        <w:rPr>
          <w:rFonts w:ascii="Tahoma" w:hAnsi="Tahoma" w:cs="Tahoma"/>
          <w:b/>
        </w:rPr>
      </w:pPr>
      <w:r w:rsidRPr="005E3A30">
        <w:rPr>
          <w:rFonts w:ascii="Tahoma" w:hAnsi="Tahoma" w:cs="Tahoma"/>
          <w:b/>
        </w:rPr>
        <w:t>Daniel McLoughlin</w:t>
      </w:r>
    </w:p>
    <w:p w14:paraId="3447A431" w14:textId="77777777" w:rsidR="00E408CF" w:rsidRPr="005E3A30" w:rsidRDefault="00E408CF" w:rsidP="00E408CF">
      <w:pPr>
        <w:rPr>
          <w:rFonts w:ascii="Tahoma" w:hAnsi="Tahoma" w:cs="Tahoma"/>
          <w:b/>
        </w:rPr>
      </w:pPr>
      <w:r w:rsidRPr="005E3A30">
        <w:rPr>
          <w:rFonts w:ascii="Tahoma" w:hAnsi="Tahoma" w:cs="Tahoma"/>
          <w:b/>
        </w:rPr>
        <w:t>Chief Executive</w:t>
      </w:r>
    </w:p>
    <w:p w14:paraId="32FE29AA" w14:textId="77777777" w:rsidR="00CB1B55" w:rsidRDefault="00CB1B55">
      <w:pPr>
        <w:rPr>
          <w:rFonts w:ascii="Tahoma" w:hAnsi="Tahoma" w:cs="Tahoma"/>
          <w:bCs/>
        </w:rPr>
      </w:pPr>
    </w:p>
    <w:p w14:paraId="4FABB857" w14:textId="09CBB7ED" w:rsidR="004D7397" w:rsidRDefault="004D7397">
      <w:pPr>
        <w:rPr>
          <w:rFonts w:ascii="Tahoma" w:hAnsi="Tahoma" w:cs="Tahoma"/>
          <w:bCs/>
        </w:rPr>
      </w:pPr>
    </w:p>
    <w:p w14:paraId="675BBC2A" w14:textId="399DFC5F" w:rsidR="004D7397" w:rsidRPr="004D7397" w:rsidRDefault="00CB1B55">
      <w:pPr>
        <w:rPr>
          <w:rFonts w:ascii="Tahoma" w:hAnsi="Tahoma" w:cs="Tahoma"/>
          <w:bCs/>
        </w:rPr>
      </w:pPr>
      <w:r>
        <w:rPr>
          <w:rFonts w:ascii="Tahoma" w:hAnsi="Tahoma" w:cs="Tahoma"/>
          <w:bCs/>
        </w:rPr>
        <w:tab/>
      </w:r>
      <w:r>
        <w:rPr>
          <w:rFonts w:ascii="Tahoma" w:hAnsi="Tahoma" w:cs="Tahoma"/>
          <w:bCs/>
        </w:rPr>
        <w:tab/>
      </w:r>
    </w:p>
    <w:sectPr w:rsidR="004D7397" w:rsidRPr="004D7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D04"/>
    <w:multiLevelType w:val="hybridMultilevel"/>
    <w:tmpl w:val="D85E39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AF2F6C"/>
    <w:multiLevelType w:val="hybridMultilevel"/>
    <w:tmpl w:val="F78C50A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B417063"/>
    <w:multiLevelType w:val="hybridMultilevel"/>
    <w:tmpl w:val="45F4F57C"/>
    <w:lvl w:ilvl="0" w:tplc="836655C8">
      <w:start w:val="1"/>
      <w:numFmt w:val="lowerLetter"/>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076EF9"/>
    <w:multiLevelType w:val="hybridMultilevel"/>
    <w:tmpl w:val="9588EC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4B040A84"/>
    <w:multiLevelType w:val="hybridMultilevel"/>
    <w:tmpl w:val="C83C4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2BB7AB2"/>
    <w:multiLevelType w:val="hybridMultilevel"/>
    <w:tmpl w:val="AB627C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3D1577E"/>
    <w:multiLevelType w:val="hybridMultilevel"/>
    <w:tmpl w:val="72D0F43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47C1B2A"/>
    <w:multiLevelType w:val="hybridMultilevel"/>
    <w:tmpl w:val="CFE054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3" w15:restartNumberingAfterBreak="0">
    <w:nsid w:val="7E7B029E"/>
    <w:multiLevelType w:val="hybridMultilevel"/>
    <w:tmpl w:val="09B019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3"/>
  </w:num>
  <w:num w:numId="7">
    <w:abstractNumId w:val="1"/>
  </w:num>
  <w:num w:numId="8">
    <w:abstractNumId w:val="9"/>
  </w:num>
  <w:num w:numId="9">
    <w:abstractNumId w:val="7"/>
  </w:num>
  <w:num w:numId="10">
    <w:abstractNumId w:val="11"/>
  </w:num>
  <w:num w:numId="11">
    <w:abstractNumId w:val="0"/>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04"/>
    <w:rsid w:val="000039FC"/>
    <w:rsid w:val="00023AF8"/>
    <w:rsid w:val="00040C43"/>
    <w:rsid w:val="00042988"/>
    <w:rsid w:val="00075ADC"/>
    <w:rsid w:val="000B4844"/>
    <w:rsid w:val="000C7B36"/>
    <w:rsid w:val="000E1E04"/>
    <w:rsid w:val="001658EF"/>
    <w:rsid w:val="00187598"/>
    <w:rsid w:val="001A0BF1"/>
    <w:rsid w:val="001C1627"/>
    <w:rsid w:val="001C1B6D"/>
    <w:rsid w:val="001D1794"/>
    <w:rsid w:val="00250B28"/>
    <w:rsid w:val="002D2567"/>
    <w:rsid w:val="002E08EE"/>
    <w:rsid w:val="003138D7"/>
    <w:rsid w:val="0038118A"/>
    <w:rsid w:val="00473D75"/>
    <w:rsid w:val="004D3484"/>
    <w:rsid w:val="004D500B"/>
    <w:rsid w:val="004D7397"/>
    <w:rsid w:val="005E0A4A"/>
    <w:rsid w:val="005E3A30"/>
    <w:rsid w:val="00622C2C"/>
    <w:rsid w:val="00685C74"/>
    <w:rsid w:val="00695076"/>
    <w:rsid w:val="006B6C0F"/>
    <w:rsid w:val="007069EA"/>
    <w:rsid w:val="0073589E"/>
    <w:rsid w:val="007959B1"/>
    <w:rsid w:val="007A5551"/>
    <w:rsid w:val="00825727"/>
    <w:rsid w:val="008C123C"/>
    <w:rsid w:val="009B5BD6"/>
    <w:rsid w:val="00A131D9"/>
    <w:rsid w:val="00A37B86"/>
    <w:rsid w:val="00A53791"/>
    <w:rsid w:val="00A561B7"/>
    <w:rsid w:val="00AA44BB"/>
    <w:rsid w:val="00AA7C6A"/>
    <w:rsid w:val="00AF6F4D"/>
    <w:rsid w:val="00B44E34"/>
    <w:rsid w:val="00BC68C8"/>
    <w:rsid w:val="00C04759"/>
    <w:rsid w:val="00C558AD"/>
    <w:rsid w:val="00CA2E0E"/>
    <w:rsid w:val="00CB1B55"/>
    <w:rsid w:val="00CE5AA3"/>
    <w:rsid w:val="00D07AED"/>
    <w:rsid w:val="00D24358"/>
    <w:rsid w:val="00D86F61"/>
    <w:rsid w:val="00DB5AA7"/>
    <w:rsid w:val="00DC1DE4"/>
    <w:rsid w:val="00DE475E"/>
    <w:rsid w:val="00E3288C"/>
    <w:rsid w:val="00E343EE"/>
    <w:rsid w:val="00E408CF"/>
    <w:rsid w:val="00E46B61"/>
    <w:rsid w:val="00E92938"/>
    <w:rsid w:val="00EA6402"/>
    <w:rsid w:val="00FC5DD6"/>
    <w:rsid w:val="00FE2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E338ED"/>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FE2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A3"/>
    <w:rPr>
      <w:rFonts w:ascii="Segoe UI" w:eastAsia="Times New Roman" w:hAnsi="Segoe UI" w:cs="Segoe UI"/>
      <w:sz w:val="18"/>
      <w:szCs w:val="18"/>
      <w:lang w:val="en-GB"/>
    </w:rPr>
  </w:style>
  <w:style w:type="table" w:styleId="TableGrid">
    <w:name w:val="Table Grid"/>
    <w:basedOn w:val="TableNormal"/>
    <w:rsid w:val="00B44E34"/>
    <w:pPr>
      <w:ind w:left="0"/>
      <w:jc w:val="left"/>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8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F:\Disposals\January%202006\January%202006_files\cres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BF7CD-241D-4CC5-9CEA-8097DE61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10</cp:revision>
  <dcterms:created xsi:type="dcterms:W3CDTF">2019-08-13T14:46:00Z</dcterms:created>
  <dcterms:modified xsi:type="dcterms:W3CDTF">2019-08-28T11:12:00Z</dcterms:modified>
</cp:coreProperties>
</file>