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2EDE" w14:textId="77777777" w:rsidR="0073769F" w:rsidRDefault="0073769F" w:rsidP="0073769F">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14:paraId="3590E93E" w14:textId="788F3D72" w:rsidR="0073769F" w:rsidRDefault="0073769F" w:rsidP="0073769F">
      <w:pPr>
        <w:pStyle w:val="replyimage"/>
        <w:rPr>
          <w:rFonts w:ascii="Verdana" w:hAnsi="Verdana"/>
          <w:color w:val="000000"/>
        </w:rPr>
      </w:pPr>
      <w:r>
        <w:rPr>
          <w:rFonts w:ascii="Verdana" w:hAnsi="Verdana"/>
          <w:noProof/>
          <w:color w:val="000000"/>
        </w:rPr>
        <w:drawing>
          <wp:inline distT="0" distB="0" distL="0" distR="0" wp14:anchorId="1139B30A" wp14:editId="3E8467CF">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350CD43" w14:textId="77777777" w:rsidR="0073769F" w:rsidRDefault="0073769F" w:rsidP="0073769F">
      <w:pPr>
        <w:pStyle w:val="replymain"/>
        <w:rPr>
          <w:rFonts w:ascii="Verdana" w:hAnsi="Verdana"/>
          <w:color w:val="000000"/>
        </w:rPr>
      </w:pPr>
      <w:r>
        <w:rPr>
          <w:rFonts w:ascii="Verdana" w:hAnsi="Verdana"/>
          <w:color w:val="000000"/>
        </w:rPr>
        <w:t>MEETING OF SOUTH DUBLIN COUNTY COUNCIL</w:t>
      </w:r>
    </w:p>
    <w:p w14:paraId="1DDF3FBC" w14:textId="77777777" w:rsidR="0073769F" w:rsidRDefault="0073769F" w:rsidP="0073769F">
      <w:pPr>
        <w:pStyle w:val="replymain"/>
        <w:rPr>
          <w:rFonts w:ascii="Verdana" w:hAnsi="Verdana"/>
          <w:color w:val="000000"/>
        </w:rPr>
      </w:pPr>
      <w:r>
        <w:rPr>
          <w:rFonts w:ascii="Verdana" w:hAnsi="Verdana"/>
          <w:color w:val="000000"/>
        </w:rPr>
        <w:t>Monday, July 08, 2019</w:t>
      </w:r>
    </w:p>
    <w:p w14:paraId="189CD236" w14:textId="71509476" w:rsidR="0073769F" w:rsidRDefault="0073769F" w:rsidP="0073769F">
      <w:pPr>
        <w:pStyle w:val="replymain"/>
        <w:rPr>
          <w:rFonts w:ascii="Verdana" w:hAnsi="Verdana"/>
          <w:color w:val="000000"/>
        </w:rPr>
      </w:pPr>
      <w:r>
        <w:rPr>
          <w:rFonts w:ascii="Verdana" w:hAnsi="Verdana"/>
          <w:color w:val="000000"/>
        </w:rPr>
        <w:t>HEADED ITEM NO.</w:t>
      </w:r>
      <w:r w:rsidR="00CB1DDB">
        <w:rPr>
          <w:rFonts w:ascii="Verdana" w:hAnsi="Verdana"/>
          <w:color w:val="000000"/>
        </w:rPr>
        <w:t xml:space="preserve"> (14)</w:t>
      </w:r>
    </w:p>
    <w:p w14:paraId="53391CF6" w14:textId="6880C4CC" w:rsidR="0073769F" w:rsidRDefault="0073769F" w:rsidP="0073769F">
      <w:pPr>
        <w:pStyle w:val="NormalWeb"/>
        <w:rPr>
          <w:rFonts w:ascii="Verdana" w:hAnsi="Verdana"/>
          <w:color w:val="000000"/>
        </w:rPr>
      </w:pPr>
      <w:r>
        <w:rPr>
          <w:rStyle w:val="Strong"/>
          <w:rFonts w:ascii="Verdana" w:hAnsi="Verdana"/>
          <w:color w:val="000000"/>
        </w:rPr>
        <w:t>HEADED ITEM: Economic Enterprise and Tourism Development Directorate</w:t>
      </w:r>
    </w:p>
    <w:p w14:paraId="5118DDD0" w14:textId="77777777" w:rsidR="0073769F" w:rsidRDefault="0073769F" w:rsidP="0073769F">
      <w:pPr>
        <w:pStyle w:val="NormalWeb"/>
        <w:rPr>
          <w:rFonts w:ascii="Verdana" w:hAnsi="Verdana"/>
          <w:color w:val="000000"/>
        </w:rPr>
      </w:pPr>
      <w:r>
        <w:rPr>
          <w:rStyle w:val="Strong"/>
          <w:rFonts w:ascii="Verdana" w:hAnsi="Verdana"/>
          <w:color w:val="000000"/>
          <w:u w:val="single"/>
        </w:rPr>
        <w:t>LIBRARY PROVISION FOR WEST OF COUNTY INITIAL REPORT</w:t>
      </w:r>
    </w:p>
    <w:p w14:paraId="4202433D" w14:textId="65274092" w:rsidR="0073769F" w:rsidRDefault="0073769F" w:rsidP="0073769F">
      <w:pPr>
        <w:pStyle w:val="NormalWeb"/>
        <w:rPr>
          <w:rStyle w:val="Strong"/>
          <w:rFonts w:ascii="Verdana" w:hAnsi="Verdana"/>
          <w:color w:val="000000"/>
        </w:rPr>
      </w:pPr>
      <w:r>
        <w:rPr>
          <w:rStyle w:val="Strong"/>
          <w:rFonts w:ascii="Verdana" w:hAnsi="Verdana"/>
          <w:color w:val="000000"/>
        </w:rPr>
        <w:t>REPLY:</w:t>
      </w:r>
    </w:p>
    <w:p w14:paraId="2DE5134E" w14:textId="218526AF" w:rsidR="0073769F" w:rsidRDefault="0073769F" w:rsidP="0073769F">
      <w:pPr>
        <w:pStyle w:val="NormalWeb"/>
        <w:rPr>
          <w:rStyle w:val="Strong"/>
          <w:rFonts w:ascii="Verdana" w:hAnsi="Verdana"/>
          <w:b w:val="0"/>
          <w:bCs w:val="0"/>
          <w:color w:val="000000"/>
        </w:rPr>
      </w:pPr>
      <w:r>
        <w:rPr>
          <w:rStyle w:val="Strong"/>
          <w:rFonts w:ascii="Verdana" w:hAnsi="Verdana"/>
          <w:b w:val="0"/>
          <w:bCs w:val="0"/>
          <w:color w:val="000000"/>
        </w:rPr>
        <w:t>As part of the 2019 Budget process it was agreed that during 2019 studies would commence on Library provision in the West of the County.</w:t>
      </w:r>
    </w:p>
    <w:p w14:paraId="0C29D906" w14:textId="3947D0D1" w:rsidR="0073769F" w:rsidRPr="0073769F" w:rsidRDefault="0073769F" w:rsidP="002443CE">
      <w:pPr>
        <w:pStyle w:val="NormalWeb"/>
        <w:jc w:val="both"/>
        <w:rPr>
          <w:rFonts w:ascii="Verdana" w:hAnsi="Verdana"/>
          <w:color w:val="000000"/>
        </w:rPr>
      </w:pPr>
      <w:r>
        <w:rPr>
          <w:rStyle w:val="Strong"/>
          <w:rFonts w:ascii="Verdana" w:hAnsi="Verdana"/>
          <w:b w:val="0"/>
          <w:bCs w:val="0"/>
          <w:color w:val="000000"/>
        </w:rPr>
        <w:t>Given that the County Library based at County Hall Tallaght provides a significant service to the Tallaght area and the wider County, the needs for Library services in the West of the County, particularly Rathcoole/Newcastle/Saggart is considered below.</w:t>
      </w:r>
    </w:p>
    <w:p w14:paraId="56D07BCB" w14:textId="77777777" w:rsidR="009B09A1" w:rsidRDefault="009B09A1" w:rsidP="002443CE">
      <w:pPr>
        <w:spacing w:line="240" w:lineRule="auto"/>
        <w:contextualSpacing/>
        <w:jc w:val="both"/>
        <w:rPr>
          <w:b/>
        </w:rPr>
      </w:pPr>
    </w:p>
    <w:p w14:paraId="281FBC92" w14:textId="0604B5A5" w:rsidR="00E324A1" w:rsidRDefault="002443CE" w:rsidP="0089780F">
      <w:pPr>
        <w:spacing w:line="240" w:lineRule="auto"/>
        <w:contextualSpacing/>
        <w:jc w:val="both"/>
        <w:rPr>
          <w:rFonts w:ascii="Verdana" w:hAnsi="Verdana"/>
          <w:b/>
          <w:sz w:val="24"/>
          <w:szCs w:val="24"/>
          <w:u w:val="single"/>
        </w:rPr>
      </w:pPr>
      <w:r w:rsidRPr="00855AC8">
        <w:rPr>
          <w:rFonts w:ascii="Verdana" w:hAnsi="Verdana"/>
          <w:b/>
          <w:sz w:val="24"/>
          <w:szCs w:val="24"/>
          <w:u w:val="single"/>
        </w:rPr>
        <w:t>Policy b</w:t>
      </w:r>
      <w:r w:rsidR="00E324A1" w:rsidRPr="00855AC8">
        <w:rPr>
          <w:rFonts w:ascii="Verdana" w:hAnsi="Verdana"/>
          <w:b/>
          <w:sz w:val="24"/>
          <w:szCs w:val="24"/>
          <w:u w:val="single"/>
        </w:rPr>
        <w:t xml:space="preserve">ackground </w:t>
      </w:r>
    </w:p>
    <w:p w14:paraId="7DB933CF" w14:textId="77777777" w:rsidR="00855AC8" w:rsidRPr="00855AC8" w:rsidRDefault="00855AC8" w:rsidP="0089780F">
      <w:pPr>
        <w:spacing w:line="240" w:lineRule="auto"/>
        <w:contextualSpacing/>
        <w:jc w:val="both"/>
        <w:rPr>
          <w:rFonts w:ascii="Verdana" w:hAnsi="Verdana"/>
          <w:b/>
          <w:sz w:val="24"/>
          <w:szCs w:val="24"/>
          <w:u w:val="single"/>
        </w:rPr>
      </w:pPr>
    </w:p>
    <w:p w14:paraId="7C51C48F" w14:textId="199520FC" w:rsidR="00843772" w:rsidRPr="002443CE" w:rsidRDefault="00843772" w:rsidP="00843772">
      <w:pPr>
        <w:spacing w:line="240" w:lineRule="auto"/>
        <w:contextualSpacing/>
        <w:jc w:val="both"/>
        <w:rPr>
          <w:rFonts w:ascii="Verdana" w:hAnsi="Verdana"/>
          <w:sz w:val="24"/>
          <w:szCs w:val="24"/>
        </w:rPr>
      </w:pPr>
      <w:r w:rsidRPr="002443CE">
        <w:rPr>
          <w:rFonts w:ascii="Verdana" w:hAnsi="Verdana"/>
          <w:sz w:val="24"/>
          <w:szCs w:val="24"/>
        </w:rPr>
        <w:t>In a general policy context, the provision of library services in the County is supported in Section 3.4.0 of the South Dublin County Council Development Plan 2016-2022</w:t>
      </w:r>
      <w:r w:rsidR="0004506F" w:rsidRPr="002443CE">
        <w:rPr>
          <w:rFonts w:ascii="Verdana" w:hAnsi="Verdana"/>
          <w:sz w:val="24"/>
          <w:szCs w:val="24"/>
        </w:rPr>
        <w:t>.</w:t>
      </w:r>
    </w:p>
    <w:p w14:paraId="51789266" w14:textId="77777777" w:rsidR="0004506F" w:rsidRPr="002443CE" w:rsidRDefault="0004506F" w:rsidP="00843772">
      <w:pPr>
        <w:spacing w:line="240" w:lineRule="auto"/>
        <w:contextualSpacing/>
        <w:jc w:val="both"/>
        <w:rPr>
          <w:rFonts w:ascii="Verdana" w:hAnsi="Verdana"/>
          <w:b/>
          <w:sz w:val="24"/>
          <w:szCs w:val="24"/>
        </w:rPr>
      </w:pPr>
    </w:p>
    <w:p w14:paraId="468ADE0A" w14:textId="7EE9EDEE" w:rsidR="00843772" w:rsidRPr="002443CE" w:rsidRDefault="00843772" w:rsidP="00843772">
      <w:pPr>
        <w:spacing w:line="240" w:lineRule="auto"/>
        <w:contextualSpacing/>
        <w:jc w:val="both"/>
        <w:rPr>
          <w:rFonts w:ascii="Verdana" w:hAnsi="Verdana"/>
          <w:b/>
          <w:sz w:val="24"/>
          <w:szCs w:val="24"/>
        </w:rPr>
      </w:pPr>
      <w:r w:rsidRPr="002443CE">
        <w:rPr>
          <w:rFonts w:ascii="Verdana" w:hAnsi="Verdana"/>
          <w:b/>
          <w:sz w:val="24"/>
          <w:szCs w:val="24"/>
        </w:rPr>
        <w:t>Community Infrastructure Policy 2</w:t>
      </w:r>
      <w:r w:rsidR="00151FC2" w:rsidRPr="002443CE">
        <w:rPr>
          <w:rFonts w:ascii="Verdana" w:hAnsi="Verdana"/>
          <w:b/>
          <w:sz w:val="24"/>
          <w:szCs w:val="24"/>
        </w:rPr>
        <w:t xml:space="preserve">:  Section 3.4.0 Libraries </w:t>
      </w:r>
    </w:p>
    <w:p w14:paraId="1AB8FF4C" w14:textId="3786C2B9" w:rsidR="00843772" w:rsidRPr="002443CE" w:rsidRDefault="00843772" w:rsidP="00843772">
      <w:pPr>
        <w:spacing w:line="240" w:lineRule="auto"/>
        <w:contextualSpacing/>
        <w:jc w:val="both"/>
        <w:rPr>
          <w:rFonts w:ascii="Verdana" w:hAnsi="Verdana"/>
          <w:b/>
          <w:sz w:val="24"/>
          <w:szCs w:val="24"/>
        </w:rPr>
      </w:pPr>
      <w:r w:rsidRPr="002443CE">
        <w:rPr>
          <w:rFonts w:ascii="Verdana" w:hAnsi="Verdana"/>
          <w:sz w:val="24"/>
          <w:szCs w:val="24"/>
        </w:rPr>
        <w:t xml:space="preserve">It is the policy of the Council to continue to provide an innovative, community focused public library service to all who live, work and study in South Dublin County. </w:t>
      </w:r>
    </w:p>
    <w:p w14:paraId="661E1391" w14:textId="5FF40509" w:rsidR="0004506F" w:rsidRPr="002443CE" w:rsidRDefault="00843772" w:rsidP="00843772">
      <w:pPr>
        <w:spacing w:line="240" w:lineRule="auto"/>
        <w:contextualSpacing/>
        <w:jc w:val="both"/>
        <w:rPr>
          <w:rFonts w:ascii="Verdana" w:hAnsi="Verdana"/>
          <w:b/>
          <w:sz w:val="24"/>
          <w:szCs w:val="24"/>
        </w:rPr>
      </w:pPr>
      <w:r w:rsidRPr="002443CE">
        <w:rPr>
          <w:rFonts w:ascii="Verdana" w:hAnsi="Verdana"/>
          <w:b/>
          <w:sz w:val="24"/>
          <w:szCs w:val="24"/>
        </w:rPr>
        <w:t>Objective 1:</w:t>
      </w:r>
      <w:r w:rsidRPr="002443CE">
        <w:rPr>
          <w:rFonts w:ascii="Verdana" w:hAnsi="Verdana"/>
          <w:sz w:val="24"/>
          <w:szCs w:val="24"/>
        </w:rPr>
        <w:t xml:space="preserve"> To support the development of the County’s library services and the implementation of the Actions set out in the South Dublin Library Development Plan 2012-2016 (</w:t>
      </w:r>
      <w:r w:rsidRPr="002443CE">
        <w:rPr>
          <w:rFonts w:ascii="Verdana" w:hAnsi="Verdana"/>
          <w:b/>
          <w:sz w:val="24"/>
          <w:szCs w:val="24"/>
        </w:rPr>
        <w:t xml:space="preserve">and any </w:t>
      </w:r>
      <w:r w:rsidR="006D59EE" w:rsidRPr="002443CE">
        <w:rPr>
          <w:rFonts w:ascii="Verdana" w:hAnsi="Verdana"/>
          <w:b/>
          <w:sz w:val="24"/>
          <w:szCs w:val="24"/>
        </w:rPr>
        <w:t>future</w:t>
      </w:r>
      <w:r w:rsidR="006D59EE">
        <w:rPr>
          <w:rFonts w:ascii="Verdana" w:hAnsi="Verdana"/>
          <w:b/>
          <w:sz w:val="24"/>
          <w:szCs w:val="24"/>
        </w:rPr>
        <w:t xml:space="preserve"> plans</w:t>
      </w:r>
      <w:r w:rsidRPr="002443CE">
        <w:rPr>
          <w:rFonts w:ascii="Verdana" w:hAnsi="Verdana"/>
          <w:b/>
          <w:sz w:val="24"/>
          <w:szCs w:val="24"/>
        </w:rPr>
        <w:t xml:space="preserve">). </w:t>
      </w:r>
      <w:r w:rsidR="0004506F" w:rsidRPr="002443CE">
        <w:rPr>
          <w:rFonts w:ascii="Verdana" w:hAnsi="Verdana"/>
          <w:b/>
          <w:sz w:val="24"/>
          <w:szCs w:val="24"/>
        </w:rPr>
        <w:t xml:space="preserve"> </w:t>
      </w:r>
    </w:p>
    <w:p w14:paraId="4292510E" w14:textId="77777777" w:rsidR="00120C45" w:rsidRPr="002443CE" w:rsidRDefault="00120C45" w:rsidP="00843772">
      <w:pPr>
        <w:spacing w:line="240" w:lineRule="auto"/>
        <w:contextualSpacing/>
        <w:jc w:val="both"/>
        <w:rPr>
          <w:rFonts w:ascii="Verdana" w:hAnsi="Verdana"/>
          <w:b/>
          <w:sz w:val="24"/>
          <w:szCs w:val="24"/>
        </w:rPr>
      </w:pPr>
    </w:p>
    <w:p w14:paraId="78DDAB31" w14:textId="15E07981" w:rsidR="00B656F7" w:rsidRPr="002443CE" w:rsidRDefault="0004506F" w:rsidP="0089780F">
      <w:pPr>
        <w:spacing w:line="240" w:lineRule="auto"/>
        <w:contextualSpacing/>
        <w:jc w:val="both"/>
        <w:rPr>
          <w:rFonts w:ascii="Verdana" w:hAnsi="Verdana"/>
          <w:sz w:val="24"/>
          <w:szCs w:val="24"/>
        </w:rPr>
      </w:pPr>
      <w:r w:rsidRPr="002443CE">
        <w:rPr>
          <w:rFonts w:ascii="Verdana" w:hAnsi="Verdana"/>
          <w:b/>
          <w:sz w:val="24"/>
          <w:szCs w:val="24"/>
        </w:rPr>
        <w:lastRenderedPageBreak/>
        <w:t xml:space="preserve">“Open to You” </w:t>
      </w:r>
      <w:r w:rsidR="00276531" w:rsidRPr="002443CE">
        <w:rPr>
          <w:rFonts w:ascii="Verdana" w:hAnsi="Verdana"/>
          <w:b/>
          <w:sz w:val="24"/>
          <w:szCs w:val="24"/>
        </w:rPr>
        <w:t xml:space="preserve">South Dublin Library Development Plan 2018 </w:t>
      </w:r>
      <w:r w:rsidRPr="002443CE">
        <w:rPr>
          <w:rFonts w:ascii="Verdana" w:hAnsi="Verdana"/>
          <w:b/>
          <w:sz w:val="24"/>
          <w:szCs w:val="24"/>
        </w:rPr>
        <w:t>–</w:t>
      </w:r>
      <w:r w:rsidR="00276531" w:rsidRPr="002443CE">
        <w:rPr>
          <w:rFonts w:ascii="Verdana" w:hAnsi="Verdana"/>
          <w:b/>
          <w:sz w:val="24"/>
          <w:szCs w:val="24"/>
        </w:rPr>
        <w:t xml:space="preserve"> 2022</w:t>
      </w:r>
      <w:r w:rsidRPr="002443CE">
        <w:rPr>
          <w:rFonts w:ascii="Verdana" w:hAnsi="Verdana"/>
          <w:b/>
          <w:sz w:val="24"/>
          <w:szCs w:val="24"/>
        </w:rPr>
        <w:t xml:space="preserve">, </w:t>
      </w:r>
      <w:r w:rsidR="00120C45" w:rsidRPr="002443CE">
        <w:rPr>
          <w:rFonts w:ascii="Verdana" w:hAnsi="Verdana"/>
          <w:sz w:val="24"/>
          <w:szCs w:val="24"/>
        </w:rPr>
        <w:t>over the lifetime of the plan will explore the possibility of regional services points in densely or fast</w:t>
      </w:r>
      <w:r w:rsidR="00151FC2" w:rsidRPr="002443CE">
        <w:rPr>
          <w:rFonts w:ascii="Verdana" w:hAnsi="Verdana"/>
          <w:sz w:val="24"/>
          <w:szCs w:val="24"/>
        </w:rPr>
        <w:t>-</w:t>
      </w:r>
      <w:r w:rsidR="00120C45" w:rsidRPr="002443CE">
        <w:rPr>
          <w:rFonts w:ascii="Verdana" w:hAnsi="Verdana"/>
          <w:sz w:val="24"/>
          <w:szCs w:val="24"/>
        </w:rPr>
        <w:t xml:space="preserve"> growing areas of population.</w:t>
      </w:r>
    </w:p>
    <w:p w14:paraId="0C5B0485" w14:textId="77777777" w:rsidR="0089780F" w:rsidRPr="002443CE" w:rsidRDefault="0089780F" w:rsidP="0089780F">
      <w:pPr>
        <w:spacing w:line="240" w:lineRule="auto"/>
        <w:contextualSpacing/>
        <w:jc w:val="both"/>
        <w:rPr>
          <w:rFonts w:ascii="Verdana" w:hAnsi="Verdana"/>
          <w:b/>
          <w:sz w:val="24"/>
          <w:szCs w:val="24"/>
        </w:rPr>
      </w:pPr>
    </w:p>
    <w:p w14:paraId="491F748C" w14:textId="6B40416B" w:rsidR="0004506F" w:rsidRPr="002443CE" w:rsidRDefault="00E324A1" w:rsidP="0089780F">
      <w:pPr>
        <w:spacing w:line="240" w:lineRule="auto"/>
        <w:contextualSpacing/>
        <w:jc w:val="both"/>
        <w:rPr>
          <w:rFonts w:ascii="Verdana" w:hAnsi="Verdana"/>
          <w:b/>
          <w:sz w:val="24"/>
          <w:szCs w:val="24"/>
        </w:rPr>
      </w:pPr>
      <w:r w:rsidRPr="002443CE">
        <w:rPr>
          <w:rFonts w:ascii="Verdana" w:hAnsi="Verdana"/>
          <w:b/>
          <w:sz w:val="24"/>
          <w:szCs w:val="24"/>
        </w:rPr>
        <w:t xml:space="preserve">Population Forecasts and South Dublin County Council Development Plan 2016 -2022 Context </w:t>
      </w:r>
    </w:p>
    <w:p w14:paraId="18DCA3E2" w14:textId="084B866D" w:rsidR="0004506F" w:rsidRPr="002443CE" w:rsidRDefault="0004506F" w:rsidP="0089780F">
      <w:pPr>
        <w:spacing w:line="240" w:lineRule="auto"/>
        <w:contextualSpacing/>
        <w:jc w:val="both"/>
        <w:rPr>
          <w:rFonts w:ascii="Verdana" w:hAnsi="Verdana"/>
          <w:sz w:val="24"/>
          <w:szCs w:val="24"/>
        </w:rPr>
      </w:pPr>
      <w:r w:rsidRPr="002443CE">
        <w:rPr>
          <w:rFonts w:ascii="Verdana" w:hAnsi="Verdana"/>
          <w:sz w:val="24"/>
          <w:szCs w:val="24"/>
        </w:rPr>
        <w:t>Census 2016 revealed that the fastest growing areas in South Dublin County are Saggart-City</w:t>
      </w:r>
      <w:r w:rsidR="00070866" w:rsidRPr="002443CE">
        <w:rPr>
          <w:rFonts w:ascii="Verdana" w:hAnsi="Verdana"/>
          <w:sz w:val="24"/>
          <w:szCs w:val="24"/>
        </w:rPr>
        <w:t>w</w:t>
      </w:r>
      <w:r w:rsidRPr="002443CE">
        <w:rPr>
          <w:rFonts w:ascii="Verdana" w:hAnsi="Verdana"/>
          <w:sz w:val="24"/>
          <w:szCs w:val="24"/>
        </w:rPr>
        <w:t>est, Rathcoole and Tallaght Springfield.</w:t>
      </w:r>
    </w:p>
    <w:p w14:paraId="05C7A691" w14:textId="53DA32B5" w:rsidR="0023404E" w:rsidRPr="002443CE" w:rsidRDefault="00FD5B58" w:rsidP="0089780F">
      <w:pPr>
        <w:spacing w:line="240" w:lineRule="auto"/>
        <w:contextualSpacing/>
        <w:jc w:val="both"/>
        <w:rPr>
          <w:rFonts w:ascii="Verdana" w:hAnsi="Verdana"/>
          <w:sz w:val="24"/>
          <w:szCs w:val="24"/>
        </w:rPr>
      </w:pPr>
      <w:r w:rsidRPr="002443CE">
        <w:rPr>
          <w:rFonts w:ascii="Verdana" w:hAnsi="Verdana"/>
          <w:sz w:val="24"/>
          <w:szCs w:val="24"/>
        </w:rPr>
        <w:t>Also,</w:t>
      </w:r>
      <w:r w:rsidR="0004506F" w:rsidRPr="002443CE">
        <w:rPr>
          <w:rFonts w:ascii="Verdana" w:hAnsi="Verdana"/>
          <w:sz w:val="24"/>
          <w:szCs w:val="24"/>
        </w:rPr>
        <w:t xml:space="preserve"> </w:t>
      </w:r>
      <w:r w:rsidR="001E63E0" w:rsidRPr="002443CE">
        <w:rPr>
          <w:rFonts w:ascii="Verdana" w:hAnsi="Verdana"/>
          <w:sz w:val="24"/>
          <w:szCs w:val="24"/>
        </w:rPr>
        <w:t>In the context of the</w:t>
      </w:r>
      <w:r w:rsidR="0023404E" w:rsidRPr="002443CE">
        <w:rPr>
          <w:rFonts w:ascii="Verdana" w:hAnsi="Verdana"/>
          <w:sz w:val="24"/>
          <w:szCs w:val="24"/>
        </w:rPr>
        <w:t xml:space="preserve"> Core Strategy of the South Dublin County Council Development Plan 2016-2022, the catchment for the library can be </w:t>
      </w:r>
      <w:r w:rsidR="00A11483" w:rsidRPr="002443CE">
        <w:rPr>
          <w:rFonts w:ascii="Verdana" w:hAnsi="Verdana"/>
          <w:sz w:val="24"/>
          <w:szCs w:val="24"/>
        </w:rPr>
        <w:t>summarised</w:t>
      </w:r>
      <w:r w:rsidR="0023404E" w:rsidRPr="002443CE">
        <w:rPr>
          <w:rFonts w:ascii="Verdana" w:hAnsi="Verdana"/>
          <w:sz w:val="24"/>
          <w:szCs w:val="24"/>
        </w:rPr>
        <w:t xml:space="preserve"> as the Saggart- Citywest (Emerging Moderate Sustainable Growth Town), Newcastle (Small Town) and Rathcoole (Small Town)</w:t>
      </w:r>
      <w:r w:rsidR="001E63E0" w:rsidRPr="002443CE">
        <w:rPr>
          <w:rFonts w:ascii="Verdana" w:hAnsi="Verdana"/>
          <w:sz w:val="24"/>
          <w:szCs w:val="24"/>
        </w:rPr>
        <w:t xml:space="preserve"> </w:t>
      </w:r>
      <w:r w:rsidR="00E324A1" w:rsidRPr="002443CE">
        <w:rPr>
          <w:rFonts w:ascii="Verdana" w:hAnsi="Verdana"/>
          <w:sz w:val="24"/>
          <w:szCs w:val="24"/>
        </w:rPr>
        <w:t>settlements</w:t>
      </w:r>
      <w:r w:rsidR="001E63E0" w:rsidRPr="002443CE">
        <w:rPr>
          <w:rFonts w:ascii="Verdana" w:hAnsi="Verdana"/>
          <w:sz w:val="24"/>
          <w:szCs w:val="24"/>
        </w:rPr>
        <w:t xml:space="preserve"> in the Settlement Hierarchy. </w:t>
      </w:r>
      <w:r w:rsidR="0023404E" w:rsidRPr="002443CE">
        <w:rPr>
          <w:rFonts w:ascii="Verdana" w:hAnsi="Verdana"/>
          <w:sz w:val="24"/>
          <w:szCs w:val="24"/>
        </w:rPr>
        <w:t xml:space="preserve"> </w:t>
      </w:r>
    </w:p>
    <w:p w14:paraId="2DDA6F7E" w14:textId="77777777" w:rsidR="0089780F" w:rsidRPr="002443CE" w:rsidRDefault="0089780F" w:rsidP="0089780F">
      <w:pPr>
        <w:spacing w:line="240" w:lineRule="auto"/>
        <w:contextualSpacing/>
        <w:jc w:val="both"/>
        <w:rPr>
          <w:rFonts w:ascii="Verdana" w:hAnsi="Verdana"/>
          <w:sz w:val="24"/>
          <w:szCs w:val="24"/>
        </w:rPr>
      </w:pPr>
    </w:p>
    <w:tbl>
      <w:tblPr>
        <w:tblStyle w:val="TableGrid"/>
        <w:tblW w:w="0" w:type="auto"/>
        <w:tblLook w:val="04A0" w:firstRow="1" w:lastRow="0" w:firstColumn="1" w:lastColumn="0" w:noHBand="0" w:noVBand="1"/>
      </w:tblPr>
      <w:tblGrid>
        <w:gridCol w:w="1431"/>
        <w:gridCol w:w="1675"/>
        <w:gridCol w:w="1675"/>
        <w:gridCol w:w="1402"/>
        <w:gridCol w:w="1402"/>
        <w:gridCol w:w="1431"/>
      </w:tblGrid>
      <w:tr w:rsidR="0023404E" w:rsidRPr="002443CE" w14:paraId="0CC7427E" w14:textId="77777777" w:rsidTr="0023404E">
        <w:tc>
          <w:tcPr>
            <w:tcW w:w="1502" w:type="dxa"/>
          </w:tcPr>
          <w:p w14:paraId="0605FA26" w14:textId="77DAD3D2" w:rsidR="0023404E" w:rsidRPr="002443CE" w:rsidRDefault="0023404E" w:rsidP="0089780F">
            <w:pPr>
              <w:contextualSpacing/>
              <w:jc w:val="both"/>
              <w:rPr>
                <w:rFonts w:ascii="Verdana" w:hAnsi="Verdana"/>
                <w:b/>
                <w:sz w:val="24"/>
                <w:szCs w:val="24"/>
              </w:rPr>
            </w:pPr>
            <w:r w:rsidRPr="002443CE">
              <w:rPr>
                <w:rFonts w:ascii="Verdana" w:hAnsi="Verdana"/>
                <w:b/>
                <w:sz w:val="24"/>
                <w:szCs w:val="24"/>
              </w:rPr>
              <w:t xml:space="preserve">Settlement Hierarchy </w:t>
            </w:r>
          </w:p>
        </w:tc>
        <w:tc>
          <w:tcPr>
            <w:tcW w:w="1502" w:type="dxa"/>
          </w:tcPr>
          <w:p w14:paraId="2E5A3C3A" w14:textId="32AA73D1" w:rsidR="0023404E" w:rsidRPr="002443CE" w:rsidRDefault="0023404E" w:rsidP="0089780F">
            <w:pPr>
              <w:contextualSpacing/>
              <w:jc w:val="both"/>
              <w:rPr>
                <w:rFonts w:ascii="Verdana" w:hAnsi="Verdana"/>
                <w:b/>
                <w:sz w:val="24"/>
                <w:szCs w:val="24"/>
              </w:rPr>
            </w:pPr>
            <w:r w:rsidRPr="002443CE">
              <w:rPr>
                <w:rFonts w:ascii="Verdana" w:hAnsi="Verdana"/>
                <w:b/>
                <w:sz w:val="24"/>
                <w:szCs w:val="24"/>
              </w:rPr>
              <w:t xml:space="preserve">Total Land Capacity in Development Plan 2016 – 2022 </w:t>
            </w:r>
          </w:p>
        </w:tc>
        <w:tc>
          <w:tcPr>
            <w:tcW w:w="1503" w:type="dxa"/>
          </w:tcPr>
          <w:p w14:paraId="56C54E4B" w14:textId="526870EA" w:rsidR="0023404E" w:rsidRPr="002443CE" w:rsidRDefault="0023404E" w:rsidP="0089780F">
            <w:pPr>
              <w:contextualSpacing/>
              <w:jc w:val="both"/>
              <w:rPr>
                <w:rFonts w:ascii="Verdana" w:hAnsi="Verdana"/>
                <w:b/>
                <w:sz w:val="24"/>
                <w:szCs w:val="24"/>
              </w:rPr>
            </w:pPr>
            <w:r w:rsidRPr="002443CE">
              <w:rPr>
                <w:rFonts w:ascii="Verdana" w:hAnsi="Verdana"/>
                <w:b/>
                <w:sz w:val="24"/>
                <w:szCs w:val="24"/>
              </w:rPr>
              <w:t>Total Housing Capacity in Development Plan 2016 – 2022</w:t>
            </w:r>
          </w:p>
        </w:tc>
        <w:tc>
          <w:tcPr>
            <w:tcW w:w="1503" w:type="dxa"/>
          </w:tcPr>
          <w:p w14:paraId="2A25A35A" w14:textId="034EE04B" w:rsidR="00BF3FFD" w:rsidRPr="002443CE" w:rsidRDefault="0023404E" w:rsidP="0089780F">
            <w:pPr>
              <w:contextualSpacing/>
              <w:jc w:val="both"/>
              <w:rPr>
                <w:rFonts w:ascii="Verdana" w:hAnsi="Verdana"/>
                <w:b/>
                <w:sz w:val="24"/>
                <w:szCs w:val="24"/>
              </w:rPr>
            </w:pPr>
            <w:r w:rsidRPr="002443CE">
              <w:rPr>
                <w:rFonts w:ascii="Verdana" w:hAnsi="Verdana"/>
                <w:b/>
                <w:sz w:val="24"/>
                <w:szCs w:val="24"/>
              </w:rPr>
              <w:t>20</w:t>
            </w:r>
            <w:r w:rsidR="00091448" w:rsidRPr="002443CE">
              <w:rPr>
                <w:rFonts w:ascii="Verdana" w:hAnsi="Verdana"/>
                <w:b/>
                <w:sz w:val="24"/>
                <w:szCs w:val="24"/>
              </w:rPr>
              <w:t>1</w:t>
            </w:r>
            <w:r w:rsidR="00F84E55" w:rsidRPr="002443CE">
              <w:rPr>
                <w:rFonts w:ascii="Verdana" w:hAnsi="Verdana"/>
                <w:b/>
                <w:sz w:val="24"/>
                <w:szCs w:val="24"/>
              </w:rPr>
              <w:t>1</w:t>
            </w:r>
            <w:r w:rsidR="00BF3FFD" w:rsidRPr="002443CE">
              <w:rPr>
                <w:rFonts w:ascii="Verdana" w:hAnsi="Verdana"/>
                <w:b/>
                <w:sz w:val="24"/>
                <w:szCs w:val="24"/>
              </w:rPr>
              <w:t xml:space="preserve"> </w:t>
            </w:r>
          </w:p>
          <w:p w14:paraId="6A596930" w14:textId="13C93C94" w:rsidR="0023404E" w:rsidRPr="002443CE" w:rsidRDefault="0023404E" w:rsidP="0089780F">
            <w:pPr>
              <w:contextualSpacing/>
              <w:jc w:val="both"/>
              <w:rPr>
                <w:rFonts w:ascii="Verdana" w:hAnsi="Verdana"/>
                <w:b/>
                <w:sz w:val="24"/>
                <w:szCs w:val="24"/>
              </w:rPr>
            </w:pPr>
            <w:r w:rsidRPr="002443CE">
              <w:rPr>
                <w:rFonts w:ascii="Verdana" w:hAnsi="Verdana"/>
                <w:b/>
                <w:sz w:val="24"/>
                <w:szCs w:val="24"/>
              </w:rPr>
              <w:t xml:space="preserve">Population </w:t>
            </w:r>
          </w:p>
        </w:tc>
        <w:tc>
          <w:tcPr>
            <w:tcW w:w="1503" w:type="dxa"/>
          </w:tcPr>
          <w:p w14:paraId="03253D65" w14:textId="178138F4" w:rsidR="0023404E" w:rsidRPr="002443CE" w:rsidRDefault="0023404E" w:rsidP="0089780F">
            <w:pPr>
              <w:contextualSpacing/>
              <w:jc w:val="both"/>
              <w:rPr>
                <w:rFonts w:ascii="Verdana" w:hAnsi="Verdana"/>
                <w:b/>
                <w:sz w:val="24"/>
                <w:szCs w:val="24"/>
              </w:rPr>
            </w:pPr>
            <w:r w:rsidRPr="002443CE">
              <w:rPr>
                <w:rFonts w:ascii="Verdana" w:hAnsi="Verdana"/>
                <w:b/>
                <w:sz w:val="24"/>
                <w:szCs w:val="24"/>
              </w:rPr>
              <w:t xml:space="preserve">2022 Population Forecast </w:t>
            </w:r>
          </w:p>
        </w:tc>
        <w:tc>
          <w:tcPr>
            <w:tcW w:w="1503" w:type="dxa"/>
          </w:tcPr>
          <w:p w14:paraId="46B0EED5" w14:textId="0252EE8A" w:rsidR="0023404E" w:rsidRPr="002443CE" w:rsidRDefault="0023404E" w:rsidP="0089780F">
            <w:pPr>
              <w:contextualSpacing/>
              <w:jc w:val="both"/>
              <w:rPr>
                <w:rFonts w:ascii="Verdana" w:hAnsi="Verdana"/>
                <w:b/>
                <w:sz w:val="24"/>
                <w:szCs w:val="24"/>
              </w:rPr>
            </w:pPr>
            <w:r w:rsidRPr="002443CE">
              <w:rPr>
                <w:rFonts w:ascii="Verdana" w:hAnsi="Verdana"/>
                <w:b/>
                <w:sz w:val="24"/>
                <w:szCs w:val="24"/>
              </w:rPr>
              <w:t>% of County Total</w:t>
            </w:r>
            <w:r w:rsidR="00A11483" w:rsidRPr="002443CE">
              <w:rPr>
                <w:rFonts w:ascii="Verdana" w:hAnsi="Verdana"/>
                <w:b/>
                <w:sz w:val="24"/>
                <w:szCs w:val="24"/>
              </w:rPr>
              <w:t xml:space="preserve"> Housing Capacity</w:t>
            </w:r>
            <w:r w:rsidRPr="002443CE">
              <w:rPr>
                <w:rFonts w:ascii="Verdana" w:hAnsi="Verdana"/>
                <w:b/>
                <w:sz w:val="24"/>
                <w:szCs w:val="24"/>
              </w:rPr>
              <w:t xml:space="preserve"> </w:t>
            </w:r>
            <w:r w:rsidR="00A11483" w:rsidRPr="002443CE">
              <w:rPr>
                <w:rFonts w:ascii="Verdana" w:hAnsi="Verdana"/>
                <w:b/>
                <w:sz w:val="24"/>
                <w:szCs w:val="24"/>
              </w:rPr>
              <w:t>in</w:t>
            </w:r>
            <w:r w:rsidRPr="002443CE">
              <w:rPr>
                <w:rFonts w:ascii="Verdana" w:hAnsi="Verdana"/>
                <w:b/>
                <w:sz w:val="24"/>
                <w:szCs w:val="24"/>
              </w:rPr>
              <w:t xml:space="preserve"> the Settlement</w:t>
            </w:r>
          </w:p>
        </w:tc>
      </w:tr>
      <w:tr w:rsidR="0023404E" w:rsidRPr="002443CE" w14:paraId="149FBE00" w14:textId="77777777" w:rsidTr="0023404E">
        <w:tc>
          <w:tcPr>
            <w:tcW w:w="1502" w:type="dxa"/>
          </w:tcPr>
          <w:p w14:paraId="6D24F78D" w14:textId="0ABC5FBD" w:rsidR="0023404E" w:rsidRPr="002443CE" w:rsidRDefault="0023404E" w:rsidP="0089780F">
            <w:pPr>
              <w:contextualSpacing/>
              <w:jc w:val="both"/>
              <w:rPr>
                <w:rFonts w:ascii="Verdana" w:hAnsi="Verdana"/>
                <w:sz w:val="24"/>
                <w:szCs w:val="24"/>
              </w:rPr>
            </w:pPr>
            <w:r w:rsidRPr="002443CE">
              <w:rPr>
                <w:rFonts w:ascii="Verdana" w:hAnsi="Verdana"/>
                <w:sz w:val="24"/>
                <w:szCs w:val="24"/>
              </w:rPr>
              <w:t>Saggart - Citywest</w:t>
            </w:r>
          </w:p>
        </w:tc>
        <w:tc>
          <w:tcPr>
            <w:tcW w:w="1502" w:type="dxa"/>
          </w:tcPr>
          <w:p w14:paraId="3E39CEF0" w14:textId="504A8F9F" w:rsidR="0023404E" w:rsidRPr="002443CE" w:rsidRDefault="0023404E" w:rsidP="0089780F">
            <w:pPr>
              <w:contextualSpacing/>
              <w:jc w:val="both"/>
              <w:rPr>
                <w:rFonts w:ascii="Verdana" w:hAnsi="Verdana"/>
                <w:sz w:val="24"/>
                <w:szCs w:val="24"/>
              </w:rPr>
            </w:pPr>
            <w:r w:rsidRPr="002443CE">
              <w:rPr>
                <w:rFonts w:ascii="Verdana" w:hAnsi="Verdana"/>
                <w:sz w:val="24"/>
                <w:szCs w:val="24"/>
              </w:rPr>
              <w:t>138</w:t>
            </w:r>
            <w:r w:rsidR="00A11483" w:rsidRPr="002443CE">
              <w:rPr>
                <w:rFonts w:ascii="Verdana" w:hAnsi="Verdana"/>
                <w:sz w:val="24"/>
                <w:szCs w:val="24"/>
              </w:rPr>
              <w:t xml:space="preserve"> hectares (Ha)</w:t>
            </w:r>
          </w:p>
        </w:tc>
        <w:tc>
          <w:tcPr>
            <w:tcW w:w="1503" w:type="dxa"/>
          </w:tcPr>
          <w:p w14:paraId="4AC4AA9F" w14:textId="247C4115" w:rsidR="0023404E" w:rsidRPr="002443CE" w:rsidRDefault="0023404E" w:rsidP="0089780F">
            <w:pPr>
              <w:contextualSpacing/>
              <w:jc w:val="both"/>
              <w:rPr>
                <w:rFonts w:ascii="Verdana" w:hAnsi="Verdana"/>
                <w:sz w:val="24"/>
                <w:szCs w:val="24"/>
              </w:rPr>
            </w:pPr>
            <w:r w:rsidRPr="002443CE">
              <w:rPr>
                <w:rFonts w:ascii="Verdana" w:hAnsi="Verdana"/>
                <w:sz w:val="24"/>
                <w:szCs w:val="24"/>
              </w:rPr>
              <w:t>4,196</w:t>
            </w:r>
          </w:p>
        </w:tc>
        <w:tc>
          <w:tcPr>
            <w:tcW w:w="1503" w:type="dxa"/>
          </w:tcPr>
          <w:p w14:paraId="75D28301" w14:textId="1E4F541B" w:rsidR="0023404E" w:rsidRPr="002443CE" w:rsidRDefault="00F84E55" w:rsidP="0089780F">
            <w:pPr>
              <w:contextualSpacing/>
              <w:jc w:val="both"/>
              <w:rPr>
                <w:rFonts w:ascii="Verdana" w:hAnsi="Verdana"/>
                <w:sz w:val="24"/>
                <w:szCs w:val="24"/>
              </w:rPr>
            </w:pPr>
            <w:r w:rsidRPr="002443CE">
              <w:rPr>
                <w:rFonts w:ascii="Verdana" w:hAnsi="Verdana"/>
                <w:sz w:val="24"/>
                <w:szCs w:val="24"/>
              </w:rPr>
              <w:t>9115</w:t>
            </w:r>
          </w:p>
        </w:tc>
        <w:tc>
          <w:tcPr>
            <w:tcW w:w="1503" w:type="dxa"/>
          </w:tcPr>
          <w:p w14:paraId="27F8B720" w14:textId="7A4C3344" w:rsidR="0023404E" w:rsidRPr="002443CE" w:rsidRDefault="0023404E" w:rsidP="0089780F">
            <w:pPr>
              <w:contextualSpacing/>
              <w:jc w:val="both"/>
              <w:rPr>
                <w:rFonts w:ascii="Verdana" w:hAnsi="Verdana"/>
                <w:sz w:val="24"/>
                <w:szCs w:val="24"/>
              </w:rPr>
            </w:pPr>
            <w:r w:rsidRPr="002443CE">
              <w:rPr>
                <w:rFonts w:ascii="Verdana" w:hAnsi="Verdana"/>
                <w:sz w:val="24"/>
                <w:szCs w:val="24"/>
              </w:rPr>
              <w:t>17,972</w:t>
            </w:r>
          </w:p>
        </w:tc>
        <w:tc>
          <w:tcPr>
            <w:tcW w:w="1503" w:type="dxa"/>
          </w:tcPr>
          <w:p w14:paraId="0B96008C" w14:textId="7EC5AEE4" w:rsidR="0023404E" w:rsidRPr="002443CE" w:rsidRDefault="0023404E" w:rsidP="0089780F">
            <w:pPr>
              <w:contextualSpacing/>
              <w:jc w:val="both"/>
              <w:rPr>
                <w:rFonts w:ascii="Verdana" w:hAnsi="Verdana"/>
                <w:sz w:val="24"/>
                <w:szCs w:val="24"/>
              </w:rPr>
            </w:pPr>
            <w:r w:rsidRPr="002443CE">
              <w:rPr>
                <w:rFonts w:ascii="Verdana" w:hAnsi="Verdana"/>
                <w:sz w:val="24"/>
                <w:szCs w:val="24"/>
              </w:rPr>
              <w:t>10%</w:t>
            </w:r>
          </w:p>
        </w:tc>
      </w:tr>
      <w:tr w:rsidR="0023404E" w:rsidRPr="002443CE" w14:paraId="62CB956E" w14:textId="77777777" w:rsidTr="0023404E">
        <w:tc>
          <w:tcPr>
            <w:tcW w:w="1502" w:type="dxa"/>
          </w:tcPr>
          <w:p w14:paraId="0AA23165" w14:textId="5780FEAE" w:rsidR="0023404E" w:rsidRPr="002443CE" w:rsidRDefault="0023404E" w:rsidP="0089780F">
            <w:pPr>
              <w:contextualSpacing/>
              <w:jc w:val="both"/>
              <w:rPr>
                <w:rFonts w:ascii="Verdana" w:hAnsi="Verdana"/>
                <w:sz w:val="24"/>
                <w:szCs w:val="24"/>
              </w:rPr>
            </w:pPr>
            <w:r w:rsidRPr="002443CE">
              <w:rPr>
                <w:rFonts w:ascii="Verdana" w:hAnsi="Verdana"/>
                <w:sz w:val="24"/>
                <w:szCs w:val="24"/>
              </w:rPr>
              <w:t xml:space="preserve">Newcastle </w:t>
            </w:r>
          </w:p>
        </w:tc>
        <w:tc>
          <w:tcPr>
            <w:tcW w:w="1502" w:type="dxa"/>
          </w:tcPr>
          <w:p w14:paraId="0B4D9443" w14:textId="59CCB7EC" w:rsidR="0023404E" w:rsidRPr="002443CE" w:rsidRDefault="00A11483" w:rsidP="0089780F">
            <w:pPr>
              <w:contextualSpacing/>
              <w:jc w:val="both"/>
              <w:rPr>
                <w:rFonts w:ascii="Verdana" w:hAnsi="Verdana"/>
                <w:sz w:val="24"/>
                <w:szCs w:val="24"/>
              </w:rPr>
            </w:pPr>
            <w:r w:rsidRPr="002443CE">
              <w:rPr>
                <w:rFonts w:ascii="Verdana" w:hAnsi="Verdana"/>
                <w:sz w:val="24"/>
                <w:szCs w:val="24"/>
              </w:rPr>
              <w:t>28 ha</w:t>
            </w:r>
          </w:p>
        </w:tc>
        <w:tc>
          <w:tcPr>
            <w:tcW w:w="1503" w:type="dxa"/>
          </w:tcPr>
          <w:p w14:paraId="3A3D7408" w14:textId="2334E250" w:rsidR="0023404E" w:rsidRPr="002443CE" w:rsidRDefault="00A11483" w:rsidP="0089780F">
            <w:pPr>
              <w:contextualSpacing/>
              <w:jc w:val="both"/>
              <w:rPr>
                <w:rFonts w:ascii="Verdana" w:hAnsi="Verdana"/>
                <w:sz w:val="24"/>
                <w:szCs w:val="24"/>
              </w:rPr>
            </w:pPr>
            <w:r w:rsidRPr="002443CE">
              <w:rPr>
                <w:rFonts w:ascii="Verdana" w:hAnsi="Verdana"/>
                <w:sz w:val="24"/>
                <w:szCs w:val="24"/>
              </w:rPr>
              <w:t>701</w:t>
            </w:r>
          </w:p>
        </w:tc>
        <w:tc>
          <w:tcPr>
            <w:tcW w:w="1503" w:type="dxa"/>
          </w:tcPr>
          <w:p w14:paraId="62991864" w14:textId="4BF013F5" w:rsidR="0023404E" w:rsidRPr="002443CE" w:rsidRDefault="00F84E55" w:rsidP="0089780F">
            <w:pPr>
              <w:contextualSpacing/>
              <w:jc w:val="both"/>
              <w:rPr>
                <w:rFonts w:ascii="Verdana" w:hAnsi="Verdana"/>
                <w:sz w:val="24"/>
                <w:szCs w:val="24"/>
              </w:rPr>
            </w:pPr>
            <w:r w:rsidRPr="002443CE">
              <w:rPr>
                <w:rFonts w:ascii="Verdana" w:hAnsi="Verdana"/>
                <w:sz w:val="24"/>
                <w:szCs w:val="24"/>
              </w:rPr>
              <w:t>2680</w:t>
            </w:r>
          </w:p>
        </w:tc>
        <w:tc>
          <w:tcPr>
            <w:tcW w:w="1503" w:type="dxa"/>
          </w:tcPr>
          <w:p w14:paraId="2649AB17" w14:textId="78AF0416" w:rsidR="0023404E" w:rsidRPr="002443CE" w:rsidRDefault="00A11483" w:rsidP="0089780F">
            <w:pPr>
              <w:contextualSpacing/>
              <w:jc w:val="both"/>
              <w:rPr>
                <w:rFonts w:ascii="Verdana" w:hAnsi="Verdana"/>
                <w:sz w:val="24"/>
                <w:szCs w:val="24"/>
              </w:rPr>
            </w:pPr>
            <w:r w:rsidRPr="002443CE">
              <w:rPr>
                <w:rFonts w:ascii="Verdana" w:hAnsi="Verdana"/>
                <w:sz w:val="24"/>
                <w:szCs w:val="24"/>
              </w:rPr>
              <w:t>4,235</w:t>
            </w:r>
          </w:p>
        </w:tc>
        <w:tc>
          <w:tcPr>
            <w:tcW w:w="1503" w:type="dxa"/>
          </w:tcPr>
          <w:p w14:paraId="7335675F" w14:textId="469A9489" w:rsidR="0023404E" w:rsidRPr="002443CE" w:rsidRDefault="0023404E" w:rsidP="0089780F">
            <w:pPr>
              <w:contextualSpacing/>
              <w:jc w:val="both"/>
              <w:rPr>
                <w:rFonts w:ascii="Verdana" w:hAnsi="Verdana"/>
                <w:sz w:val="24"/>
                <w:szCs w:val="24"/>
              </w:rPr>
            </w:pPr>
            <w:r w:rsidRPr="002443CE">
              <w:rPr>
                <w:rFonts w:ascii="Verdana" w:hAnsi="Verdana"/>
                <w:sz w:val="24"/>
                <w:szCs w:val="24"/>
              </w:rPr>
              <w:t>2%</w:t>
            </w:r>
          </w:p>
        </w:tc>
      </w:tr>
      <w:tr w:rsidR="0023404E" w:rsidRPr="002443CE" w14:paraId="34452FAB" w14:textId="77777777" w:rsidTr="0023404E">
        <w:tc>
          <w:tcPr>
            <w:tcW w:w="1502" w:type="dxa"/>
          </w:tcPr>
          <w:p w14:paraId="680A5755" w14:textId="6978C001" w:rsidR="0023404E" w:rsidRPr="002443CE" w:rsidRDefault="0023404E" w:rsidP="0089780F">
            <w:pPr>
              <w:contextualSpacing/>
              <w:jc w:val="both"/>
              <w:rPr>
                <w:rFonts w:ascii="Verdana" w:hAnsi="Verdana"/>
                <w:sz w:val="24"/>
                <w:szCs w:val="24"/>
              </w:rPr>
            </w:pPr>
            <w:r w:rsidRPr="002443CE">
              <w:rPr>
                <w:rFonts w:ascii="Verdana" w:hAnsi="Verdana"/>
                <w:sz w:val="24"/>
                <w:szCs w:val="24"/>
              </w:rPr>
              <w:t>Rathcoole</w:t>
            </w:r>
          </w:p>
        </w:tc>
        <w:tc>
          <w:tcPr>
            <w:tcW w:w="1502" w:type="dxa"/>
          </w:tcPr>
          <w:p w14:paraId="6FC54CC4" w14:textId="2799BBD7" w:rsidR="0023404E" w:rsidRPr="002443CE" w:rsidRDefault="00A11483" w:rsidP="0089780F">
            <w:pPr>
              <w:contextualSpacing/>
              <w:jc w:val="both"/>
              <w:rPr>
                <w:rFonts w:ascii="Verdana" w:hAnsi="Verdana"/>
                <w:sz w:val="24"/>
                <w:szCs w:val="24"/>
              </w:rPr>
            </w:pPr>
            <w:r w:rsidRPr="002443CE">
              <w:rPr>
                <w:rFonts w:ascii="Verdana" w:hAnsi="Verdana"/>
                <w:sz w:val="24"/>
                <w:szCs w:val="24"/>
              </w:rPr>
              <w:t>45 ha</w:t>
            </w:r>
          </w:p>
        </w:tc>
        <w:tc>
          <w:tcPr>
            <w:tcW w:w="1503" w:type="dxa"/>
          </w:tcPr>
          <w:p w14:paraId="7F1EE2D3" w14:textId="60A84A12" w:rsidR="0023404E" w:rsidRPr="002443CE" w:rsidRDefault="00A11483" w:rsidP="0089780F">
            <w:pPr>
              <w:contextualSpacing/>
              <w:jc w:val="both"/>
              <w:rPr>
                <w:rFonts w:ascii="Verdana" w:hAnsi="Verdana"/>
                <w:sz w:val="24"/>
                <w:szCs w:val="24"/>
              </w:rPr>
            </w:pPr>
            <w:r w:rsidRPr="002443CE">
              <w:rPr>
                <w:rFonts w:ascii="Verdana" w:hAnsi="Verdana"/>
                <w:sz w:val="24"/>
                <w:szCs w:val="24"/>
              </w:rPr>
              <w:t>1,062</w:t>
            </w:r>
          </w:p>
        </w:tc>
        <w:tc>
          <w:tcPr>
            <w:tcW w:w="1503" w:type="dxa"/>
          </w:tcPr>
          <w:p w14:paraId="5EF0C0F2" w14:textId="6912366C" w:rsidR="0023404E" w:rsidRPr="002443CE" w:rsidRDefault="00F84E55" w:rsidP="0089780F">
            <w:pPr>
              <w:contextualSpacing/>
              <w:jc w:val="both"/>
              <w:rPr>
                <w:rFonts w:ascii="Verdana" w:hAnsi="Verdana"/>
                <w:sz w:val="24"/>
                <w:szCs w:val="24"/>
              </w:rPr>
            </w:pPr>
            <w:r w:rsidRPr="002443CE">
              <w:rPr>
                <w:rFonts w:ascii="Verdana" w:hAnsi="Verdana"/>
                <w:sz w:val="24"/>
                <w:szCs w:val="24"/>
              </w:rPr>
              <w:t>4019</w:t>
            </w:r>
          </w:p>
        </w:tc>
        <w:tc>
          <w:tcPr>
            <w:tcW w:w="1503" w:type="dxa"/>
          </w:tcPr>
          <w:p w14:paraId="5526ED56" w14:textId="28336BCD" w:rsidR="0023404E" w:rsidRPr="002443CE" w:rsidRDefault="00A11483" w:rsidP="0089780F">
            <w:pPr>
              <w:contextualSpacing/>
              <w:jc w:val="both"/>
              <w:rPr>
                <w:rFonts w:ascii="Verdana" w:hAnsi="Verdana"/>
                <w:sz w:val="24"/>
                <w:szCs w:val="24"/>
              </w:rPr>
            </w:pPr>
            <w:r w:rsidRPr="002443CE">
              <w:rPr>
                <w:rFonts w:ascii="Verdana" w:hAnsi="Verdana"/>
                <w:sz w:val="24"/>
                <w:szCs w:val="24"/>
              </w:rPr>
              <w:t>5,703</w:t>
            </w:r>
          </w:p>
        </w:tc>
        <w:tc>
          <w:tcPr>
            <w:tcW w:w="1503" w:type="dxa"/>
          </w:tcPr>
          <w:p w14:paraId="516BEBE2" w14:textId="64751881" w:rsidR="0023404E" w:rsidRPr="002443CE" w:rsidRDefault="0023404E" w:rsidP="0089780F">
            <w:pPr>
              <w:contextualSpacing/>
              <w:jc w:val="both"/>
              <w:rPr>
                <w:rFonts w:ascii="Verdana" w:hAnsi="Verdana"/>
                <w:sz w:val="24"/>
                <w:szCs w:val="24"/>
              </w:rPr>
            </w:pPr>
            <w:r w:rsidRPr="002443CE">
              <w:rPr>
                <w:rFonts w:ascii="Verdana" w:hAnsi="Verdana"/>
                <w:sz w:val="24"/>
                <w:szCs w:val="24"/>
              </w:rPr>
              <w:t>3%</w:t>
            </w:r>
          </w:p>
        </w:tc>
      </w:tr>
      <w:tr w:rsidR="0004506F" w:rsidRPr="002443CE" w14:paraId="36DAB14B" w14:textId="77777777" w:rsidTr="0023404E">
        <w:tc>
          <w:tcPr>
            <w:tcW w:w="1502" w:type="dxa"/>
          </w:tcPr>
          <w:p w14:paraId="160C842E" w14:textId="77777777" w:rsidR="0004506F" w:rsidRPr="002443CE" w:rsidRDefault="0004506F" w:rsidP="0089780F">
            <w:pPr>
              <w:contextualSpacing/>
              <w:jc w:val="both"/>
              <w:rPr>
                <w:rFonts w:ascii="Verdana" w:hAnsi="Verdana"/>
                <w:sz w:val="24"/>
                <w:szCs w:val="24"/>
              </w:rPr>
            </w:pPr>
          </w:p>
        </w:tc>
        <w:tc>
          <w:tcPr>
            <w:tcW w:w="1502" w:type="dxa"/>
          </w:tcPr>
          <w:p w14:paraId="79379AB8" w14:textId="77777777" w:rsidR="0004506F" w:rsidRPr="002443CE" w:rsidRDefault="0004506F" w:rsidP="0089780F">
            <w:pPr>
              <w:contextualSpacing/>
              <w:jc w:val="both"/>
              <w:rPr>
                <w:rFonts w:ascii="Verdana" w:hAnsi="Verdana"/>
                <w:sz w:val="24"/>
                <w:szCs w:val="24"/>
              </w:rPr>
            </w:pPr>
          </w:p>
        </w:tc>
        <w:tc>
          <w:tcPr>
            <w:tcW w:w="1503" w:type="dxa"/>
          </w:tcPr>
          <w:p w14:paraId="65378605" w14:textId="77777777" w:rsidR="0004506F" w:rsidRPr="002443CE" w:rsidRDefault="0004506F" w:rsidP="0089780F">
            <w:pPr>
              <w:contextualSpacing/>
              <w:jc w:val="both"/>
              <w:rPr>
                <w:rFonts w:ascii="Verdana" w:hAnsi="Verdana"/>
                <w:sz w:val="24"/>
                <w:szCs w:val="24"/>
              </w:rPr>
            </w:pPr>
          </w:p>
        </w:tc>
        <w:tc>
          <w:tcPr>
            <w:tcW w:w="1503" w:type="dxa"/>
          </w:tcPr>
          <w:p w14:paraId="1E1D4D5A" w14:textId="77777777" w:rsidR="0004506F" w:rsidRPr="002443CE" w:rsidRDefault="0004506F" w:rsidP="0089780F">
            <w:pPr>
              <w:contextualSpacing/>
              <w:jc w:val="both"/>
              <w:rPr>
                <w:rFonts w:ascii="Verdana" w:hAnsi="Verdana"/>
                <w:sz w:val="24"/>
                <w:szCs w:val="24"/>
              </w:rPr>
            </w:pPr>
          </w:p>
        </w:tc>
        <w:tc>
          <w:tcPr>
            <w:tcW w:w="1503" w:type="dxa"/>
          </w:tcPr>
          <w:p w14:paraId="652D3FDF" w14:textId="77777777" w:rsidR="0004506F" w:rsidRPr="002443CE" w:rsidRDefault="0004506F" w:rsidP="0089780F">
            <w:pPr>
              <w:contextualSpacing/>
              <w:jc w:val="both"/>
              <w:rPr>
                <w:rFonts w:ascii="Verdana" w:hAnsi="Verdana"/>
                <w:sz w:val="24"/>
                <w:szCs w:val="24"/>
              </w:rPr>
            </w:pPr>
          </w:p>
        </w:tc>
        <w:tc>
          <w:tcPr>
            <w:tcW w:w="1503" w:type="dxa"/>
          </w:tcPr>
          <w:p w14:paraId="13F84779" w14:textId="77777777" w:rsidR="0004506F" w:rsidRPr="002443CE" w:rsidRDefault="0004506F" w:rsidP="0089780F">
            <w:pPr>
              <w:contextualSpacing/>
              <w:jc w:val="both"/>
              <w:rPr>
                <w:rFonts w:ascii="Verdana" w:hAnsi="Verdana"/>
                <w:sz w:val="24"/>
                <w:szCs w:val="24"/>
              </w:rPr>
            </w:pPr>
          </w:p>
        </w:tc>
      </w:tr>
    </w:tbl>
    <w:p w14:paraId="19A2886E" w14:textId="77777777" w:rsidR="0004506F" w:rsidRPr="002443CE" w:rsidRDefault="0004506F" w:rsidP="0089780F">
      <w:pPr>
        <w:spacing w:line="240" w:lineRule="auto"/>
        <w:contextualSpacing/>
        <w:jc w:val="both"/>
        <w:rPr>
          <w:rFonts w:ascii="Verdana" w:hAnsi="Verdana"/>
          <w:b/>
          <w:sz w:val="24"/>
          <w:szCs w:val="24"/>
        </w:rPr>
      </w:pPr>
    </w:p>
    <w:p w14:paraId="37FED33B" w14:textId="77777777" w:rsidR="00637B6F" w:rsidRPr="002443CE" w:rsidRDefault="00637B6F" w:rsidP="0089780F">
      <w:pPr>
        <w:spacing w:line="240" w:lineRule="auto"/>
        <w:contextualSpacing/>
        <w:jc w:val="both"/>
        <w:rPr>
          <w:rFonts w:ascii="Verdana" w:hAnsi="Verdana"/>
          <w:b/>
          <w:sz w:val="24"/>
          <w:szCs w:val="24"/>
        </w:rPr>
      </w:pPr>
    </w:p>
    <w:p w14:paraId="2FA36C68" w14:textId="77777777" w:rsidR="00637B6F" w:rsidRPr="002443CE" w:rsidRDefault="00637B6F" w:rsidP="0089780F">
      <w:pPr>
        <w:spacing w:line="240" w:lineRule="auto"/>
        <w:contextualSpacing/>
        <w:jc w:val="both"/>
        <w:rPr>
          <w:rFonts w:ascii="Verdana" w:hAnsi="Verdana"/>
          <w:b/>
          <w:sz w:val="24"/>
          <w:szCs w:val="24"/>
        </w:rPr>
      </w:pPr>
    </w:p>
    <w:p w14:paraId="697C25FB" w14:textId="45FA5533" w:rsidR="00853D6A" w:rsidRPr="002443CE" w:rsidRDefault="00EC7961" w:rsidP="0089780F">
      <w:pPr>
        <w:spacing w:line="240" w:lineRule="auto"/>
        <w:contextualSpacing/>
        <w:jc w:val="both"/>
        <w:rPr>
          <w:rFonts w:ascii="Verdana" w:hAnsi="Verdana"/>
          <w:sz w:val="24"/>
          <w:szCs w:val="24"/>
        </w:rPr>
      </w:pPr>
      <w:r w:rsidRPr="002443CE">
        <w:rPr>
          <w:rFonts w:ascii="Verdana" w:hAnsi="Verdana"/>
          <w:b/>
          <w:sz w:val="24"/>
          <w:szCs w:val="24"/>
        </w:rPr>
        <w:t xml:space="preserve">Projected Population – </w:t>
      </w:r>
      <w:r w:rsidRPr="002443CE">
        <w:rPr>
          <w:rFonts w:ascii="Verdana" w:hAnsi="Verdana"/>
          <w:sz w:val="24"/>
          <w:szCs w:val="24"/>
        </w:rPr>
        <w:t>Extracted from South Dublin County Council Development Plan 2016 -2022</w:t>
      </w:r>
      <w:r w:rsidR="00F84E55" w:rsidRPr="002443CE">
        <w:rPr>
          <w:rFonts w:ascii="Verdana" w:hAnsi="Verdana"/>
          <w:sz w:val="24"/>
          <w:szCs w:val="24"/>
        </w:rPr>
        <w:t>.</w:t>
      </w:r>
      <w:r w:rsidR="00BF3FFD" w:rsidRPr="002443CE">
        <w:rPr>
          <w:rFonts w:ascii="Verdana" w:hAnsi="Verdana"/>
          <w:sz w:val="24"/>
          <w:szCs w:val="24"/>
        </w:rPr>
        <w:t xml:space="preserve"> </w:t>
      </w:r>
      <w:r w:rsidR="00F84E55" w:rsidRPr="002443CE">
        <w:rPr>
          <w:rFonts w:ascii="Verdana" w:hAnsi="Verdana"/>
          <w:sz w:val="24"/>
          <w:szCs w:val="24"/>
        </w:rPr>
        <w:t>H</w:t>
      </w:r>
      <w:r w:rsidR="00BF3FFD" w:rsidRPr="002443CE">
        <w:rPr>
          <w:rFonts w:ascii="Verdana" w:hAnsi="Verdana"/>
          <w:sz w:val="24"/>
          <w:szCs w:val="24"/>
        </w:rPr>
        <w:t xml:space="preserve">owever as outlined in the 2016 Census figures, Newcastle has already </w:t>
      </w:r>
      <w:r w:rsidR="00F84E55" w:rsidRPr="002443CE">
        <w:rPr>
          <w:rFonts w:ascii="Verdana" w:hAnsi="Verdana"/>
          <w:sz w:val="24"/>
          <w:szCs w:val="24"/>
        </w:rPr>
        <w:t>surpassed</w:t>
      </w:r>
      <w:r w:rsidR="00BF3FFD" w:rsidRPr="002443CE">
        <w:rPr>
          <w:rFonts w:ascii="Verdana" w:hAnsi="Verdana"/>
          <w:sz w:val="24"/>
          <w:szCs w:val="24"/>
        </w:rPr>
        <w:t xml:space="preserve"> the projected 2022 figure, </w:t>
      </w:r>
      <w:r w:rsidR="00F84E55" w:rsidRPr="002443CE">
        <w:rPr>
          <w:rFonts w:ascii="Verdana" w:hAnsi="Verdana"/>
          <w:b/>
          <w:sz w:val="24"/>
          <w:szCs w:val="24"/>
        </w:rPr>
        <w:t>(population 4527: 2016 Census)</w:t>
      </w:r>
      <w:r w:rsidR="00F84E55" w:rsidRPr="002443CE">
        <w:rPr>
          <w:rFonts w:ascii="Verdana" w:hAnsi="Verdana"/>
          <w:sz w:val="24"/>
          <w:szCs w:val="24"/>
        </w:rPr>
        <w:t xml:space="preserve"> </w:t>
      </w:r>
      <w:r w:rsidR="00BF3FFD" w:rsidRPr="002443CE">
        <w:rPr>
          <w:rFonts w:ascii="Verdana" w:hAnsi="Verdana"/>
          <w:sz w:val="24"/>
          <w:szCs w:val="24"/>
        </w:rPr>
        <w:t>and Rathcoole has almost reached its projected figures</w:t>
      </w:r>
      <w:r w:rsidR="00F84E55" w:rsidRPr="002443CE">
        <w:rPr>
          <w:rFonts w:ascii="Verdana" w:hAnsi="Verdana"/>
          <w:sz w:val="24"/>
          <w:szCs w:val="24"/>
        </w:rPr>
        <w:t xml:space="preserve"> </w:t>
      </w:r>
      <w:r w:rsidR="00F84E55" w:rsidRPr="002443CE">
        <w:rPr>
          <w:rFonts w:ascii="Verdana" w:hAnsi="Verdana"/>
          <w:b/>
          <w:sz w:val="24"/>
          <w:szCs w:val="24"/>
        </w:rPr>
        <w:t>(population 5009: 2016 Census</w:t>
      </w:r>
      <w:r w:rsidR="00F84E55" w:rsidRPr="002443CE">
        <w:rPr>
          <w:rFonts w:ascii="Verdana" w:hAnsi="Verdana"/>
          <w:sz w:val="24"/>
          <w:szCs w:val="24"/>
        </w:rPr>
        <w:t>).</w:t>
      </w:r>
    </w:p>
    <w:p w14:paraId="6B841511" w14:textId="45291447" w:rsidR="00637B6F" w:rsidRPr="002443CE" w:rsidRDefault="00637B6F" w:rsidP="0089780F">
      <w:pPr>
        <w:spacing w:line="240" w:lineRule="auto"/>
        <w:contextualSpacing/>
        <w:jc w:val="both"/>
        <w:rPr>
          <w:rFonts w:ascii="Verdana" w:hAnsi="Verdana"/>
          <w:sz w:val="24"/>
          <w:szCs w:val="24"/>
        </w:rPr>
      </w:pPr>
    </w:p>
    <w:p w14:paraId="53FBBF3C" w14:textId="7BE439A9" w:rsidR="00637B6F" w:rsidRPr="002443CE" w:rsidRDefault="00637B6F" w:rsidP="0089780F">
      <w:pPr>
        <w:spacing w:line="240" w:lineRule="auto"/>
        <w:contextualSpacing/>
        <w:jc w:val="both"/>
        <w:rPr>
          <w:rFonts w:ascii="Verdana" w:hAnsi="Verdana"/>
          <w:sz w:val="24"/>
          <w:szCs w:val="24"/>
        </w:rPr>
      </w:pPr>
    </w:p>
    <w:p w14:paraId="7D84F291" w14:textId="705A8D59" w:rsidR="00637B6F" w:rsidRPr="002443CE" w:rsidRDefault="00637B6F" w:rsidP="0089780F">
      <w:pPr>
        <w:spacing w:line="240" w:lineRule="auto"/>
        <w:contextualSpacing/>
        <w:jc w:val="both"/>
        <w:rPr>
          <w:rFonts w:ascii="Verdana" w:hAnsi="Verdana"/>
          <w:sz w:val="24"/>
          <w:szCs w:val="24"/>
        </w:rPr>
      </w:pPr>
    </w:p>
    <w:p w14:paraId="5CED8618" w14:textId="1F3E1CD0" w:rsidR="00637B6F" w:rsidRPr="002443CE" w:rsidRDefault="00637B6F" w:rsidP="0089780F">
      <w:pPr>
        <w:spacing w:line="240" w:lineRule="auto"/>
        <w:contextualSpacing/>
        <w:jc w:val="both"/>
        <w:rPr>
          <w:rFonts w:ascii="Verdana" w:hAnsi="Verdana"/>
          <w:sz w:val="24"/>
          <w:szCs w:val="24"/>
        </w:rPr>
      </w:pPr>
    </w:p>
    <w:p w14:paraId="2CE42617" w14:textId="4796019E" w:rsidR="00637B6F" w:rsidRPr="002443CE" w:rsidRDefault="00637B6F" w:rsidP="0089780F">
      <w:pPr>
        <w:spacing w:line="240" w:lineRule="auto"/>
        <w:contextualSpacing/>
        <w:jc w:val="both"/>
        <w:rPr>
          <w:rFonts w:ascii="Verdana" w:hAnsi="Verdana"/>
          <w:sz w:val="24"/>
          <w:szCs w:val="24"/>
        </w:rPr>
      </w:pPr>
    </w:p>
    <w:p w14:paraId="49691742" w14:textId="77777777" w:rsidR="00637B6F" w:rsidRPr="002443CE" w:rsidRDefault="00637B6F" w:rsidP="0089780F">
      <w:pPr>
        <w:spacing w:line="240" w:lineRule="auto"/>
        <w:contextualSpacing/>
        <w:jc w:val="both"/>
        <w:rPr>
          <w:rFonts w:ascii="Verdana" w:hAnsi="Verdana"/>
          <w:sz w:val="24"/>
          <w:szCs w:val="24"/>
        </w:rPr>
      </w:pPr>
    </w:p>
    <w:p w14:paraId="351D5A0C" w14:textId="77777777" w:rsidR="00637B6F" w:rsidRPr="002443CE" w:rsidRDefault="00637B6F" w:rsidP="0089780F">
      <w:pPr>
        <w:spacing w:line="240" w:lineRule="auto"/>
        <w:contextualSpacing/>
        <w:jc w:val="both"/>
        <w:rPr>
          <w:rFonts w:ascii="Verdana" w:hAnsi="Verdana"/>
          <w:sz w:val="24"/>
          <w:szCs w:val="24"/>
        </w:rPr>
      </w:pPr>
    </w:p>
    <w:p w14:paraId="1FCDC21E" w14:textId="77777777" w:rsidR="00637B6F" w:rsidRPr="002443CE" w:rsidRDefault="00637B6F" w:rsidP="0089780F">
      <w:pPr>
        <w:spacing w:line="240" w:lineRule="auto"/>
        <w:contextualSpacing/>
        <w:jc w:val="both"/>
        <w:rPr>
          <w:rFonts w:ascii="Verdana" w:hAnsi="Verdana"/>
          <w:sz w:val="24"/>
          <w:szCs w:val="24"/>
        </w:rPr>
      </w:pPr>
    </w:p>
    <w:p w14:paraId="1F9B8D5F" w14:textId="77777777" w:rsidR="00637B6F" w:rsidRPr="002443CE" w:rsidRDefault="00637B6F" w:rsidP="0089780F">
      <w:pPr>
        <w:spacing w:line="240" w:lineRule="auto"/>
        <w:contextualSpacing/>
        <w:jc w:val="both"/>
        <w:rPr>
          <w:rFonts w:ascii="Verdana" w:hAnsi="Verdana"/>
          <w:sz w:val="24"/>
          <w:szCs w:val="24"/>
        </w:rPr>
      </w:pPr>
    </w:p>
    <w:p w14:paraId="60C8EC41" w14:textId="339CC0C1" w:rsidR="00637B6F" w:rsidRPr="002443CE" w:rsidRDefault="00637B6F" w:rsidP="0089780F">
      <w:pPr>
        <w:spacing w:line="240" w:lineRule="auto"/>
        <w:contextualSpacing/>
        <w:jc w:val="both"/>
        <w:rPr>
          <w:rFonts w:ascii="Verdana" w:hAnsi="Verdana"/>
          <w:sz w:val="24"/>
          <w:szCs w:val="24"/>
        </w:rPr>
      </w:pPr>
      <w:r w:rsidRPr="002443CE">
        <w:rPr>
          <w:rFonts w:ascii="Verdana" w:hAnsi="Verdana"/>
          <w:sz w:val="24"/>
          <w:szCs w:val="24"/>
        </w:rPr>
        <w:lastRenderedPageBreak/>
        <w:t xml:space="preserve">The following is a table of national and second level schools in the areas of Saggart-Citywest, Newcastle and Rathcoole. </w:t>
      </w:r>
    </w:p>
    <w:p w14:paraId="7A4032BA" w14:textId="77777777" w:rsidR="00637B6F" w:rsidRPr="002443CE" w:rsidRDefault="00637B6F" w:rsidP="0089780F">
      <w:pPr>
        <w:spacing w:line="240" w:lineRule="auto"/>
        <w:contextualSpacing/>
        <w:jc w:val="both"/>
        <w:rPr>
          <w:rFonts w:ascii="Verdana" w:hAnsi="Verdana"/>
          <w:sz w:val="24"/>
          <w:szCs w:val="24"/>
        </w:rPr>
      </w:pPr>
    </w:p>
    <w:p w14:paraId="76D39492" w14:textId="697C7E4D"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color w:val="FF0000"/>
          <w:sz w:val="24"/>
          <w:szCs w:val="24"/>
        </w:rPr>
      </w:pPr>
      <w:r w:rsidRPr="002443CE">
        <w:rPr>
          <w:rFonts w:ascii="Verdana" w:hAnsi="Verdana"/>
          <w:b/>
          <w:color w:val="FF0000"/>
          <w:sz w:val="24"/>
          <w:szCs w:val="24"/>
        </w:rPr>
        <w:t xml:space="preserve">Primary Schools as per Dept of </w:t>
      </w:r>
      <w:r w:rsidR="00FD5B58" w:rsidRPr="002443CE">
        <w:rPr>
          <w:rFonts w:ascii="Verdana" w:hAnsi="Verdana"/>
          <w:b/>
          <w:color w:val="FF0000"/>
          <w:sz w:val="24"/>
          <w:szCs w:val="24"/>
        </w:rPr>
        <w:t>Education,</w:t>
      </w:r>
      <w:r w:rsidRPr="002443CE">
        <w:rPr>
          <w:rFonts w:ascii="Verdana" w:hAnsi="Verdana"/>
          <w:b/>
          <w:color w:val="FF0000"/>
          <w:sz w:val="24"/>
          <w:szCs w:val="24"/>
        </w:rPr>
        <w:t xml:space="preserve"> 2018-19</w:t>
      </w:r>
    </w:p>
    <w:p w14:paraId="2DF7A29F"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b/>
          <w:sz w:val="24"/>
          <w:szCs w:val="24"/>
        </w:rPr>
        <w:t>Rathcoole</w:t>
      </w:r>
      <w:r w:rsidRPr="002443CE">
        <w:rPr>
          <w:rFonts w:ascii="Verdana" w:hAnsi="Verdana"/>
          <w:sz w:val="24"/>
          <w:szCs w:val="24"/>
        </w:rPr>
        <w:t>:</w:t>
      </w:r>
    </w:p>
    <w:p w14:paraId="102671BA"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Holy Family National School, Rathcoole</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704</w:t>
      </w:r>
    </w:p>
    <w:p w14:paraId="2DE59662"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Scoil Chronán, Rathcoole</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379</w:t>
      </w:r>
    </w:p>
    <w:p w14:paraId="5BC6EEB6"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sz w:val="24"/>
          <w:szCs w:val="24"/>
        </w:rPr>
      </w:pPr>
      <w:r w:rsidRPr="002443CE">
        <w:rPr>
          <w:rFonts w:ascii="Verdana" w:hAnsi="Verdana"/>
          <w:b/>
          <w:sz w:val="24"/>
          <w:szCs w:val="24"/>
        </w:rPr>
        <w:t>Saggart</w:t>
      </w:r>
    </w:p>
    <w:p w14:paraId="79C0B666"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S N Naomh Mhuire, Saggart</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702</w:t>
      </w:r>
    </w:p>
    <w:p w14:paraId="712251AD"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sz w:val="24"/>
          <w:szCs w:val="24"/>
        </w:rPr>
      </w:pPr>
      <w:r w:rsidRPr="002443CE">
        <w:rPr>
          <w:rFonts w:ascii="Verdana" w:hAnsi="Verdana"/>
          <w:b/>
          <w:sz w:val="24"/>
          <w:szCs w:val="24"/>
        </w:rPr>
        <w:t>Citywest</w:t>
      </w:r>
    </w:p>
    <w:p w14:paraId="4CA445F8"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Citywest and Saggart Community N.S., Fortunestown Lane</w:t>
      </w:r>
      <w:r w:rsidRPr="002443CE">
        <w:rPr>
          <w:rFonts w:ascii="Verdana" w:hAnsi="Verdana"/>
          <w:sz w:val="24"/>
          <w:szCs w:val="24"/>
        </w:rPr>
        <w:tab/>
        <w:t>356</w:t>
      </w:r>
    </w:p>
    <w:p w14:paraId="551D1921"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 xml:space="preserve">Citywest Educate Together, Fortunestown Lane </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382</w:t>
      </w:r>
    </w:p>
    <w:p w14:paraId="5859DF41"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Scoil Aoife, Citywest Drive</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171</w:t>
      </w:r>
    </w:p>
    <w:p w14:paraId="0AD69968"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sz w:val="24"/>
          <w:szCs w:val="24"/>
        </w:rPr>
      </w:pPr>
      <w:r w:rsidRPr="002443CE">
        <w:rPr>
          <w:rFonts w:ascii="Verdana" w:hAnsi="Verdana"/>
          <w:b/>
          <w:sz w:val="24"/>
          <w:szCs w:val="24"/>
        </w:rPr>
        <w:t>Newcastle</w:t>
      </w:r>
    </w:p>
    <w:p w14:paraId="65C7E79F"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Caisleain Nua Liamhna, Newcastle Lyons</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574</w:t>
      </w:r>
    </w:p>
    <w:p w14:paraId="410DAB7C" w14:textId="77777777" w:rsidR="009822E4" w:rsidRPr="002443CE" w:rsidRDefault="009822E4" w:rsidP="009822E4">
      <w:pPr>
        <w:rPr>
          <w:rFonts w:ascii="Verdana" w:hAnsi="Verdana"/>
          <w:sz w:val="24"/>
          <w:szCs w:val="24"/>
        </w:rPr>
      </w:pPr>
    </w:p>
    <w:p w14:paraId="44787D07" w14:textId="051855D0"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color w:val="FF0000"/>
          <w:sz w:val="24"/>
          <w:szCs w:val="24"/>
        </w:rPr>
      </w:pPr>
      <w:r w:rsidRPr="002443CE">
        <w:rPr>
          <w:rFonts w:ascii="Verdana" w:hAnsi="Verdana"/>
          <w:b/>
          <w:color w:val="FF0000"/>
          <w:sz w:val="24"/>
          <w:szCs w:val="24"/>
        </w:rPr>
        <w:t>Secondary Schools as per Dept of Ed</w:t>
      </w:r>
      <w:r w:rsidR="00637B6F" w:rsidRPr="002443CE">
        <w:rPr>
          <w:rFonts w:ascii="Verdana" w:hAnsi="Verdana"/>
          <w:b/>
          <w:color w:val="FF0000"/>
          <w:sz w:val="24"/>
          <w:szCs w:val="24"/>
        </w:rPr>
        <w:t>ucation</w:t>
      </w:r>
      <w:r w:rsidRPr="002443CE">
        <w:rPr>
          <w:rFonts w:ascii="Verdana" w:hAnsi="Verdana"/>
          <w:b/>
          <w:color w:val="FF0000"/>
          <w:sz w:val="24"/>
          <w:szCs w:val="24"/>
        </w:rPr>
        <w:t>, 2018-19</w:t>
      </w:r>
    </w:p>
    <w:p w14:paraId="5D614C3C"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b/>
          <w:sz w:val="24"/>
          <w:szCs w:val="24"/>
        </w:rPr>
        <w:t>Rathcoole</w:t>
      </w:r>
      <w:r w:rsidRPr="002443CE">
        <w:rPr>
          <w:rFonts w:ascii="Verdana" w:hAnsi="Verdana"/>
          <w:sz w:val="24"/>
          <w:szCs w:val="24"/>
        </w:rPr>
        <w:t>:</w:t>
      </w:r>
    </w:p>
    <w:p w14:paraId="78B679B4"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Holy Family Community School, Rathcoole</w:t>
      </w:r>
      <w:r w:rsidRPr="002443CE">
        <w:rPr>
          <w:rFonts w:ascii="Verdana" w:hAnsi="Verdana"/>
          <w:sz w:val="24"/>
          <w:szCs w:val="24"/>
        </w:rPr>
        <w:tab/>
      </w:r>
      <w:r w:rsidRPr="002443CE">
        <w:rPr>
          <w:rFonts w:ascii="Verdana" w:hAnsi="Verdana"/>
          <w:sz w:val="24"/>
          <w:szCs w:val="24"/>
        </w:rPr>
        <w:tab/>
      </w:r>
      <w:r w:rsidRPr="002443CE">
        <w:rPr>
          <w:rFonts w:ascii="Verdana" w:hAnsi="Verdana"/>
          <w:sz w:val="24"/>
          <w:szCs w:val="24"/>
        </w:rPr>
        <w:tab/>
        <w:t>948</w:t>
      </w:r>
    </w:p>
    <w:p w14:paraId="0B67DB6A"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sz w:val="24"/>
          <w:szCs w:val="24"/>
        </w:rPr>
      </w:pPr>
      <w:r w:rsidRPr="002443CE">
        <w:rPr>
          <w:rFonts w:ascii="Verdana" w:hAnsi="Verdana"/>
          <w:b/>
          <w:sz w:val="24"/>
          <w:szCs w:val="24"/>
        </w:rPr>
        <w:t>Saggart</w:t>
      </w:r>
    </w:p>
    <w:p w14:paraId="2A593013"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NO secondary school, one planned for 2020. Students currently attend schools in wider Tallaght area</w:t>
      </w:r>
    </w:p>
    <w:p w14:paraId="3A961614"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sz w:val="24"/>
          <w:szCs w:val="24"/>
        </w:rPr>
      </w:pPr>
      <w:r w:rsidRPr="002443CE">
        <w:rPr>
          <w:rFonts w:ascii="Verdana" w:hAnsi="Verdana"/>
          <w:b/>
          <w:sz w:val="24"/>
          <w:szCs w:val="24"/>
        </w:rPr>
        <w:t>Citywest</w:t>
      </w:r>
    </w:p>
    <w:p w14:paraId="2AD9DA8E"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NO secondary school</w:t>
      </w:r>
      <w:bookmarkStart w:id="0" w:name="_Hlk7604692"/>
      <w:r w:rsidRPr="002443CE">
        <w:rPr>
          <w:rFonts w:ascii="Verdana" w:hAnsi="Verdana"/>
          <w:sz w:val="24"/>
          <w:szCs w:val="24"/>
        </w:rPr>
        <w:t>, one planned for 2020</w:t>
      </w:r>
      <w:bookmarkEnd w:id="0"/>
      <w:r w:rsidRPr="002443CE">
        <w:rPr>
          <w:rFonts w:ascii="Verdana" w:hAnsi="Verdana"/>
          <w:sz w:val="24"/>
          <w:szCs w:val="24"/>
        </w:rPr>
        <w:t>. Students currently attend schools in wider Tallaght area</w:t>
      </w:r>
    </w:p>
    <w:p w14:paraId="02A23289"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b/>
          <w:sz w:val="24"/>
          <w:szCs w:val="24"/>
        </w:rPr>
      </w:pPr>
      <w:r w:rsidRPr="002443CE">
        <w:rPr>
          <w:rFonts w:ascii="Verdana" w:hAnsi="Verdana"/>
          <w:b/>
          <w:sz w:val="24"/>
          <w:szCs w:val="24"/>
        </w:rPr>
        <w:t>Newcastle</w:t>
      </w:r>
    </w:p>
    <w:p w14:paraId="2379670C" w14:textId="77777777" w:rsidR="009822E4" w:rsidRPr="002443CE" w:rsidRDefault="009822E4" w:rsidP="009822E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24"/>
          <w:szCs w:val="24"/>
        </w:rPr>
      </w:pPr>
      <w:r w:rsidRPr="002443CE">
        <w:rPr>
          <w:rFonts w:ascii="Verdana" w:hAnsi="Verdana"/>
          <w:sz w:val="24"/>
          <w:szCs w:val="24"/>
        </w:rPr>
        <w:t>No secondary school</w:t>
      </w:r>
    </w:p>
    <w:p w14:paraId="0372F076" w14:textId="77777777" w:rsidR="009822E4" w:rsidRPr="002443CE" w:rsidRDefault="009822E4" w:rsidP="009822E4">
      <w:pPr>
        <w:rPr>
          <w:rFonts w:ascii="Verdana" w:hAnsi="Verdana"/>
          <w:sz w:val="24"/>
          <w:szCs w:val="24"/>
        </w:rPr>
      </w:pPr>
    </w:p>
    <w:p w14:paraId="5F13AFE1" w14:textId="77777777" w:rsidR="00637B6F" w:rsidRPr="002443CE" w:rsidRDefault="00637B6F" w:rsidP="00175901">
      <w:pPr>
        <w:spacing w:line="240" w:lineRule="auto"/>
        <w:contextualSpacing/>
        <w:jc w:val="both"/>
        <w:rPr>
          <w:rFonts w:ascii="Verdana" w:hAnsi="Verdana"/>
          <w:b/>
          <w:sz w:val="24"/>
          <w:szCs w:val="24"/>
        </w:rPr>
      </w:pPr>
    </w:p>
    <w:p w14:paraId="28DE3E07" w14:textId="77777777" w:rsidR="00637B6F" w:rsidRPr="002443CE" w:rsidRDefault="00637B6F" w:rsidP="00175901">
      <w:pPr>
        <w:spacing w:line="240" w:lineRule="auto"/>
        <w:contextualSpacing/>
        <w:jc w:val="both"/>
        <w:rPr>
          <w:rFonts w:ascii="Verdana" w:hAnsi="Verdana"/>
          <w:b/>
          <w:sz w:val="24"/>
          <w:szCs w:val="24"/>
        </w:rPr>
      </w:pPr>
    </w:p>
    <w:p w14:paraId="6965F63B" w14:textId="77777777" w:rsidR="00637B6F" w:rsidRPr="002443CE" w:rsidRDefault="00637B6F" w:rsidP="00175901">
      <w:pPr>
        <w:spacing w:line="240" w:lineRule="auto"/>
        <w:contextualSpacing/>
        <w:jc w:val="both"/>
        <w:rPr>
          <w:rFonts w:ascii="Verdana" w:hAnsi="Verdana"/>
          <w:b/>
          <w:sz w:val="24"/>
          <w:szCs w:val="24"/>
        </w:rPr>
      </w:pPr>
    </w:p>
    <w:p w14:paraId="40125240" w14:textId="77777777" w:rsidR="00637B6F" w:rsidRPr="002443CE" w:rsidRDefault="00637B6F" w:rsidP="00175901">
      <w:pPr>
        <w:spacing w:line="240" w:lineRule="auto"/>
        <w:contextualSpacing/>
        <w:jc w:val="both"/>
        <w:rPr>
          <w:rFonts w:ascii="Verdana" w:hAnsi="Verdana"/>
          <w:b/>
          <w:sz w:val="24"/>
          <w:szCs w:val="24"/>
        </w:rPr>
      </w:pPr>
    </w:p>
    <w:p w14:paraId="55DF8895" w14:textId="07A42B00" w:rsidR="00175901" w:rsidRPr="002443CE" w:rsidRDefault="00175901" w:rsidP="00175901">
      <w:pPr>
        <w:spacing w:line="240" w:lineRule="auto"/>
        <w:contextualSpacing/>
        <w:jc w:val="both"/>
        <w:rPr>
          <w:rFonts w:ascii="Verdana" w:hAnsi="Verdana"/>
          <w:b/>
          <w:sz w:val="24"/>
          <w:szCs w:val="24"/>
        </w:rPr>
      </w:pPr>
      <w:r w:rsidRPr="002443CE">
        <w:rPr>
          <w:rFonts w:ascii="Verdana" w:hAnsi="Verdana"/>
          <w:b/>
          <w:sz w:val="24"/>
          <w:szCs w:val="24"/>
        </w:rPr>
        <w:t xml:space="preserve">The following extracts from Section 5.1.0 of the Development Plan will aid the feasibility and/or site selection process: </w:t>
      </w:r>
    </w:p>
    <w:p w14:paraId="7B87985D" w14:textId="77777777" w:rsidR="00175901" w:rsidRPr="002443CE" w:rsidRDefault="00175901" w:rsidP="00175901">
      <w:pPr>
        <w:spacing w:line="240" w:lineRule="auto"/>
        <w:contextualSpacing/>
        <w:jc w:val="both"/>
        <w:rPr>
          <w:rFonts w:ascii="Verdana" w:hAnsi="Verdana"/>
          <w:b/>
          <w:sz w:val="24"/>
          <w:szCs w:val="24"/>
        </w:rPr>
      </w:pPr>
    </w:p>
    <w:p w14:paraId="1BED18A1" w14:textId="0D7CDBA9" w:rsidR="00175901" w:rsidRPr="002443CE" w:rsidRDefault="00175901" w:rsidP="00175901">
      <w:pPr>
        <w:spacing w:line="240" w:lineRule="auto"/>
        <w:contextualSpacing/>
        <w:jc w:val="both"/>
        <w:rPr>
          <w:rFonts w:ascii="Verdana" w:hAnsi="Verdana"/>
          <w:b/>
          <w:sz w:val="24"/>
          <w:szCs w:val="24"/>
        </w:rPr>
      </w:pPr>
      <w:r w:rsidRPr="002443CE">
        <w:rPr>
          <w:rFonts w:ascii="Verdana" w:hAnsi="Verdana"/>
          <w:b/>
          <w:sz w:val="24"/>
          <w:szCs w:val="24"/>
        </w:rPr>
        <w:t xml:space="preserve">Urban Centres: Policy 1 </w:t>
      </w:r>
    </w:p>
    <w:p w14:paraId="71D6A13E" w14:textId="77777777" w:rsidR="00175901" w:rsidRPr="002443CE" w:rsidRDefault="00175901" w:rsidP="00175901">
      <w:pPr>
        <w:spacing w:line="240" w:lineRule="auto"/>
        <w:contextualSpacing/>
        <w:jc w:val="both"/>
        <w:rPr>
          <w:rFonts w:ascii="Verdana" w:hAnsi="Verdana"/>
          <w:sz w:val="24"/>
          <w:szCs w:val="24"/>
        </w:rPr>
      </w:pPr>
      <w:r w:rsidRPr="002443CE">
        <w:rPr>
          <w:rFonts w:ascii="Verdana" w:hAnsi="Verdana"/>
          <w:sz w:val="24"/>
          <w:szCs w:val="24"/>
        </w:rPr>
        <w:t xml:space="preserve">It is the policy of the Council to continue to develop the County’s network of town centres, village centres, district centres and local centres, based on the following hierarchy: </w:t>
      </w:r>
    </w:p>
    <w:p w14:paraId="51F4AFAC" w14:textId="77777777" w:rsidR="00175901" w:rsidRPr="002443CE" w:rsidRDefault="00175901" w:rsidP="00175901">
      <w:pPr>
        <w:pStyle w:val="ListParagraph"/>
        <w:numPr>
          <w:ilvl w:val="0"/>
          <w:numId w:val="1"/>
        </w:numPr>
        <w:spacing w:line="240" w:lineRule="auto"/>
        <w:jc w:val="both"/>
        <w:rPr>
          <w:rFonts w:ascii="Verdana" w:hAnsi="Verdana"/>
          <w:sz w:val="24"/>
          <w:szCs w:val="24"/>
        </w:rPr>
      </w:pPr>
      <w:r w:rsidRPr="002443CE">
        <w:rPr>
          <w:rFonts w:ascii="Verdana" w:hAnsi="Verdana"/>
          <w:sz w:val="24"/>
          <w:szCs w:val="24"/>
        </w:rPr>
        <w:t xml:space="preserve">Tallaght as the County Town; </w:t>
      </w:r>
    </w:p>
    <w:p w14:paraId="330445E8" w14:textId="77777777" w:rsidR="00175901" w:rsidRPr="002443CE" w:rsidRDefault="00175901" w:rsidP="00175901">
      <w:pPr>
        <w:pStyle w:val="ListParagraph"/>
        <w:numPr>
          <w:ilvl w:val="0"/>
          <w:numId w:val="1"/>
        </w:numPr>
        <w:spacing w:line="240" w:lineRule="auto"/>
        <w:jc w:val="both"/>
        <w:rPr>
          <w:rFonts w:ascii="Verdana" w:hAnsi="Verdana"/>
          <w:sz w:val="24"/>
          <w:szCs w:val="24"/>
        </w:rPr>
      </w:pPr>
      <w:r w:rsidRPr="002443CE">
        <w:rPr>
          <w:rFonts w:ascii="Verdana" w:hAnsi="Verdana"/>
          <w:sz w:val="24"/>
          <w:szCs w:val="24"/>
        </w:rPr>
        <w:t xml:space="preserve">Clondalkin as a vibrant Town Centre; </w:t>
      </w:r>
    </w:p>
    <w:p w14:paraId="45FAA8C0" w14:textId="77777777" w:rsidR="00175901" w:rsidRPr="002443CE" w:rsidRDefault="00175901" w:rsidP="00175901">
      <w:pPr>
        <w:pStyle w:val="ListParagraph"/>
        <w:numPr>
          <w:ilvl w:val="0"/>
          <w:numId w:val="1"/>
        </w:numPr>
        <w:spacing w:line="240" w:lineRule="auto"/>
        <w:jc w:val="both"/>
        <w:rPr>
          <w:rFonts w:ascii="Verdana" w:hAnsi="Verdana"/>
          <w:sz w:val="24"/>
          <w:szCs w:val="24"/>
        </w:rPr>
      </w:pPr>
      <w:r w:rsidRPr="002443CE">
        <w:rPr>
          <w:rFonts w:ascii="Verdana" w:hAnsi="Verdana"/>
          <w:sz w:val="24"/>
          <w:szCs w:val="24"/>
        </w:rPr>
        <w:t xml:space="preserve">Traditional Village Centres as vibrant and sustainable centres; </w:t>
      </w:r>
    </w:p>
    <w:p w14:paraId="3C28B4ED" w14:textId="77777777" w:rsidR="00175901" w:rsidRPr="002443CE" w:rsidRDefault="00175901" w:rsidP="00175901">
      <w:pPr>
        <w:pStyle w:val="ListParagraph"/>
        <w:numPr>
          <w:ilvl w:val="0"/>
          <w:numId w:val="1"/>
        </w:numPr>
        <w:spacing w:line="240" w:lineRule="auto"/>
        <w:jc w:val="both"/>
        <w:rPr>
          <w:rFonts w:ascii="Verdana" w:hAnsi="Verdana"/>
          <w:sz w:val="24"/>
          <w:szCs w:val="24"/>
        </w:rPr>
      </w:pPr>
      <w:r w:rsidRPr="002443CE">
        <w:rPr>
          <w:rFonts w:ascii="Verdana" w:hAnsi="Verdana"/>
          <w:sz w:val="24"/>
          <w:szCs w:val="24"/>
        </w:rPr>
        <w:t xml:space="preserve">A network of District Centres to serve a district catchment; and </w:t>
      </w:r>
    </w:p>
    <w:p w14:paraId="00B1C683" w14:textId="77777777" w:rsidR="00175901" w:rsidRPr="002443CE" w:rsidRDefault="00175901" w:rsidP="00175901">
      <w:pPr>
        <w:pStyle w:val="ListParagraph"/>
        <w:numPr>
          <w:ilvl w:val="0"/>
          <w:numId w:val="1"/>
        </w:numPr>
        <w:spacing w:line="240" w:lineRule="auto"/>
        <w:jc w:val="both"/>
        <w:rPr>
          <w:rFonts w:ascii="Verdana" w:hAnsi="Verdana"/>
          <w:sz w:val="24"/>
          <w:szCs w:val="24"/>
        </w:rPr>
      </w:pPr>
      <w:r w:rsidRPr="002443CE">
        <w:rPr>
          <w:rFonts w:ascii="Verdana" w:hAnsi="Verdana"/>
          <w:sz w:val="24"/>
          <w:szCs w:val="24"/>
        </w:rPr>
        <w:t>A network of Local Centres and local shops to serve a local catchment.</w:t>
      </w:r>
    </w:p>
    <w:p w14:paraId="3F193DF9" w14:textId="2030DC37" w:rsidR="00175901" w:rsidRPr="002443CE" w:rsidRDefault="00175901" w:rsidP="00175901">
      <w:pPr>
        <w:spacing w:line="240" w:lineRule="auto"/>
        <w:contextualSpacing/>
        <w:jc w:val="both"/>
        <w:rPr>
          <w:rFonts w:ascii="Verdana" w:hAnsi="Verdana"/>
          <w:b/>
          <w:sz w:val="24"/>
          <w:szCs w:val="24"/>
        </w:rPr>
      </w:pPr>
      <w:r w:rsidRPr="002443CE">
        <w:rPr>
          <w:rFonts w:ascii="Verdana" w:hAnsi="Verdana"/>
          <w:b/>
          <w:sz w:val="24"/>
          <w:szCs w:val="24"/>
        </w:rPr>
        <w:t>Urban Centres:  Objective 1</w:t>
      </w:r>
    </w:p>
    <w:p w14:paraId="466B3DA5" w14:textId="77777777" w:rsidR="00175901" w:rsidRPr="002443CE" w:rsidRDefault="00175901" w:rsidP="00175901">
      <w:pPr>
        <w:spacing w:line="240" w:lineRule="auto"/>
        <w:contextualSpacing/>
        <w:jc w:val="both"/>
        <w:rPr>
          <w:rFonts w:ascii="Verdana" w:hAnsi="Verdana"/>
          <w:sz w:val="24"/>
          <w:szCs w:val="24"/>
        </w:rPr>
      </w:pPr>
      <w:r w:rsidRPr="002443CE">
        <w:rPr>
          <w:rFonts w:ascii="Verdana" w:hAnsi="Verdana"/>
          <w:sz w:val="24"/>
          <w:szCs w:val="24"/>
        </w:rPr>
        <w:t>To direct retail, commercial, leisure, entertainment, civic, community and cultural uses into town, village, district and local centres and to achieve a critical mass of development and a mix of uses that is appropriate to each level in the urban hierarchy.</w:t>
      </w:r>
    </w:p>
    <w:p w14:paraId="1B28AD1F" w14:textId="77777777" w:rsidR="00175901" w:rsidRPr="002443CE" w:rsidRDefault="00175901" w:rsidP="00175901">
      <w:pPr>
        <w:spacing w:line="240" w:lineRule="auto"/>
        <w:contextualSpacing/>
        <w:jc w:val="both"/>
        <w:rPr>
          <w:rFonts w:ascii="Verdana" w:hAnsi="Verdana"/>
          <w:b/>
          <w:sz w:val="24"/>
          <w:szCs w:val="24"/>
        </w:rPr>
      </w:pPr>
    </w:p>
    <w:p w14:paraId="0286515C" w14:textId="0126916F" w:rsidR="00175901" w:rsidRPr="002443CE" w:rsidRDefault="00175901" w:rsidP="00175901">
      <w:pPr>
        <w:spacing w:line="240" w:lineRule="auto"/>
        <w:contextualSpacing/>
        <w:jc w:val="both"/>
        <w:rPr>
          <w:rFonts w:ascii="Verdana" w:hAnsi="Verdana"/>
          <w:b/>
          <w:sz w:val="24"/>
          <w:szCs w:val="24"/>
        </w:rPr>
      </w:pPr>
      <w:r w:rsidRPr="002443CE">
        <w:rPr>
          <w:rFonts w:ascii="Verdana" w:hAnsi="Verdana"/>
          <w:b/>
          <w:sz w:val="24"/>
          <w:szCs w:val="24"/>
        </w:rPr>
        <w:t>Urban Centres: Objective 2</w:t>
      </w:r>
    </w:p>
    <w:p w14:paraId="75EBFAC1" w14:textId="77777777" w:rsidR="00175901" w:rsidRPr="002443CE" w:rsidRDefault="00175901" w:rsidP="00175901">
      <w:pPr>
        <w:spacing w:line="240" w:lineRule="auto"/>
        <w:contextualSpacing/>
        <w:jc w:val="both"/>
        <w:rPr>
          <w:rFonts w:ascii="Verdana" w:hAnsi="Verdana"/>
          <w:sz w:val="24"/>
          <w:szCs w:val="24"/>
        </w:rPr>
      </w:pPr>
      <w:r w:rsidRPr="002443CE">
        <w:rPr>
          <w:rFonts w:ascii="Verdana" w:hAnsi="Verdana"/>
          <w:sz w:val="24"/>
          <w:szCs w:val="24"/>
        </w:rPr>
        <w:t>To recognise the pre-eminence of our County’s town centres and traditional villages as the preferred location in considering development proposals for non-retail civic, public service and community developments, and to apply a sequential approach as appropriate for such proposals.</w:t>
      </w:r>
    </w:p>
    <w:p w14:paraId="78FFB121" w14:textId="77777777" w:rsidR="00175901" w:rsidRPr="002443CE" w:rsidRDefault="00175901" w:rsidP="00175901">
      <w:pPr>
        <w:spacing w:line="240" w:lineRule="auto"/>
        <w:contextualSpacing/>
        <w:jc w:val="both"/>
        <w:rPr>
          <w:rFonts w:ascii="Verdana" w:hAnsi="Verdana"/>
          <w:b/>
          <w:sz w:val="24"/>
          <w:szCs w:val="24"/>
        </w:rPr>
      </w:pPr>
    </w:p>
    <w:p w14:paraId="04B68155" w14:textId="77777777" w:rsidR="00151FC2" w:rsidRPr="002443CE" w:rsidRDefault="00151FC2" w:rsidP="0089780F">
      <w:pPr>
        <w:spacing w:line="240" w:lineRule="auto"/>
        <w:contextualSpacing/>
        <w:jc w:val="both"/>
        <w:rPr>
          <w:rFonts w:ascii="Verdana" w:hAnsi="Verdana"/>
          <w:sz w:val="24"/>
          <w:szCs w:val="24"/>
        </w:rPr>
      </w:pPr>
    </w:p>
    <w:p w14:paraId="570B631F" w14:textId="680B0DA8" w:rsidR="00151FC2" w:rsidRPr="002443CE" w:rsidRDefault="00151FC2" w:rsidP="00151FC2">
      <w:pPr>
        <w:spacing w:line="240" w:lineRule="auto"/>
        <w:contextualSpacing/>
        <w:jc w:val="both"/>
        <w:rPr>
          <w:rFonts w:ascii="Verdana" w:hAnsi="Verdana"/>
          <w:sz w:val="24"/>
          <w:szCs w:val="24"/>
        </w:rPr>
      </w:pPr>
      <w:r w:rsidRPr="002443CE">
        <w:rPr>
          <w:rFonts w:ascii="Verdana" w:hAnsi="Verdana"/>
          <w:sz w:val="24"/>
          <w:szCs w:val="24"/>
        </w:rPr>
        <w:t xml:space="preserve">Further to the above, the </w:t>
      </w:r>
      <w:r w:rsidR="00175901" w:rsidRPr="002443CE">
        <w:rPr>
          <w:rFonts w:ascii="Verdana" w:hAnsi="Verdana"/>
          <w:sz w:val="24"/>
          <w:szCs w:val="24"/>
        </w:rPr>
        <w:t xml:space="preserve">areas of Saggart-Citywest, Newcastle and Rathcoole </w:t>
      </w:r>
      <w:r w:rsidRPr="002443CE">
        <w:rPr>
          <w:rFonts w:ascii="Verdana" w:hAnsi="Verdana"/>
          <w:sz w:val="24"/>
          <w:szCs w:val="24"/>
        </w:rPr>
        <w:t>have a range of land use zoning objectives. The Urban Centres of the</w:t>
      </w:r>
      <w:r w:rsidR="00175901" w:rsidRPr="002443CE">
        <w:rPr>
          <w:rFonts w:ascii="Verdana" w:hAnsi="Verdana"/>
          <w:sz w:val="24"/>
          <w:szCs w:val="24"/>
        </w:rPr>
        <w:t>se</w:t>
      </w:r>
      <w:r w:rsidRPr="002443CE">
        <w:rPr>
          <w:rFonts w:ascii="Verdana" w:hAnsi="Verdana"/>
          <w:sz w:val="24"/>
          <w:szCs w:val="24"/>
        </w:rPr>
        <w:t xml:space="preserve"> settlements are defined by the land use zonings as follows: </w:t>
      </w:r>
    </w:p>
    <w:p w14:paraId="6AE67546" w14:textId="77777777" w:rsidR="00151FC2" w:rsidRPr="002443CE" w:rsidRDefault="00151FC2" w:rsidP="00151FC2">
      <w:pPr>
        <w:spacing w:line="240" w:lineRule="auto"/>
        <w:contextualSpacing/>
        <w:jc w:val="both"/>
        <w:rPr>
          <w:rFonts w:ascii="Verdana" w:hAnsi="Verdana"/>
          <w:sz w:val="24"/>
          <w:szCs w:val="24"/>
        </w:rPr>
      </w:pPr>
    </w:p>
    <w:tbl>
      <w:tblPr>
        <w:tblStyle w:val="TableGrid"/>
        <w:tblW w:w="0" w:type="auto"/>
        <w:tblLook w:val="04A0" w:firstRow="1" w:lastRow="0" w:firstColumn="1" w:lastColumn="0" w:noHBand="0" w:noVBand="1"/>
      </w:tblPr>
      <w:tblGrid>
        <w:gridCol w:w="2122"/>
        <w:gridCol w:w="5811"/>
      </w:tblGrid>
      <w:tr w:rsidR="00151FC2" w:rsidRPr="002443CE" w14:paraId="641B47BF" w14:textId="77777777" w:rsidTr="00746F9D">
        <w:tc>
          <w:tcPr>
            <w:tcW w:w="2122" w:type="dxa"/>
          </w:tcPr>
          <w:p w14:paraId="262DF68B" w14:textId="77777777" w:rsidR="00151FC2" w:rsidRPr="002443CE" w:rsidRDefault="00151FC2" w:rsidP="00746F9D">
            <w:pPr>
              <w:contextualSpacing/>
              <w:jc w:val="both"/>
              <w:rPr>
                <w:rFonts w:ascii="Verdana" w:hAnsi="Verdana"/>
                <w:b/>
                <w:sz w:val="24"/>
                <w:szCs w:val="24"/>
              </w:rPr>
            </w:pPr>
            <w:r w:rsidRPr="002443CE">
              <w:rPr>
                <w:rFonts w:ascii="Verdana" w:hAnsi="Verdana"/>
                <w:b/>
                <w:sz w:val="24"/>
                <w:szCs w:val="24"/>
              </w:rPr>
              <w:t xml:space="preserve">Settlement </w:t>
            </w:r>
          </w:p>
        </w:tc>
        <w:tc>
          <w:tcPr>
            <w:tcW w:w="5811" w:type="dxa"/>
          </w:tcPr>
          <w:p w14:paraId="4C57EC91" w14:textId="77777777" w:rsidR="00151FC2" w:rsidRPr="002443CE" w:rsidRDefault="00151FC2" w:rsidP="00746F9D">
            <w:pPr>
              <w:contextualSpacing/>
              <w:jc w:val="both"/>
              <w:rPr>
                <w:rFonts w:ascii="Verdana" w:hAnsi="Verdana"/>
                <w:b/>
                <w:sz w:val="24"/>
                <w:szCs w:val="24"/>
              </w:rPr>
            </w:pPr>
            <w:r w:rsidRPr="002443CE">
              <w:rPr>
                <w:rFonts w:ascii="Verdana" w:hAnsi="Verdana"/>
                <w:b/>
                <w:sz w:val="24"/>
                <w:szCs w:val="24"/>
              </w:rPr>
              <w:t>Urban Centres Zoning</w:t>
            </w:r>
          </w:p>
        </w:tc>
      </w:tr>
      <w:tr w:rsidR="00151FC2" w:rsidRPr="002443CE" w14:paraId="2C884675" w14:textId="77777777" w:rsidTr="00746F9D">
        <w:tc>
          <w:tcPr>
            <w:tcW w:w="2122" w:type="dxa"/>
          </w:tcPr>
          <w:p w14:paraId="059C58C3" w14:textId="77777777" w:rsidR="00151FC2" w:rsidRPr="002443CE" w:rsidRDefault="00151FC2" w:rsidP="00746F9D">
            <w:pPr>
              <w:contextualSpacing/>
              <w:jc w:val="both"/>
              <w:rPr>
                <w:rFonts w:ascii="Verdana" w:hAnsi="Verdana"/>
                <w:sz w:val="24"/>
                <w:szCs w:val="24"/>
              </w:rPr>
            </w:pPr>
            <w:r w:rsidRPr="002443CE">
              <w:rPr>
                <w:rFonts w:ascii="Verdana" w:hAnsi="Verdana"/>
                <w:sz w:val="24"/>
                <w:szCs w:val="24"/>
              </w:rPr>
              <w:t>Saggart – Citywest</w:t>
            </w:r>
          </w:p>
        </w:tc>
        <w:tc>
          <w:tcPr>
            <w:tcW w:w="5811" w:type="dxa"/>
          </w:tcPr>
          <w:p w14:paraId="5A05D34E" w14:textId="77777777" w:rsidR="00151FC2" w:rsidRPr="002443CE" w:rsidRDefault="00151FC2" w:rsidP="00746F9D">
            <w:pPr>
              <w:contextualSpacing/>
              <w:jc w:val="both"/>
              <w:rPr>
                <w:rFonts w:ascii="Verdana" w:hAnsi="Verdana"/>
                <w:sz w:val="24"/>
                <w:szCs w:val="24"/>
              </w:rPr>
            </w:pPr>
            <w:r w:rsidRPr="002443CE">
              <w:rPr>
                <w:rFonts w:ascii="Verdana" w:hAnsi="Verdana"/>
                <w:sz w:val="24"/>
                <w:szCs w:val="24"/>
              </w:rPr>
              <w:t>Village Centre (VC) zoning at Saggart &amp; District Centre (DC) zoning at Citywest Shopping Centre</w:t>
            </w:r>
          </w:p>
        </w:tc>
      </w:tr>
      <w:tr w:rsidR="00151FC2" w:rsidRPr="002443CE" w14:paraId="68015311" w14:textId="77777777" w:rsidTr="00746F9D">
        <w:tc>
          <w:tcPr>
            <w:tcW w:w="2122" w:type="dxa"/>
          </w:tcPr>
          <w:p w14:paraId="0303B84C" w14:textId="77777777" w:rsidR="00151FC2" w:rsidRPr="002443CE" w:rsidRDefault="00151FC2" w:rsidP="00746F9D">
            <w:pPr>
              <w:contextualSpacing/>
              <w:jc w:val="both"/>
              <w:rPr>
                <w:rFonts w:ascii="Verdana" w:hAnsi="Verdana"/>
                <w:sz w:val="24"/>
                <w:szCs w:val="24"/>
              </w:rPr>
            </w:pPr>
            <w:r w:rsidRPr="002443CE">
              <w:rPr>
                <w:rFonts w:ascii="Verdana" w:hAnsi="Verdana"/>
                <w:sz w:val="24"/>
                <w:szCs w:val="24"/>
              </w:rPr>
              <w:t xml:space="preserve">Newcastle </w:t>
            </w:r>
          </w:p>
        </w:tc>
        <w:tc>
          <w:tcPr>
            <w:tcW w:w="5811" w:type="dxa"/>
          </w:tcPr>
          <w:p w14:paraId="40C1DB28" w14:textId="77777777" w:rsidR="00151FC2" w:rsidRPr="002443CE" w:rsidRDefault="00151FC2" w:rsidP="00746F9D">
            <w:pPr>
              <w:contextualSpacing/>
              <w:jc w:val="both"/>
              <w:rPr>
                <w:rFonts w:ascii="Verdana" w:hAnsi="Verdana"/>
                <w:sz w:val="24"/>
                <w:szCs w:val="24"/>
              </w:rPr>
            </w:pPr>
            <w:r w:rsidRPr="002443CE">
              <w:rPr>
                <w:rFonts w:ascii="Verdana" w:hAnsi="Verdana"/>
                <w:sz w:val="24"/>
                <w:szCs w:val="24"/>
              </w:rPr>
              <w:t xml:space="preserve">VC Zoning in Newcastle </w:t>
            </w:r>
          </w:p>
        </w:tc>
      </w:tr>
      <w:tr w:rsidR="00151FC2" w:rsidRPr="002443CE" w14:paraId="5EEB8DF0" w14:textId="77777777" w:rsidTr="00746F9D">
        <w:tc>
          <w:tcPr>
            <w:tcW w:w="2122" w:type="dxa"/>
          </w:tcPr>
          <w:p w14:paraId="15DC933D" w14:textId="77777777" w:rsidR="00151FC2" w:rsidRPr="002443CE" w:rsidRDefault="00151FC2" w:rsidP="00746F9D">
            <w:pPr>
              <w:contextualSpacing/>
              <w:jc w:val="both"/>
              <w:rPr>
                <w:rFonts w:ascii="Verdana" w:hAnsi="Verdana"/>
                <w:sz w:val="24"/>
                <w:szCs w:val="24"/>
              </w:rPr>
            </w:pPr>
            <w:r w:rsidRPr="002443CE">
              <w:rPr>
                <w:rFonts w:ascii="Verdana" w:hAnsi="Verdana"/>
                <w:sz w:val="24"/>
                <w:szCs w:val="24"/>
              </w:rPr>
              <w:t>Rathcoole</w:t>
            </w:r>
          </w:p>
        </w:tc>
        <w:tc>
          <w:tcPr>
            <w:tcW w:w="5811" w:type="dxa"/>
          </w:tcPr>
          <w:p w14:paraId="4A093964" w14:textId="77777777" w:rsidR="00151FC2" w:rsidRPr="002443CE" w:rsidRDefault="00151FC2" w:rsidP="00746F9D">
            <w:pPr>
              <w:contextualSpacing/>
              <w:jc w:val="both"/>
              <w:rPr>
                <w:rFonts w:ascii="Verdana" w:hAnsi="Verdana"/>
                <w:sz w:val="24"/>
                <w:szCs w:val="24"/>
              </w:rPr>
            </w:pPr>
            <w:r w:rsidRPr="002443CE">
              <w:rPr>
                <w:rFonts w:ascii="Verdana" w:hAnsi="Verdana"/>
                <w:sz w:val="24"/>
                <w:szCs w:val="24"/>
              </w:rPr>
              <w:t xml:space="preserve">VC Zoning in Rathcoole </w:t>
            </w:r>
          </w:p>
        </w:tc>
      </w:tr>
    </w:tbl>
    <w:p w14:paraId="5EC5DE97" w14:textId="77777777" w:rsidR="00151FC2" w:rsidRPr="002443CE" w:rsidRDefault="00151FC2" w:rsidP="00151FC2">
      <w:pPr>
        <w:spacing w:line="240" w:lineRule="auto"/>
        <w:contextualSpacing/>
        <w:jc w:val="both"/>
        <w:rPr>
          <w:rFonts w:ascii="Verdana" w:hAnsi="Verdana"/>
          <w:sz w:val="24"/>
          <w:szCs w:val="24"/>
        </w:rPr>
      </w:pPr>
    </w:p>
    <w:p w14:paraId="4657AC0E" w14:textId="0BDBA303" w:rsidR="00151FC2" w:rsidRDefault="00855AC8" w:rsidP="00151FC2">
      <w:pPr>
        <w:spacing w:line="240" w:lineRule="auto"/>
        <w:contextualSpacing/>
        <w:jc w:val="both"/>
        <w:rPr>
          <w:rFonts w:ascii="Verdana" w:hAnsi="Verdana"/>
          <w:b/>
          <w:sz w:val="24"/>
          <w:szCs w:val="24"/>
          <w:u w:val="single"/>
        </w:rPr>
      </w:pPr>
      <w:r>
        <w:rPr>
          <w:rFonts w:ascii="Verdana" w:hAnsi="Verdana"/>
          <w:b/>
          <w:sz w:val="24"/>
          <w:szCs w:val="24"/>
          <w:u w:val="single"/>
        </w:rPr>
        <w:t>Current development proposals</w:t>
      </w:r>
    </w:p>
    <w:p w14:paraId="04095999" w14:textId="75BEFC33" w:rsidR="00855AC8" w:rsidRDefault="00855AC8" w:rsidP="00151FC2">
      <w:pPr>
        <w:spacing w:line="240" w:lineRule="auto"/>
        <w:contextualSpacing/>
        <w:jc w:val="both"/>
        <w:rPr>
          <w:rFonts w:ascii="Verdana" w:hAnsi="Verdana"/>
          <w:b/>
          <w:sz w:val="24"/>
          <w:szCs w:val="24"/>
          <w:u w:val="single"/>
        </w:rPr>
      </w:pPr>
    </w:p>
    <w:p w14:paraId="3ADE2484" w14:textId="76703A17" w:rsidR="00855AC8" w:rsidRDefault="00BD6660" w:rsidP="00151FC2">
      <w:pPr>
        <w:spacing w:line="240" w:lineRule="auto"/>
        <w:contextualSpacing/>
        <w:jc w:val="both"/>
        <w:rPr>
          <w:rFonts w:ascii="Verdana" w:hAnsi="Verdana"/>
          <w:bCs/>
          <w:sz w:val="24"/>
          <w:szCs w:val="24"/>
        </w:rPr>
      </w:pPr>
      <w:r>
        <w:rPr>
          <w:rFonts w:ascii="Verdana" w:hAnsi="Verdana"/>
          <w:bCs/>
          <w:sz w:val="24"/>
          <w:szCs w:val="24"/>
        </w:rPr>
        <w:t>Also p</w:t>
      </w:r>
      <w:r w:rsidR="00855AC8">
        <w:rPr>
          <w:rFonts w:ascii="Verdana" w:hAnsi="Verdana"/>
          <w:bCs/>
          <w:sz w:val="24"/>
          <w:szCs w:val="24"/>
        </w:rPr>
        <w:t xml:space="preserve">resented to the </w:t>
      </w:r>
      <w:r w:rsidR="00D730C9">
        <w:rPr>
          <w:rFonts w:ascii="Verdana" w:hAnsi="Verdana"/>
          <w:bCs/>
          <w:sz w:val="24"/>
          <w:szCs w:val="24"/>
        </w:rPr>
        <w:t xml:space="preserve">July </w:t>
      </w:r>
      <w:r w:rsidR="00855AC8">
        <w:rPr>
          <w:rFonts w:ascii="Verdana" w:hAnsi="Verdana"/>
          <w:bCs/>
          <w:sz w:val="24"/>
          <w:szCs w:val="24"/>
        </w:rPr>
        <w:t xml:space="preserve">Council </w:t>
      </w:r>
      <w:r w:rsidR="00D730C9">
        <w:rPr>
          <w:rFonts w:ascii="Verdana" w:hAnsi="Verdana"/>
          <w:bCs/>
          <w:sz w:val="24"/>
          <w:szCs w:val="24"/>
        </w:rPr>
        <w:t xml:space="preserve">meeting </w:t>
      </w:r>
      <w:r w:rsidR="00855AC8">
        <w:rPr>
          <w:rFonts w:ascii="Verdana" w:hAnsi="Verdana"/>
          <w:bCs/>
          <w:sz w:val="24"/>
          <w:szCs w:val="24"/>
        </w:rPr>
        <w:t xml:space="preserve">is a significant development </w:t>
      </w:r>
      <w:r w:rsidR="00D730C9">
        <w:rPr>
          <w:rFonts w:ascii="Verdana" w:hAnsi="Verdana"/>
          <w:bCs/>
          <w:sz w:val="24"/>
          <w:szCs w:val="24"/>
        </w:rPr>
        <w:t xml:space="preserve">proposal </w:t>
      </w:r>
      <w:r w:rsidR="00855AC8">
        <w:rPr>
          <w:rFonts w:ascii="Verdana" w:hAnsi="Verdana"/>
          <w:bCs/>
          <w:sz w:val="24"/>
          <w:szCs w:val="24"/>
        </w:rPr>
        <w:t>on Council owned zoned lands adjacent to Rathcoole village adjacent to an existing proposed additional school site for Rathcoole.</w:t>
      </w:r>
    </w:p>
    <w:p w14:paraId="4F1B84C9" w14:textId="77777777" w:rsidR="00BD6660" w:rsidRDefault="00BD6660" w:rsidP="00151FC2">
      <w:pPr>
        <w:spacing w:line="240" w:lineRule="auto"/>
        <w:contextualSpacing/>
        <w:jc w:val="both"/>
        <w:rPr>
          <w:rFonts w:ascii="Verdana" w:hAnsi="Verdana"/>
          <w:bCs/>
          <w:sz w:val="24"/>
          <w:szCs w:val="24"/>
        </w:rPr>
      </w:pPr>
    </w:p>
    <w:p w14:paraId="601CC04F" w14:textId="25412F08" w:rsidR="00CB1DDB" w:rsidRDefault="00CB1DDB" w:rsidP="00151FC2">
      <w:pPr>
        <w:spacing w:line="240" w:lineRule="auto"/>
        <w:contextualSpacing/>
        <w:jc w:val="both"/>
        <w:rPr>
          <w:rFonts w:ascii="Verdana" w:hAnsi="Verdana"/>
          <w:bCs/>
          <w:sz w:val="24"/>
          <w:szCs w:val="24"/>
        </w:rPr>
      </w:pPr>
      <w:r>
        <w:rPr>
          <w:rFonts w:ascii="Verdana" w:hAnsi="Verdana"/>
          <w:bCs/>
          <w:sz w:val="24"/>
          <w:szCs w:val="24"/>
        </w:rPr>
        <w:lastRenderedPageBreak/>
        <w:t xml:space="preserve">The current provision of library services to the </w:t>
      </w:r>
      <w:r w:rsidR="00977E61">
        <w:rPr>
          <w:rFonts w:ascii="Verdana" w:hAnsi="Verdana"/>
          <w:bCs/>
          <w:sz w:val="24"/>
          <w:szCs w:val="24"/>
        </w:rPr>
        <w:t>area by</w:t>
      </w:r>
      <w:r>
        <w:rPr>
          <w:rFonts w:ascii="Verdana" w:hAnsi="Verdana"/>
          <w:bCs/>
          <w:sz w:val="24"/>
          <w:szCs w:val="24"/>
        </w:rPr>
        <w:t xml:space="preserve"> </w:t>
      </w:r>
      <w:r w:rsidR="00977E61">
        <w:rPr>
          <w:rFonts w:ascii="Verdana" w:hAnsi="Verdana"/>
          <w:bCs/>
          <w:sz w:val="24"/>
          <w:szCs w:val="24"/>
        </w:rPr>
        <w:t>South Dublin</w:t>
      </w:r>
      <w:r>
        <w:rPr>
          <w:rFonts w:ascii="Verdana" w:hAnsi="Verdana"/>
          <w:bCs/>
          <w:sz w:val="24"/>
          <w:szCs w:val="24"/>
        </w:rPr>
        <w:t xml:space="preserve"> mobile libraries</w:t>
      </w:r>
      <w:r w:rsidR="00977E61">
        <w:rPr>
          <w:rFonts w:ascii="Verdana" w:hAnsi="Verdana"/>
          <w:bCs/>
          <w:sz w:val="24"/>
          <w:szCs w:val="24"/>
        </w:rPr>
        <w:t>,</w:t>
      </w:r>
      <w:r w:rsidR="007B2B90">
        <w:rPr>
          <w:rFonts w:ascii="Verdana" w:hAnsi="Verdana"/>
          <w:bCs/>
          <w:sz w:val="24"/>
          <w:szCs w:val="24"/>
        </w:rPr>
        <w:t xml:space="preserve"> although welcome</w:t>
      </w:r>
      <w:r w:rsidR="00977E61">
        <w:rPr>
          <w:rFonts w:ascii="Verdana" w:hAnsi="Verdana"/>
          <w:bCs/>
          <w:sz w:val="24"/>
          <w:szCs w:val="24"/>
        </w:rPr>
        <w:t>,</w:t>
      </w:r>
      <w:r w:rsidR="007B2B90">
        <w:rPr>
          <w:rFonts w:ascii="Verdana" w:hAnsi="Verdana"/>
          <w:bCs/>
          <w:sz w:val="24"/>
          <w:szCs w:val="24"/>
        </w:rPr>
        <w:t xml:space="preserve"> is limited in what it can deliver.</w:t>
      </w:r>
      <w:r>
        <w:rPr>
          <w:rFonts w:ascii="Verdana" w:hAnsi="Verdana"/>
          <w:bCs/>
          <w:sz w:val="24"/>
          <w:szCs w:val="24"/>
        </w:rPr>
        <w:t xml:space="preserve"> As part of the consultation process for the Library Development Plan ‘Open to You’ there was a call for the provision of a full-time library service in the Rathcoole area. The provision of this service will benefit the growing community in multiple ways. In addition to providing the public with access to a wide range of services</w:t>
      </w:r>
      <w:r w:rsidR="007B2B90">
        <w:rPr>
          <w:rFonts w:ascii="Verdana" w:hAnsi="Verdana"/>
          <w:bCs/>
          <w:sz w:val="24"/>
          <w:szCs w:val="24"/>
        </w:rPr>
        <w:t>:</w:t>
      </w:r>
      <w:r>
        <w:rPr>
          <w:rFonts w:ascii="Verdana" w:hAnsi="Verdana"/>
          <w:bCs/>
          <w:sz w:val="24"/>
          <w:szCs w:val="24"/>
        </w:rPr>
        <w:t xml:space="preserve"> computers, Internet, education, cultural programmes and course</w:t>
      </w:r>
      <w:r w:rsidR="007B2B90">
        <w:rPr>
          <w:rFonts w:ascii="Verdana" w:hAnsi="Verdana"/>
          <w:bCs/>
          <w:sz w:val="24"/>
          <w:szCs w:val="24"/>
        </w:rPr>
        <w:t>s, it will provide a trusted and valued community space. Active participation in national initiatives, such as Right to Read, Work Matters, Healthy Ireland, Music Generation and Creative Ireland will ensure that the citizens of the area have access to a broad range of knowledge, information, technology, culture and heritage in a welcoming, inclu</w:t>
      </w:r>
      <w:r w:rsidR="002C4B2A">
        <w:rPr>
          <w:rFonts w:ascii="Verdana" w:hAnsi="Verdana"/>
          <w:bCs/>
          <w:sz w:val="24"/>
          <w:szCs w:val="24"/>
        </w:rPr>
        <w:t>s</w:t>
      </w:r>
      <w:r w:rsidR="007B2B90">
        <w:rPr>
          <w:rFonts w:ascii="Verdana" w:hAnsi="Verdana"/>
          <w:bCs/>
          <w:sz w:val="24"/>
          <w:szCs w:val="24"/>
        </w:rPr>
        <w:t>ive and supportive way.</w:t>
      </w:r>
    </w:p>
    <w:p w14:paraId="790F9C59" w14:textId="66EE066E" w:rsidR="00855AC8" w:rsidRDefault="00855AC8" w:rsidP="00151FC2">
      <w:pPr>
        <w:spacing w:line="240" w:lineRule="auto"/>
        <w:contextualSpacing/>
        <w:jc w:val="both"/>
        <w:rPr>
          <w:rFonts w:ascii="Verdana" w:hAnsi="Verdana"/>
          <w:bCs/>
          <w:sz w:val="24"/>
          <w:szCs w:val="24"/>
        </w:rPr>
      </w:pPr>
    </w:p>
    <w:p w14:paraId="54798CCA" w14:textId="0E346FBA" w:rsidR="00855AC8" w:rsidRDefault="002C4B2A" w:rsidP="00151FC2">
      <w:pPr>
        <w:spacing w:line="240" w:lineRule="auto"/>
        <w:contextualSpacing/>
        <w:jc w:val="both"/>
        <w:rPr>
          <w:rFonts w:ascii="Verdana" w:hAnsi="Verdana"/>
          <w:b/>
          <w:sz w:val="24"/>
          <w:szCs w:val="24"/>
          <w:u w:val="single"/>
        </w:rPr>
      </w:pPr>
      <w:r w:rsidRPr="00855AC8">
        <w:rPr>
          <w:rFonts w:ascii="Verdana" w:hAnsi="Verdana"/>
          <w:b/>
          <w:sz w:val="24"/>
          <w:szCs w:val="24"/>
          <w:u w:val="single"/>
        </w:rPr>
        <w:t>Conclusion:</w:t>
      </w:r>
    </w:p>
    <w:p w14:paraId="7540D8A0" w14:textId="53C3692F" w:rsidR="00855AC8" w:rsidRDefault="00855AC8" w:rsidP="00151FC2">
      <w:pPr>
        <w:spacing w:line="240" w:lineRule="auto"/>
        <w:contextualSpacing/>
        <w:jc w:val="both"/>
        <w:rPr>
          <w:rFonts w:ascii="Verdana" w:hAnsi="Verdana"/>
          <w:b/>
          <w:sz w:val="24"/>
          <w:szCs w:val="24"/>
          <w:u w:val="single"/>
        </w:rPr>
      </w:pPr>
    </w:p>
    <w:p w14:paraId="0AA7220B" w14:textId="6C49D822" w:rsidR="00855AC8" w:rsidRDefault="00855AC8" w:rsidP="00151FC2">
      <w:pPr>
        <w:spacing w:line="240" w:lineRule="auto"/>
        <w:contextualSpacing/>
        <w:jc w:val="both"/>
        <w:rPr>
          <w:rFonts w:ascii="Verdana" w:hAnsi="Verdana"/>
          <w:bCs/>
          <w:sz w:val="24"/>
          <w:szCs w:val="24"/>
        </w:rPr>
      </w:pPr>
      <w:r>
        <w:rPr>
          <w:rFonts w:ascii="Verdana" w:hAnsi="Verdana"/>
          <w:bCs/>
          <w:sz w:val="24"/>
          <w:szCs w:val="24"/>
        </w:rPr>
        <w:t>As stated in the introduction the purpose of this paper is to examine the most appropriate method of providing a library service to the Western area of the County, developing rapidly, but most remote from the County Library in Tallaght.</w:t>
      </w:r>
    </w:p>
    <w:p w14:paraId="67F5701C" w14:textId="4DDAC168" w:rsidR="00855AC8" w:rsidRDefault="00855AC8" w:rsidP="00151FC2">
      <w:pPr>
        <w:spacing w:line="240" w:lineRule="auto"/>
        <w:contextualSpacing/>
        <w:jc w:val="both"/>
        <w:rPr>
          <w:rFonts w:ascii="Verdana" w:hAnsi="Verdana"/>
          <w:bCs/>
          <w:sz w:val="24"/>
          <w:szCs w:val="24"/>
        </w:rPr>
      </w:pPr>
    </w:p>
    <w:p w14:paraId="5C3A8773" w14:textId="0173CC28" w:rsidR="00855AC8" w:rsidRDefault="00855AC8" w:rsidP="00151FC2">
      <w:pPr>
        <w:spacing w:line="240" w:lineRule="auto"/>
        <w:contextualSpacing/>
        <w:jc w:val="both"/>
        <w:rPr>
          <w:rFonts w:ascii="Verdana" w:hAnsi="Verdana"/>
          <w:bCs/>
          <w:sz w:val="24"/>
          <w:szCs w:val="24"/>
        </w:rPr>
      </w:pPr>
      <w:r>
        <w:rPr>
          <w:rFonts w:ascii="Verdana" w:hAnsi="Verdana"/>
          <w:bCs/>
          <w:sz w:val="24"/>
          <w:szCs w:val="24"/>
        </w:rPr>
        <w:t>Based on analysis of the above policy requirements and the data set out above it is recommended that the location should be Rathcoole village for the below reasons.</w:t>
      </w:r>
    </w:p>
    <w:p w14:paraId="526BCAC9" w14:textId="0C4F59F7" w:rsidR="00855AC8" w:rsidRDefault="00855AC8" w:rsidP="00151FC2">
      <w:pPr>
        <w:spacing w:line="240" w:lineRule="auto"/>
        <w:contextualSpacing/>
        <w:jc w:val="both"/>
        <w:rPr>
          <w:rFonts w:ascii="Verdana" w:hAnsi="Verdana"/>
          <w:bCs/>
          <w:sz w:val="24"/>
          <w:szCs w:val="24"/>
        </w:rPr>
      </w:pPr>
    </w:p>
    <w:p w14:paraId="5B3B089C" w14:textId="365F887E" w:rsidR="00855AC8" w:rsidRDefault="00855AC8" w:rsidP="00855AC8">
      <w:pPr>
        <w:pStyle w:val="ListParagraph"/>
        <w:numPr>
          <w:ilvl w:val="0"/>
          <w:numId w:val="2"/>
        </w:numPr>
        <w:spacing w:line="240" w:lineRule="auto"/>
        <w:jc w:val="both"/>
        <w:rPr>
          <w:rFonts w:ascii="Verdana" w:hAnsi="Verdana"/>
          <w:bCs/>
          <w:sz w:val="24"/>
          <w:szCs w:val="24"/>
        </w:rPr>
      </w:pPr>
      <w:r>
        <w:rPr>
          <w:rFonts w:ascii="Verdana" w:hAnsi="Verdana"/>
          <w:bCs/>
          <w:sz w:val="24"/>
          <w:szCs w:val="24"/>
        </w:rPr>
        <w:t>Rathcoole is a</w:t>
      </w:r>
      <w:r w:rsidR="00782C4F">
        <w:rPr>
          <w:rFonts w:ascii="Verdana" w:hAnsi="Verdana"/>
          <w:bCs/>
          <w:sz w:val="24"/>
          <w:szCs w:val="24"/>
        </w:rPr>
        <w:t>n established</w:t>
      </w:r>
      <w:r>
        <w:rPr>
          <w:rFonts w:ascii="Verdana" w:hAnsi="Verdana"/>
          <w:bCs/>
          <w:sz w:val="24"/>
          <w:szCs w:val="24"/>
        </w:rPr>
        <w:t xml:space="preserve"> </w:t>
      </w:r>
      <w:r w:rsidR="00782C4F">
        <w:rPr>
          <w:rFonts w:ascii="Verdana" w:hAnsi="Verdana"/>
          <w:bCs/>
          <w:sz w:val="24"/>
          <w:szCs w:val="24"/>
        </w:rPr>
        <w:t xml:space="preserve">South Dublin </w:t>
      </w:r>
      <w:r>
        <w:rPr>
          <w:rFonts w:ascii="Verdana" w:hAnsi="Verdana"/>
          <w:bCs/>
          <w:sz w:val="24"/>
          <w:szCs w:val="24"/>
        </w:rPr>
        <w:t>village that has been, and will continue to be, subject to significant development.</w:t>
      </w:r>
    </w:p>
    <w:p w14:paraId="7404A6AD" w14:textId="1172778D" w:rsidR="00855AC8" w:rsidRDefault="00855AC8" w:rsidP="00855AC8">
      <w:pPr>
        <w:pStyle w:val="ListParagraph"/>
        <w:numPr>
          <w:ilvl w:val="0"/>
          <w:numId w:val="2"/>
        </w:numPr>
        <w:spacing w:line="240" w:lineRule="auto"/>
        <w:jc w:val="both"/>
        <w:rPr>
          <w:rFonts w:ascii="Verdana" w:hAnsi="Verdana"/>
          <w:bCs/>
          <w:sz w:val="24"/>
          <w:szCs w:val="24"/>
        </w:rPr>
      </w:pPr>
      <w:r>
        <w:rPr>
          <w:rFonts w:ascii="Verdana" w:hAnsi="Verdana"/>
          <w:bCs/>
          <w:sz w:val="24"/>
          <w:szCs w:val="24"/>
        </w:rPr>
        <w:t xml:space="preserve">The village is best located to </w:t>
      </w:r>
      <w:r w:rsidR="00966678">
        <w:rPr>
          <w:rFonts w:ascii="Verdana" w:hAnsi="Verdana"/>
          <w:bCs/>
          <w:sz w:val="24"/>
          <w:szCs w:val="24"/>
        </w:rPr>
        <w:t xml:space="preserve">both </w:t>
      </w:r>
      <w:r>
        <w:rPr>
          <w:rFonts w:ascii="Verdana" w:hAnsi="Verdana"/>
          <w:bCs/>
          <w:sz w:val="24"/>
          <w:szCs w:val="24"/>
        </w:rPr>
        <w:t xml:space="preserve">serve the adjacent villages of </w:t>
      </w:r>
      <w:r w:rsidR="00966678">
        <w:rPr>
          <w:rFonts w:ascii="Verdana" w:hAnsi="Verdana"/>
          <w:bCs/>
          <w:sz w:val="24"/>
          <w:szCs w:val="24"/>
        </w:rPr>
        <w:t>Saggart</w:t>
      </w:r>
      <w:r w:rsidR="0046199C">
        <w:rPr>
          <w:rFonts w:ascii="Verdana" w:hAnsi="Verdana"/>
          <w:bCs/>
          <w:sz w:val="24"/>
          <w:szCs w:val="24"/>
        </w:rPr>
        <w:t xml:space="preserve"> </w:t>
      </w:r>
      <w:r w:rsidR="00966678">
        <w:rPr>
          <w:rFonts w:ascii="Verdana" w:hAnsi="Verdana"/>
          <w:bCs/>
          <w:sz w:val="24"/>
          <w:szCs w:val="24"/>
        </w:rPr>
        <w:t>and Newcastle</w:t>
      </w:r>
      <w:r w:rsidR="0046199C">
        <w:rPr>
          <w:rFonts w:ascii="Verdana" w:hAnsi="Verdana"/>
          <w:bCs/>
          <w:sz w:val="24"/>
          <w:szCs w:val="24"/>
        </w:rPr>
        <w:t xml:space="preserve">, </w:t>
      </w:r>
      <w:bookmarkStart w:id="1" w:name="_GoBack"/>
      <w:bookmarkEnd w:id="1"/>
      <w:r w:rsidR="00966678">
        <w:rPr>
          <w:rFonts w:ascii="Verdana" w:hAnsi="Verdana"/>
          <w:bCs/>
          <w:sz w:val="24"/>
          <w:szCs w:val="24"/>
        </w:rPr>
        <w:t>and the surrounding rural hinterland.</w:t>
      </w:r>
    </w:p>
    <w:p w14:paraId="067A5110" w14:textId="0563D59E" w:rsidR="00966678" w:rsidRDefault="00966678" w:rsidP="00855AC8">
      <w:pPr>
        <w:pStyle w:val="ListParagraph"/>
        <w:numPr>
          <w:ilvl w:val="0"/>
          <w:numId w:val="2"/>
        </w:numPr>
        <w:spacing w:line="240" w:lineRule="auto"/>
        <w:jc w:val="both"/>
        <w:rPr>
          <w:rFonts w:ascii="Verdana" w:hAnsi="Verdana"/>
          <w:bCs/>
          <w:sz w:val="24"/>
          <w:szCs w:val="24"/>
        </w:rPr>
      </w:pPr>
      <w:r>
        <w:rPr>
          <w:rFonts w:ascii="Verdana" w:hAnsi="Verdana"/>
          <w:bCs/>
          <w:sz w:val="24"/>
          <w:szCs w:val="24"/>
        </w:rPr>
        <w:t xml:space="preserve">Rathcoole is home to </w:t>
      </w:r>
      <w:r w:rsidR="00782C4F">
        <w:rPr>
          <w:rFonts w:ascii="Verdana" w:hAnsi="Verdana"/>
          <w:bCs/>
          <w:sz w:val="24"/>
          <w:szCs w:val="24"/>
        </w:rPr>
        <w:t>a cluster of existing</w:t>
      </w:r>
      <w:r>
        <w:rPr>
          <w:rFonts w:ascii="Verdana" w:hAnsi="Verdana"/>
          <w:bCs/>
          <w:sz w:val="24"/>
          <w:szCs w:val="24"/>
        </w:rPr>
        <w:t xml:space="preserve"> and planned schools, both primary and secondary, with large student numbers.</w:t>
      </w:r>
    </w:p>
    <w:p w14:paraId="2D47FBDC" w14:textId="431E8BCD" w:rsidR="00966678" w:rsidRDefault="00966678" w:rsidP="00855AC8">
      <w:pPr>
        <w:pStyle w:val="ListParagraph"/>
        <w:numPr>
          <w:ilvl w:val="0"/>
          <w:numId w:val="2"/>
        </w:numPr>
        <w:spacing w:line="240" w:lineRule="auto"/>
        <w:jc w:val="both"/>
        <w:rPr>
          <w:rFonts w:ascii="Verdana" w:hAnsi="Verdana"/>
          <w:bCs/>
          <w:sz w:val="24"/>
          <w:szCs w:val="24"/>
        </w:rPr>
      </w:pPr>
      <w:r>
        <w:rPr>
          <w:rFonts w:ascii="Verdana" w:hAnsi="Verdana"/>
          <w:bCs/>
          <w:sz w:val="24"/>
          <w:szCs w:val="24"/>
        </w:rPr>
        <w:t>The current SDCC development proposal at Rathcoole provides an opportunity to provide the service in conjunction with</w:t>
      </w:r>
      <w:r w:rsidR="00BD6660">
        <w:rPr>
          <w:rFonts w:ascii="Verdana" w:hAnsi="Verdana"/>
          <w:bCs/>
          <w:sz w:val="24"/>
          <w:szCs w:val="24"/>
        </w:rPr>
        <w:t>,</w:t>
      </w:r>
      <w:r>
        <w:rPr>
          <w:rFonts w:ascii="Verdana" w:hAnsi="Verdana"/>
          <w:bCs/>
          <w:sz w:val="24"/>
          <w:szCs w:val="24"/>
        </w:rPr>
        <w:t xml:space="preserve"> and for</w:t>
      </w:r>
      <w:r w:rsidR="00BD6660">
        <w:rPr>
          <w:rFonts w:ascii="Verdana" w:hAnsi="Verdana"/>
          <w:bCs/>
          <w:sz w:val="24"/>
          <w:szCs w:val="24"/>
        </w:rPr>
        <w:t>,</w:t>
      </w:r>
      <w:r>
        <w:rPr>
          <w:rFonts w:ascii="Verdana" w:hAnsi="Verdana"/>
          <w:bCs/>
          <w:sz w:val="24"/>
          <w:szCs w:val="24"/>
        </w:rPr>
        <w:t xml:space="preserve"> both the existing population and the new residents of the village.</w:t>
      </w:r>
    </w:p>
    <w:p w14:paraId="2EAA95CA" w14:textId="33F36A8A" w:rsidR="002C4B2A" w:rsidRPr="00855AC8" w:rsidRDefault="002C4B2A" w:rsidP="00855AC8">
      <w:pPr>
        <w:pStyle w:val="ListParagraph"/>
        <w:numPr>
          <w:ilvl w:val="0"/>
          <w:numId w:val="2"/>
        </w:numPr>
        <w:spacing w:line="240" w:lineRule="auto"/>
        <w:jc w:val="both"/>
        <w:rPr>
          <w:rFonts w:ascii="Verdana" w:hAnsi="Verdana"/>
          <w:bCs/>
          <w:sz w:val="24"/>
          <w:szCs w:val="24"/>
        </w:rPr>
      </w:pPr>
      <w:r>
        <w:rPr>
          <w:rFonts w:ascii="Verdana" w:hAnsi="Verdana"/>
          <w:bCs/>
          <w:sz w:val="24"/>
          <w:szCs w:val="24"/>
        </w:rPr>
        <w:t>It will add greatly to network of library services in the County.</w:t>
      </w:r>
    </w:p>
    <w:p w14:paraId="622907E0" w14:textId="77777777" w:rsidR="00855AC8" w:rsidRPr="00855AC8" w:rsidRDefault="00855AC8" w:rsidP="00151FC2">
      <w:pPr>
        <w:spacing w:line="240" w:lineRule="auto"/>
        <w:contextualSpacing/>
        <w:jc w:val="both"/>
        <w:rPr>
          <w:rFonts w:ascii="Verdana" w:hAnsi="Verdana"/>
          <w:bCs/>
          <w:sz w:val="24"/>
          <w:szCs w:val="24"/>
        </w:rPr>
      </w:pPr>
    </w:p>
    <w:sectPr w:rsidR="00855AC8" w:rsidRPr="00855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A9F4D" w14:textId="77777777" w:rsidR="0016545D" w:rsidRDefault="0016545D" w:rsidP="00E324A1">
      <w:pPr>
        <w:spacing w:after="0" w:line="240" w:lineRule="auto"/>
      </w:pPr>
      <w:r>
        <w:separator/>
      </w:r>
    </w:p>
  </w:endnote>
  <w:endnote w:type="continuationSeparator" w:id="0">
    <w:p w14:paraId="45FE9246" w14:textId="77777777" w:rsidR="0016545D" w:rsidRDefault="0016545D" w:rsidP="00E3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39A6B" w14:textId="77777777" w:rsidR="0016545D" w:rsidRDefault="0016545D" w:rsidP="00E324A1">
      <w:pPr>
        <w:spacing w:after="0" w:line="240" w:lineRule="auto"/>
      </w:pPr>
      <w:r>
        <w:separator/>
      </w:r>
    </w:p>
  </w:footnote>
  <w:footnote w:type="continuationSeparator" w:id="0">
    <w:p w14:paraId="61517E3F" w14:textId="77777777" w:rsidR="0016545D" w:rsidRDefault="0016545D" w:rsidP="00E32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3FD6"/>
    <w:multiLevelType w:val="hybridMultilevel"/>
    <w:tmpl w:val="860A8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1473ECF"/>
    <w:multiLevelType w:val="hybridMultilevel"/>
    <w:tmpl w:val="89FAC7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C2"/>
    <w:rsid w:val="0004506F"/>
    <w:rsid w:val="00045DC3"/>
    <w:rsid w:val="00070866"/>
    <w:rsid w:val="0008441F"/>
    <w:rsid w:val="00091448"/>
    <w:rsid w:val="00095279"/>
    <w:rsid w:val="000C6A4B"/>
    <w:rsid w:val="0010417D"/>
    <w:rsid w:val="00120C45"/>
    <w:rsid w:val="00151FC2"/>
    <w:rsid w:val="0016545D"/>
    <w:rsid w:val="00175810"/>
    <w:rsid w:val="00175901"/>
    <w:rsid w:val="00194838"/>
    <w:rsid w:val="001E63E0"/>
    <w:rsid w:val="00200E71"/>
    <w:rsid w:val="0023404E"/>
    <w:rsid w:val="002443CE"/>
    <w:rsid w:val="00276531"/>
    <w:rsid w:val="002C4B2A"/>
    <w:rsid w:val="002D2178"/>
    <w:rsid w:val="004612F7"/>
    <w:rsid w:val="0046199C"/>
    <w:rsid w:val="004817F7"/>
    <w:rsid w:val="006222C2"/>
    <w:rsid w:val="00637B6F"/>
    <w:rsid w:val="0066143A"/>
    <w:rsid w:val="006D59EE"/>
    <w:rsid w:val="0073769F"/>
    <w:rsid w:val="00782C4F"/>
    <w:rsid w:val="007B2B90"/>
    <w:rsid w:val="00843772"/>
    <w:rsid w:val="0084580E"/>
    <w:rsid w:val="00853D6A"/>
    <w:rsid w:val="00855AC8"/>
    <w:rsid w:val="0089780F"/>
    <w:rsid w:val="008A6618"/>
    <w:rsid w:val="00966678"/>
    <w:rsid w:val="00977E61"/>
    <w:rsid w:val="009822E4"/>
    <w:rsid w:val="009A0521"/>
    <w:rsid w:val="009B09A1"/>
    <w:rsid w:val="00A11483"/>
    <w:rsid w:val="00A60451"/>
    <w:rsid w:val="00B656F7"/>
    <w:rsid w:val="00BD6660"/>
    <w:rsid w:val="00BE64E6"/>
    <w:rsid w:val="00BF3FFD"/>
    <w:rsid w:val="00C43E8E"/>
    <w:rsid w:val="00CB1DDB"/>
    <w:rsid w:val="00D730C9"/>
    <w:rsid w:val="00DC585B"/>
    <w:rsid w:val="00E324A1"/>
    <w:rsid w:val="00E6130C"/>
    <w:rsid w:val="00EA68B6"/>
    <w:rsid w:val="00EC7961"/>
    <w:rsid w:val="00F84E55"/>
    <w:rsid w:val="00FA4612"/>
    <w:rsid w:val="00FD5B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E22BD"/>
  <w15:chartTrackingRefBased/>
  <w15:docId w15:val="{F6170324-BAA2-4662-98AF-B5714EB1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3E0"/>
    <w:pPr>
      <w:ind w:left="720"/>
      <w:contextualSpacing/>
    </w:pPr>
  </w:style>
  <w:style w:type="paragraph" w:styleId="Header">
    <w:name w:val="header"/>
    <w:basedOn w:val="Normal"/>
    <w:link w:val="HeaderChar"/>
    <w:uiPriority w:val="99"/>
    <w:unhideWhenUsed/>
    <w:rsid w:val="00E32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4A1"/>
  </w:style>
  <w:style w:type="paragraph" w:styleId="Footer">
    <w:name w:val="footer"/>
    <w:basedOn w:val="Normal"/>
    <w:link w:val="FooterChar"/>
    <w:uiPriority w:val="99"/>
    <w:unhideWhenUsed/>
    <w:rsid w:val="00E32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4A1"/>
  </w:style>
  <w:style w:type="character" w:styleId="Hyperlink">
    <w:name w:val="Hyperlink"/>
    <w:basedOn w:val="DefaultParagraphFont"/>
    <w:uiPriority w:val="99"/>
    <w:semiHidden/>
    <w:unhideWhenUsed/>
    <w:rsid w:val="00853D6A"/>
    <w:rPr>
      <w:color w:val="0000FF"/>
      <w:u w:val="single"/>
    </w:rPr>
  </w:style>
  <w:style w:type="paragraph" w:styleId="NormalWeb">
    <w:name w:val="Normal (Web)"/>
    <w:basedOn w:val="Normal"/>
    <w:uiPriority w:val="99"/>
    <w:semiHidden/>
    <w:unhideWhenUsed/>
    <w:rsid w:val="0073769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73769F"/>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73769F"/>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73769F"/>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737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Burke</dc:creator>
  <cp:keywords/>
  <dc:description/>
  <cp:lastModifiedBy>Frank Nevin</cp:lastModifiedBy>
  <cp:revision>6</cp:revision>
  <dcterms:created xsi:type="dcterms:W3CDTF">2019-06-28T15:09:00Z</dcterms:created>
  <dcterms:modified xsi:type="dcterms:W3CDTF">2019-06-28T15:12:00Z</dcterms:modified>
</cp:coreProperties>
</file>