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A45" w:rsidRDefault="00503A45" w:rsidP="00616011"/>
    <w:p w:rsidR="00503A45" w:rsidRDefault="00503A45" w:rsidP="00616011"/>
    <w:p w:rsidR="00331D4B" w:rsidRDefault="00331D4B" w:rsidP="00503A45">
      <w:pPr>
        <w:jc w:val="center"/>
        <w:rPr>
          <w:b/>
          <w:sz w:val="36"/>
          <w:szCs w:val="36"/>
        </w:rPr>
      </w:pPr>
      <w:r>
        <w:rPr>
          <w:b/>
          <w:sz w:val="36"/>
          <w:szCs w:val="36"/>
        </w:rPr>
        <w:t>LUCAN ACM 29</w:t>
      </w:r>
      <w:r w:rsidRPr="00331D4B">
        <w:rPr>
          <w:b/>
          <w:sz w:val="36"/>
          <w:szCs w:val="36"/>
          <w:vertAlign w:val="superscript"/>
        </w:rPr>
        <w:t>TH</w:t>
      </w:r>
      <w:r w:rsidR="009C3FE7">
        <w:rPr>
          <w:b/>
          <w:sz w:val="36"/>
          <w:szCs w:val="36"/>
        </w:rPr>
        <w:t xml:space="preserve"> JANUARY 2019</w:t>
      </w:r>
      <w:bookmarkStart w:id="0" w:name="_GoBack"/>
      <w:bookmarkEnd w:id="0"/>
    </w:p>
    <w:p w:rsidR="00503A45" w:rsidRPr="00503A45" w:rsidRDefault="00503A45" w:rsidP="00503A45">
      <w:pPr>
        <w:jc w:val="center"/>
        <w:rPr>
          <w:b/>
          <w:sz w:val="36"/>
          <w:szCs w:val="36"/>
        </w:rPr>
      </w:pPr>
      <w:r w:rsidRPr="00503A45">
        <w:rPr>
          <w:b/>
          <w:sz w:val="36"/>
          <w:szCs w:val="36"/>
        </w:rPr>
        <w:t>TRAFFIC RAMP PROGRAMME – 2019/20</w:t>
      </w:r>
    </w:p>
    <w:p w:rsidR="00503A45" w:rsidRDefault="00503A45" w:rsidP="00616011"/>
    <w:p w:rsidR="00616011" w:rsidRDefault="00616011" w:rsidP="00616011">
      <w:r>
        <w:t>South Dublin County Council, under Section 38 of the 1994 Road Traffic Act, proposed several locations for the installation of traffic ramps.  The proposed locations were advertised in National &amp; Local papers, displayed in the Council office in Tallaght and Clondalkin and in all the libraries in the county and promoted on Facebook and Twitter.  The period for public consultation was 1 month from 13</w:t>
      </w:r>
      <w:r w:rsidRPr="00056830">
        <w:rPr>
          <w:vertAlign w:val="superscript"/>
        </w:rPr>
        <w:t>th</w:t>
      </w:r>
      <w:r>
        <w:t xml:space="preserve"> December 2018 to 14</w:t>
      </w:r>
      <w:r w:rsidRPr="00056830">
        <w:rPr>
          <w:vertAlign w:val="superscript"/>
        </w:rPr>
        <w:t>th</w:t>
      </w:r>
      <w:r>
        <w:t xml:space="preserve"> January 2019.  In addition, the proposed locations were marked with paint on the road to alert local residents to the exact location of the proposed ramps.</w:t>
      </w:r>
    </w:p>
    <w:p w:rsidR="00A21E04" w:rsidRDefault="00616011">
      <w:r>
        <w:t>Number of submissions made in the Lucan Area – 14</w:t>
      </w:r>
    </w:p>
    <w:p w:rsidR="00616011" w:rsidRDefault="00616011">
      <w:r>
        <w:t>The following locations will NOT be proceeding with installation of ramps due to objections from residents.</w:t>
      </w:r>
    </w:p>
    <w:tbl>
      <w:tblPr>
        <w:tblStyle w:val="TableGrid"/>
        <w:tblW w:w="9209" w:type="dxa"/>
        <w:tblLook w:val="04A0" w:firstRow="1" w:lastRow="0" w:firstColumn="1" w:lastColumn="0" w:noHBand="0" w:noVBand="1"/>
      </w:tblPr>
      <w:tblGrid>
        <w:gridCol w:w="2263"/>
        <w:gridCol w:w="4111"/>
        <w:gridCol w:w="2835"/>
      </w:tblGrid>
      <w:tr w:rsidR="00616011" w:rsidRPr="005F76D4" w:rsidTr="00FD2C61">
        <w:tc>
          <w:tcPr>
            <w:tcW w:w="2263" w:type="dxa"/>
          </w:tcPr>
          <w:p w:rsidR="00616011" w:rsidRPr="005F76D4" w:rsidRDefault="00616011" w:rsidP="00FD2C61">
            <w:pPr>
              <w:rPr>
                <w:b/>
              </w:rPr>
            </w:pPr>
            <w:r w:rsidRPr="005F76D4">
              <w:rPr>
                <w:b/>
              </w:rPr>
              <w:t>Electoral Area</w:t>
            </w:r>
          </w:p>
        </w:tc>
        <w:tc>
          <w:tcPr>
            <w:tcW w:w="4111" w:type="dxa"/>
          </w:tcPr>
          <w:p w:rsidR="00616011" w:rsidRPr="005F76D4" w:rsidRDefault="00616011" w:rsidP="00FD2C61">
            <w:pPr>
              <w:rPr>
                <w:b/>
              </w:rPr>
            </w:pPr>
            <w:r w:rsidRPr="005F76D4">
              <w:rPr>
                <w:b/>
              </w:rPr>
              <w:t>Ramp Location</w:t>
            </w:r>
          </w:p>
        </w:tc>
        <w:tc>
          <w:tcPr>
            <w:tcW w:w="2835" w:type="dxa"/>
          </w:tcPr>
          <w:p w:rsidR="00616011" w:rsidRPr="005F76D4" w:rsidRDefault="00616011" w:rsidP="00FD2C61">
            <w:pPr>
              <w:rPr>
                <w:b/>
              </w:rPr>
            </w:pPr>
            <w:r w:rsidRPr="005F76D4">
              <w:rPr>
                <w:b/>
              </w:rPr>
              <w:t>Comment</w:t>
            </w:r>
          </w:p>
        </w:tc>
      </w:tr>
      <w:tr w:rsidR="000A37FC" w:rsidTr="00906078">
        <w:tc>
          <w:tcPr>
            <w:tcW w:w="2263" w:type="dxa"/>
            <w:shd w:val="clear" w:color="auto" w:fill="EDEDED" w:themeFill="accent3" w:themeFillTint="33"/>
          </w:tcPr>
          <w:p w:rsidR="000A37FC" w:rsidRDefault="000A37FC" w:rsidP="00906078">
            <w:r>
              <w:t>Lucan</w:t>
            </w:r>
          </w:p>
        </w:tc>
        <w:tc>
          <w:tcPr>
            <w:tcW w:w="4111" w:type="dxa"/>
            <w:shd w:val="clear" w:color="auto" w:fill="EDEDED" w:themeFill="accent3" w:themeFillTint="33"/>
          </w:tcPr>
          <w:p w:rsidR="000A37FC" w:rsidRPr="00487862" w:rsidRDefault="000A37FC" w:rsidP="00906078">
            <w:pPr>
              <w:rPr>
                <w:rFonts w:ascii="Calibri" w:hAnsi="Calibri"/>
                <w:color w:val="000000"/>
              </w:rPr>
            </w:pPr>
            <w:r>
              <w:rPr>
                <w:rFonts w:ascii="Calibri" w:hAnsi="Calibri"/>
                <w:color w:val="000000"/>
              </w:rPr>
              <w:t xml:space="preserve">2, 18 &amp; 30 </w:t>
            </w:r>
            <w:proofErr w:type="spellStart"/>
            <w:r>
              <w:rPr>
                <w:rFonts w:ascii="Calibri" w:hAnsi="Calibri"/>
                <w:color w:val="000000"/>
              </w:rPr>
              <w:t>Larkfield</w:t>
            </w:r>
            <w:proofErr w:type="spellEnd"/>
            <w:r>
              <w:rPr>
                <w:rFonts w:ascii="Calibri" w:hAnsi="Calibri"/>
                <w:color w:val="000000"/>
              </w:rPr>
              <w:t xml:space="preserve"> Avenue</w:t>
            </w:r>
          </w:p>
        </w:tc>
        <w:tc>
          <w:tcPr>
            <w:tcW w:w="2835" w:type="dxa"/>
            <w:shd w:val="clear" w:color="auto" w:fill="EDEDED" w:themeFill="accent3" w:themeFillTint="33"/>
          </w:tcPr>
          <w:p w:rsidR="000A37FC" w:rsidRDefault="000A37FC" w:rsidP="00906078">
            <w:r>
              <w:t>Against</w:t>
            </w:r>
          </w:p>
        </w:tc>
      </w:tr>
      <w:tr w:rsidR="000A37FC" w:rsidTr="00906078">
        <w:trPr>
          <w:trHeight w:val="589"/>
        </w:trPr>
        <w:tc>
          <w:tcPr>
            <w:tcW w:w="2263" w:type="dxa"/>
            <w:shd w:val="clear" w:color="auto" w:fill="EDEDED" w:themeFill="accent3" w:themeFillTint="33"/>
          </w:tcPr>
          <w:p w:rsidR="000A37FC" w:rsidRDefault="000A37FC" w:rsidP="00906078"/>
        </w:tc>
        <w:tc>
          <w:tcPr>
            <w:tcW w:w="4111" w:type="dxa"/>
            <w:shd w:val="clear" w:color="auto" w:fill="EDEDED" w:themeFill="accent3" w:themeFillTint="33"/>
          </w:tcPr>
          <w:p w:rsidR="000A37FC" w:rsidRPr="00724DCD" w:rsidRDefault="000A37FC" w:rsidP="00906078">
            <w:pPr>
              <w:rPr>
                <w:rFonts w:ascii="Calibri" w:hAnsi="Calibri"/>
                <w:color w:val="000000"/>
              </w:rPr>
            </w:pPr>
            <w:r>
              <w:rPr>
                <w:rFonts w:ascii="Calibri" w:hAnsi="Calibri"/>
                <w:color w:val="000000"/>
              </w:rPr>
              <w:t>PL Columns 22 &amp; 18 Griffeen Road - Bus Cushions</w:t>
            </w:r>
          </w:p>
        </w:tc>
        <w:tc>
          <w:tcPr>
            <w:tcW w:w="2835" w:type="dxa"/>
            <w:shd w:val="clear" w:color="auto" w:fill="EDEDED" w:themeFill="accent3" w:themeFillTint="33"/>
          </w:tcPr>
          <w:p w:rsidR="000A37FC" w:rsidRDefault="000A37FC" w:rsidP="00906078">
            <w:r>
              <w:t>Against</w:t>
            </w:r>
          </w:p>
        </w:tc>
      </w:tr>
      <w:tr w:rsidR="000A37FC" w:rsidTr="00906078">
        <w:tc>
          <w:tcPr>
            <w:tcW w:w="2263" w:type="dxa"/>
            <w:shd w:val="clear" w:color="auto" w:fill="EDEDED" w:themeFill="accent3" w:themeFillTint="33"/>
          </w:tcPr>
          <w:p w:rsidR="000A37FC" w:rsidRDefault="000A37FC" w:rsidP="00906078"/>
        </w:tc>
        <w:tc>
          <w:tcPr>
            <w:tcW w:w="4111" w:type="dxa"/>
            <w:shd w:val="clear" w:color="auto" w:fill="EDEDED" w:themeFill="accent3" w:themeFillTint="33"/>
          </w:tcPr>
          <w:p w:rsidR="000A37FC" w:rsidRDefault="000A37FC" w:rsidP="00906078">
            <w:pPr>
              <w:rPr>
                <w:rFonts w:ascii="Calibri" w:hAnsi="Calibri"/>
                <w:color w:val="000000"/>
              </w:rPr>
            </w:pPr>
            <w:r>
              <w:rPr>
                <w:rFonts w:ascii="Calibri" w:hAnsi="Calibri"/>
                <w:color w:val="000000"/>
              </w:rPr>
              <w:t>3, 21, 12 &amp; 28 Mount Andrew Dale</w:t>
            </w:r>
          </w:p>
        </w:tc>
        <w:tc>
          <w:tcPr>
            <w:tcW w:w="2835" w:type="dxa"/>
            <w:shd w:val="clear" w:color="auto" w:fill="EDEDED" w:themeFill="accent3" w:themeFillTint="33"/>
          </w:tcPr>
          <w:p w:rsidR="000A37FC" w:rsidRDefault="000A37FC" w:rsidP="00906078">
            <w:r>
              <w:t>Against</w:t>
            </w:r>
          </w:p>
        </w:tc>
      </w:tr>
      <w:tr w:rsidR="000A37FC" w:rsidTr="00906078">
        <w:tc>
          <w:tcPr>
            <w:tcW w:w="2263" w:type="dxa"/>
            <w:shd w:val="clear" w:color="auto" w:fill="EDEDED" w:themeFill="accent3" w:themeFillTint="33"/>
          </w:tcPr>
          <w:p w:rsidR="000A37FC" w:rsidRDefault="000A37FC" w:rsidP="00906078"/>
        </w:tc>
        <w:tc>
          <w:tcPr>
            <w:tcW w:w="4111" w:type="dxa"/>
            <w:shd w:val="clear" w:color="auto" w:fill="EDEDED" w:themeFill="accent3" w:themeFillTint="33"/>
          </w:tcPr>
          <w:p w:rsidR="000A37FC" w:rsidRDefault="000A37FC" w:rsidP="00906078">
            <w:pPr>
              <w:rPr>
                <w:rFonts w:ascii="Calibri" w:hAnsi="Calibri"/>
                <w:color w:val="000000"/>
              </w:rPr>
            </w:pPr>
            <w:r>
              <w:rPr>
                <w:rFonts w:ascii="Calibri" w:hAnsi="Calibri"/>
                <w:color w:val="000000"/>
              </w:rPr>
              <w:t>9 Mount Andrew Avenue</w:t>
            </w:r>
          </w:p>
        </w:tc>
        <w:tc>
          <w:tcPr>
            <w:tcW w:w="2835" w:type="dxa"/>
            <w:shd w:val="clear" w:color="auto" w:fill="EDEDED" w:themeFill="accent3" w:themeFillTint="33"/>
          </w:tcPr>
          <w:p w:rsidR="000A37FC" w:rsidRDefault="000A37FC" w:rsidP="00906078">
            <w:r>
              <w:t>Against</w:t>
            </w:r>
          </w:p>
        </w:tc>
      </w:tr>
    </w:tbl>
    <w:p w:rsidR="00616011" w:rsidRDefault="00616011" w:rsidP="00616011"/>
    <w:p w:rsidR="00616011" w:rsidRDefault="00616011" w:rsidP="00616011">
      <w:r>
        <w:t xml:space="preserve">It is therefore proposed to progress the installation of the traffic ramps as follows subject to funding over 2019/20. </w:t>
      </w:r>
    </w:p>
    <w:tbl>
      <w:tblPr>
        <w:tblStyle w:val="TableGrid"/>
        <w:tblW w:w="0" w:type="auto"/>
        <w:tblLook w:val="04A0" w:firstRow="1" w:lastRow="0" w:firstColumn="1" w:lastColumn="0" w:noHBand="0" w:noVBand="1"/>
      </w:tblPr>
      <w:tblGrid>
        <w:gridCol w:w="3005"/>
        <w:gridCol w:w="5637"/>
      </w:tblGrid>
      <w:tr w:rsidR="000A37FC" w:rsidTr="00906078">
        <w:tc>
          <w:tcPr>
            <w:tcW w:w="3005" w:type="dxa"/>
            <w:shd w:val="clear" w:color="auto" w:fill="EDEDED" w:themeFill="accent3" w:themeFillTint="33"/>
          </w:tcPr>
          <w:p w:rsidR="000A37FC" w:rsidRDefault="000A37FC" w:rsidP="00906078">
            <w:r>
              <w:t xml:space="preserve">Lucan </w:t>
            </w:r>
          </w:p>
        </w:tc>
        <w:tc>
          <w:tcPr>
            <w:tcW w:w="5637" w:type="dxa"/>
            <w:shd w:val="clear" w:color="auto" w:fill="EDEDED" w:themeFill="accent3" w:themeFillTint="33"/>
          </w:tcPr>
          <w:p w:rsidR="000A37FC" w:rsidRDefault="000A37FC" w:rsidP="00906078">
            <w:r>
              <w:t>2, 22, 30 &amp; 48 Griffeen Glen Drive</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4 Moy Glass Road</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25 &amp; 45 Moy Glas View</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11 Tullyhall Green</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7 Tullyhall Close</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98 &amp; 68 The Old Forge</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 xml:space="preserve">12 </w:t>
            </w:r>
            <w:proofErr w:type="spellStart"/>
            <w:r>
              <w:t>Hansted</w:t>
            </w:r>
            <w:proofErr w:type="spellEnd"/>
            <w:r>
              <w:t xml:space="preserve"> Crescent</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73, 74 &amp; 83 Hillcrest Heights</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PL Columns 15 &amp; 13 Lucan Newlands Road, Glen Vale</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 xml:space="preserve">PL Column 1 </w:t>
            </w:r>
            <w:proofErr w:type="spellStart"/>
            <w:r>
              <w:t>Haydens</w:t>
            </w:r>
            <w:proofErr w:type="spellEnd"/>
            <w:r>
              <w:t xml:space="preserve"> Park Drive</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r>
              <w:t>25 &amp; 27 Griffeen Glen Road</w:t>
            </w:r>
          </w:p>
        </w:tc>
      </w:tr>
      <w:tr w:rsidR="000A37FC" w:rsidTr="00906078">
        <w:tc>
          <w:tcPr>
            <w:tcW w:w="3005" w:type="dxa"/>
            <w:shd w:val="clear" w:color="auto" w:fill="EDEDED" w:themeFill="accent3" w:themeFillTint="33"/>
          </w:tcPr>
          <w:p w:rsidR="000A37FC" w:rsidRDefault="000A37FC" w:rsidP="00906078"/>
        </w:tc>
        <w:tc>
          <w:tcPr>
            <w:tcW w:w="5637" w:type="dxa"/>
            <w:shd w:val="clear" w:color="auto" w:fill="EDEDED" w:themeFill="accent3" w:themeFillTint="33"/>
          </w:tcPr>
          <w:p w:rsidR="000A37FC" w:rsidRDefault="000A37FC" w:rsidP="00906078"/>
        </w:tc>
      </w:tr>
    </w:tbl>
    <w:p w:rsidR="008E330F" w:rsidRDefault="008E330F">
      <w:pPr>
        <w:rPr>
          <w:b/>
        </w:rPr>
      </w:pPr>
    </w:p>
    <w:p w:rsidR="00616011" w:rsidRDefault="00616011">
      <w:r>
        <w:rPr>
          <w:b/>
        </w:rPr>
        <w:t>The number of works to be completed in 2019 is dependent on the tender price received.</w:t>
      </w:r>
    </w:p>
    <w:sectPr w:rsidR="00616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011"/>
    <w:rsid w:val="000A37FC"/>
    <w:rsid w:val="00331D4B"/>
    <w:rsid w:val="00503A45"/>
    <w:rsid w:val="00616011"/>
    <w:rsid w:val="008E330F"/>
    <w:rsid w:val="009C3FE7"/>
    <w:rsid w:val="00A21E04"/>
    <w:rsid w:val="00B628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23A00-851F-4D6F-8ED4-DA68C366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0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6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6</cp:revision>
  <dcterms:created xsi:type="dcterms:W3CDTF">2019-01-25T16:21:00Z</dcterms:created>
  <dcterms:modified xsi:type="dcterms:W3CDTF">2019-01-28T12:13:00Z</dcterms:modified>
</cp:coreProperties>
</file>