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0CC" w:rsidRDefault="002B1774"/>
    <w:p w:rsidR="002B1774" w:rsidRDefault="002B1774"/>
    <w:p w:rsidR="002B1774" w:rsidRDefault="002B1774"/>
    <w:p w:rsidR="002B1774" w:rsidRDefault="002B1774" w:rsidP="002B1774">
      <w:pPr>
        <w:pStyle w:val="replyheader"/>
        <w:rPr>
          <w:rFonts w:ascii="Verdana" w:hAnsi="Verdana"/>
        </w:rPr>
      </w:pPr>
      <w:r>
        <w:rPr>
          <w:rFonts w:ascii="Verdana" w:hAnsi="Verdana"/>
        </w:rPr>
        <w:t>COMHAIRLE CONTAE ÁTHA CLIATH THEAS</w:t>
      </w:r>
      <w:r>
        <w:rPr>
          <w:rFonts w:ascii="Verdana" w:hAnsi="Verdana"/>
        </w:rPr>
        <w:br/>
        <w:t>SOUTH DUBLIN COUNTY COUNCIL</w:t>
      </w:r>
    </w:p>
    <w:p w:rsidR="002B1774" w:rsidRDefault="002B1774" w:rsidP="002B1774">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91.5pt">
            <v:imagedata r:id="rId5" r:href="rId6"/>
          </v:shape>
        </w:pict>
      </w:r>
      <w:r>
        <w:rPr>
          <w:rFonts w:ascii="Verdana" w:hAnsi="Verdana"/>
        </w:rPr>
        <w:fldChar w:fldCharType="end"/>
      </w:r>
    </w:p>
    <w:p w:rsidR="002B1774" w:rsidRPr="00716359" w:rsidRDefault="002B1774" w:rsidP="002B1774">
      <w:pPr>
        <w:jc w:val="center"/>
        <w:rPr>
          <w:b/>
          <w:sz w:val="28"/>
          <w:szCs w:val="28"/>
          <w:u w:val="single"/>
        </w:rPr>
      </w:pPr>
      <w:r w:rsidRPr="00BC39BC">
        <w:rPr>
          <w:b/>
          <w:sz w:val="28"/>
          <w:szCs w:val="28"/>
          <w:u w:val="single"/>
        </w:rPr>
        <w:t>Meeting of South Dublin County Council Meeting</w:t>
      </w:r>
    </w:p>
    <w:p w:rsidR="002B1774" w:rsidRPr="00716359" w:rsidRDefault="002B1774" w:rsidP="002B1774">
      <w:pPr>
        <w:jc w:val="center"/>
        <w:rPr>
          <w:b/>
          <w:sz w:val="28"/>
          <w:szCs w:val="28"/>
          <w:u w:val="single"/>
        </w:rPr>
      </w:pPr>
    </w:p>
    <w:p w:rsidR="002B1774" w:rsidRPr="00716359" w:rsidRDefault="002B1774" w:rsidP="002B1774">
      <w:pPr>
        <w:jc w:val="center"/>
        <w:rPr>
          <w:b/>
          <w:sz w:val="28"/>
          <w:szCs w:val="28"/>
          <w:u w:val="single"/>
        </w:rPr>
      </w:pPr>
      <w:r>
        <w:rPr>
          <w:b/>
          <w:sz w:val="28"/>
          <w:szCs w:val="28"/>
          <w:u w:val="single"/>
        </w:rPr>
        <w:t>9</w:t>
      </w:r>
      <w:r w:rsidRPr="00687D07">
        <w:rPr>
          <w:b/>
          <w:sz w:val="28"/>
          <w:szCs w:val="28"/>
          <w:u w:val="single"/>
          <w:vertAlign w:val="superscript"/>
        </w:rPr>
        <w:t>th</w:t>
      </w:r>
      <w:r>
        <w:rPr>
          <w:b/>
          <w:sz w:val="28"/>
          <w:szCs w:val="28"/>
          <w:u w:val="single"/>
        </w:rPr>
        <w:t xml:space="preserve"> July 2018</w:t>
      </w:r>
    </w:p>
    <w:p w:rsidR="002B1774" w:rsidRDefault="002B1774" w:rsidP="002B1774">
      <w:pPr>
        <w:pStyle w:val="replymain"/>
        <w:rPr>
          <w:rFonts w:ascii="Verdana" w:hAnsi="Verdana"/>
          <w:color w:val="000000"/>
        </w:rPr>
      </w:pPr>
      <w:r w:rsidRPr="00AF05BC">
        <w:rPr>
          <w:rFonts w:ascii="Verdana" w:hAnsi="Verdana"/>
          <w:color w:val="000000"/>
        </w:rPr>
        <w:t>HEADED ITEM NO 10</w:t>
      </w:r>
    </w:p>
    <w:p w:rsidR="002B1774" w:rsidRDefault="002B1774" w:rsidP="002B1774">
      <w:pPr>
        <w:pStyle w:val="NormalWeb"/>
        <w:rPr>
          <w:rFonts w:ascii="Verdana" w:hAnsi="Verdana"/>
          <w:color w:val="000000"/>
        </w:rPr>
      </w:pPr>
      <w:r>
        <w:rPr>
          <w:rStyle w:val="Strong"/>
          <w:rFonts w:ascii="Verdana" w:hAnsi="Verdana"/>
          <w:color w:val="000000"/>
        </w:rPr>
        <w:t>HEADED ITEM: Land Use, Planning and Transportation Directorate</w:t>
      </w:r>
    </w:p>
    <w:p w:rsidR="002B1774" w:rsidRDefault="002B1774" w:rsidP="002B1774">
      <w:pPr>
        <w:jc w:val="center"/>
        <w:rPr>
          <w:b/>
          <w:sz w:val="24"/>
          <w:szCs w:val="24"/>
          <w:u w:val="single"/>
        </w:rPr>
      </w:pPr>
    </w:p>
    <w:p w:rsidR="002B1774" w:rsidRDefault="002B1774" w:rsidP="002B1774">
      <w:pPr>
        <w:rPr>
          <w:b/>
          <w:sz w:val="28"/>
          <w:szCs w:val="28"/>
          <w:u w:val="single"/>
        </w:rPr>
      </w:pPr>
      <w:r w:rsidRPr="006B020C">
        <w:rPr>
          <w:b/>
          <w:sz w:val="28"/>
          <w:szCs w:val="28"/>
          <w:u w:val="single"/>
        </w:rPr>
        <w:t xml:space="preserve">REPORT ON PROPOSED EXTINGUISHMENT OF PUBLIC RIGHT OF WAY BETWEEN WHITEBROOK PARK AND RAHEEN CLOSE. </w:t>
      </w:r>
    </w:p>
    <w:p w:rsidR="002B1774" w:rsidRPr="006B020C" w:rsidRDefault="002B1774" w:rsidP="002B1774">
      <w:pPr>
        <w:rPr>
          <w:b/>
          <w:sz w:val="28"/>
          <w:szCs w:val="28"/>
          <w:u w:val="single"/>
        </w:rPr>
      </w:pPr>
      <w:r>
        <w:rPr>
          <w:b/>
          <w:sz w:val="28"/>
          <w:szCs w:val="28"/>
          <w:u w:val="single"/>
        </w:rPr>
        <w:t>MAP REF: RE 9608</w:t>
      </w:r>
    </w:p>
    <w:p w:rsidR="002B1774" w:rsidRDefault="002B1774" w:rsidP="002B1774">
      <w:pPr>
        <w:rPr>
          <w:sz w:val="24"/>
          <w:szCs w:val="24"/>
        </w:rPr>
      </w:pPr>
    </w:p>
    <w:p w:rsidR="002B1774" w:rsidRDefault="002B1774" w:rsidP="002B1774">
      <w:pPr>
        <w:rPr>
          <w:sz w:val="24"/>
          <w:szCs w:val="24"/>
        </w:rPr>
      </w:pPr>
    </w:p>
    <w:p w:rsidR="002B1774" w:rsidRDefault="002B1774" w:rsidP="002B1774">
      <w:pPr>
        <w:rPr>
          <w:sz w:val="24"/>
          <w:szCs w:val="24"/>
        </w:rPr>
      </w:pPr>
      <w:r>
        <w:rPr>
          <w:sz w:val="24"/>
          <w:szCs w:val="24"/>
        </w:rPr>
        <w:t>“The attached report was CONSIDERED at the Tallaght Area Committee Meeting on Monday 25</w:t>
      </w:r>
      <w:r w:rsidRPr="006B020C">
        <w:rPr>
          <w:sz w:val="24"/>
          <w:szCs w:val="24"/>
          <w:vertAlign w:val="superscript"/>
        </w:rPr>
        <w:t>th</w:t>
      </w:r>
      <w:r>
        <w:rPr>
          <w:sz w:val="24"/>
          <w:szCs w:val="24"/>
        </w:rPr>
        <w:t xml:space="preserve"> June 2018.</w:t>
      </w:r>
    </w:p>
    <w:p w:rsidR="002B1774" w:rsidRDefault="002B1774" w:rsidP="002B1774">
      <w:pPr>
        <w:rPr>
          <w:sz w:val="24"/>
          <w:szCs w:val="24"/>
        </w:rPr>
      </w:pPr>
    </w:p>
    <w:p w:rsidR="002B1774" w:rsidRDefault="002B1774" w:rsidP="002B1774">
      <w:pPr>
        <w:rPr>
          <w:sz w:val="24"/>
          <w:szCs w:val="24"/>
        </w:rPr>
      </w:pPr>
      <w:r>
        <w:rPr>
          <w:sz w:val="24"/>
          <w:szCs w:val="24"/>
        </w:rPr>
        <w:t>Following consideration of the report it was proposed by Councillor Mick Duff and seconded by Councillor Charlie O Connor and AGREED:</w:t>
      </w:r>
    </w:p>
    <w:p w:rsidR="002B1774" w:rsidRDefault="002B1774" w:rsidP="002B1774">
      <w:pPr>
        <w:rPr>
          <w:sz w:val="24"/>
          <w:szCs w:val="24"/>
        </w:rPr>
      </w:pPr>
    </w:p>
    <w:p w:rsidR="002B1774" w:rsidRDefault="002B1774" w:rsidP="002B1774">
      <w:pPr>
        <w:rPr>
          <w:sz w:val="24"/>
          <w:szCs w:val="24"/>
        </w:rPr>
      </w:pPr>
      <w:r>
        <w:rPr>
          <w:sz w:val="24"/>
          <w:szCs w:val="24"/>
        </w:rPr>
        <w:t xml:space="preserve">“That this Committee recommends to the Council that the public right of way between Whitebrook Park and Raheen Close </w:t>
      </w:r>
      <w:r w:rsidRPr="006B020C">
        <w:rPr>
          <w:b/>
          <w:sz w:val="24"/>
          <w:szCs w:val="24"/>
          <w:u w:val="single"/>
        </w:rPr>
        <w:t>not</w:t>
      </w:r>
      <w:r>
        <w:rPr>
          <w:sz w:val="24"/>
          <w:szCs w:val="24"/>
        </w:rPr>
        <w:t xml:space="preserve"> be extinguished.</w:t>
      </w:r>
    </w:p>
    <w:p w:rsidR="002B1774" w:rsidRDefault="002B1774" w:rsidP="002B1774">
      <w:pPr>
        <w:rPr>
          <w:sz w:val="24"/>
          <w:szCs w:val="24"/>
        </w:rPr>
      </w:pPr>
    </w:p>
    <w:p w:rsidR="002B1774" w:rsidRDefault="002B1774" w:rsidP="002B1774">
      <w:pPr>
        <w:rPr>
          <w:sz w:val="24"/>
          <w:szCs w:val="24"/>
        </w:rPr>
      </w:pPr>
      <w:r>
        <w:rPr>
          <w:sz w:val="24"/>
          <w:szCs w:val="24"/>
        </w:rPr>
        <w:t>The decision regarding the extinguishment of a public right of way is a reserved function of the Council.</w:t>
      </w:r>
    </w:p>
    <w:p w:rsidR="002B1774" w:rsidRDefault="002B1774" w:rsidP="002B1774">
      <w:pPr>
        <w:rPr>
          <w:sz w:val="24"/>
          <w:szCs w:val="24"/>
        </w:rPr>
      </w:pPr>
    </w:p>
    <w:p w:rsidR="002B1774" w:rsidRDefault="002B1774" w:rsidP="002B1774">
      <w:pPr>
        <w:rPr>
          <w:sz w:val="24"/>
          <w:szCs w:val="24"/>
        </w:rPr>
      </w:pPr>
      <w:r>
        <w:rPr>
          <w:sz w:val="24"/>
          <w:szCs w:val="24"/>
        </w:rPr>
        <w:t>If the Council agrees to the recommendation, the following resolution is required.</w:t>
      </w:r>
    </w:p>
    <w:p w:rsidR="002B1774" w:rsidRDefault="002B1774" w:rsidP="002B1774">
      <w:pPr>
        <w:rPr>
          <w:sz w:val="24"/>
          <w:szCs w:val="24"/>
        </w:rPr>
      </w:pPr>
    </w:p>
    <w:p w:rsidR="002B1774" w:rsidRPr="002257BB" w:rsidRDefault="002B1774" w:rsidP="002B1774">
      <w:pPr>
        <w:rPr>
          <w:b/>
          <w:sz w:val="24"/>
          <w:szCs w:val="24"/>
        </w:rPr>
      </w:pPr>
      <w:r w:rsidRPr="002257BB">
        <w:rPr>
          <w:b/>
          <w:sz w:val="24"/>
          <w:szCs w:val="24"/>
        </w:rPr>
        <w:t xml:space="preserve">“South Dublin County Council in pursuance of its power under Section 73 of the Roads Act, 1993 hereby orders that the public right-of-way between Whitebrook Park and Raheen Close, Tallaght Dublin 24 as shown shaded red on drawing </w:t>
      </w:r>
      <w:r w:rsidRPr="00AD4BE5">
        <w:rPr>
          <w:b/>
          <w:sz w:val="24"/>
          <w:szCs w:val="24"/>
        </w:rPr>
        <w:t xml:space="preserve">RE </w:t>
      </w:r>
      <w:r>
        <w:rPr>
          <w:b/>
          <w:sz w:val="24"/>
          <w:szCs w:val="24"/>
        </w:rPr>
        <w:t>9608</w:t>
      </w:r>
      <w:r w:rsidRPr="002257BB">
        <w:rPr>
          <w:b/>
          <w:sz w:val="24"/>
          <w:szCs w:val="24"/>
        </w:rPr>
        <w:t xml:space="preserve"> </w:t>
      </w:r>
      <w:r w:rsidRPr="002257BB">
        <w:rPr>
          <w:b/>
          <w:sz w:val="24"/>
          <w:szCs w:val="24"/>
          <w:u w:val="single"/>
        </w:rPr>
        <w:t>not</w:t>
      </w:r>
      <w:r w:rsidRPr="002257BB">
        <w:rPr>
          <w:b/>
          <w:sz w:val="24"/>
          <w:szCs w:val="24"/>
        </w:rPr>
        <w:t xml:space="preserve"> be extinguished.</w:t>
      </w:r>
    </w:p>
    <w:p w:rsidR="002B1774" w:rsidRDefault="002B1774" w:rsidP="002B1774">
      <w:pPr>
        <w:rPr>
          <w:sz w:val="24"/>
          <w:szCs w:val="24"/>
        </w:rPr>
      </w:pPr>
    </w:p>
    <w:p w:rsidR="002B1774" w:rsidRPr="006B020C" w:rsidRDefault="002B1774" w:rsidP="002B1774">
      <w:pPr>
        <w:rPr>
          <w:sz w:val="24"/>
          <w:szCs w:val="24"/>
        </w:rPr>
      </w:pPr>
    </w:p>
    <w:p w:rsidR="002B1774" w:rsidRDefault="002B1774" w:rsidP="002B1774">
      <w:pPr>
        <w:jc w:val="center"/>
        <w:rPr>
          <w:b/>
          <w:sz w:val="32"/>
          <w:szCs w:val="32"/>
          <w:u w:val="single"/>
        </w:rPr>
      </w:pPr>
    </w:p>
    <w:p w:rsidR="002B1774" w:rsidRDefault="002B1774" w:rsidP="002B1774">
      <w:pPr>
        <w:pStyle w:val="replyheader"/>
        <w:rPr>
          <w:rFonts w:ascii="Verdana" w:hAnsi="Verdana"/>
        </w:rPr>
      </w:pPr>
      <w:r>
        <w:rPr>
          <w:rFonts w:ascii="Verdana" w:hAnsi="Verdana"/>
        </w:rPr>
        <w:t>COMHAIRLE CONTAE ÁTHA CLIATH THEAS</w:t>
      </w:r>
      <w:r>
        <w:rPr>
          <w:rFonts w:ascii="Verdana" w:hAnsi="Verdana"/>
        </w:rPr>
        <w:br/>
        <w:t>SOUTH DUBLIN COUNTY COUNCIL</w:t>
      </w:r>
    </w:p>
    <w:p w:rsidR="002B1774" w:rsidRDefault="002B1774" w:rsidP="002B1774">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pict>
          <v:shape id="_x0000_i1026" type="#_x0000_t75" alt="South Dublin County Council Crest" style="width:75pt;height:91.5pt">
            <v:imagedata r:id="rId5" r:href="rId7"/>
          </v:shape>
        </w:pict>
      </w:r>
      <w:r>
        <w:rPr>
          <w:rFonts w:ascii="Verdana" w:hAnsi="Verdana"/>
        </w:rPr>
        <w:fldChar w:fldCharType="end"/>
      </w:r>
    </w:p>
    <w:p w:rsidR="002B1774" w:rsidRDefault="002B1774" w:rsidP="002B1774">
      <w:pPr>
        <w:jc w:val="center"/>
        <w:rPr>
          <w:b/>
          <w:sz w:val="28"/>
          <w:szCs w:val="28"/>
          <w:u w:val="single"/>
        </w:rPr>
      </w:pPr>
      <w:r>
        <w:rPr>
          <w:b/>
          <w:sz w:val="28"/>
          <w:szCs w:val="28"/>
          <w:u w:val="single"/>
        </w:rPr>
        <w:t xml:space="preserve">Meeting of Tallaght Area Committee </w:t>
      </w:r>
    </w:p>
    <w:p w:rsidR="002B1774" w:rsidRDefault="002B1774" w:rsidP="002B1774">
      <w:pPr>
        <w:jc w:val="center"/>
        <w:rPr>
          <w:b/>
          <w:sz w:val="28"/>
          <w:szCs w:val="28"/>
          <w:u w:val="single"/>
        </w:rPr>
      </w:pPr>
    </w:p>
    <w:p w:rsidR="002B1774" w:rsidRDefault="002B1774" w:rsidP="002B1774">
      <w:pPr>
        <w:jc w:val="center"/>
        <w:rPr>
          <w:b/>
          <w:sz w:val="28"/>
          <w:szCs w:val="28"/>
          <w:u w:val="single"/>
        </w:rPr>
      </w:pP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t>25th June 2018</w:t>
      </w:r>
    </w:p>
    <w:p w:rsidR="002B1774" w:rsidRDefault="002B1774" w:rsidP="002B1774">
      <w:pPr>
        <w:jc w:val="center"/>
        <w:rPr>
          <w:b/>
          <w:sz w:val="24"/>
          <w:szCs w:val="24"/>
          <w:u w:val="single"/>
        </w:rPr>
      </w:pPr>
    </w:p>
    <w:p w:rsidR="002B1774" w:rsidRDefault="002B1774" w:rsidP="002B1774">
      <w:pPr>
        <w:jc w:val="center"/>
        <w:rPr>
          <w:b/>
          <w:sz w:val="24"/>
          <w:szCs w:val="24"/>
          <w:u w:val="single"/>
        </w:rPr>
      </w:pPr>
    </w:p>
    <w:p w:rsidR="002B1774" w:rsidRDefault="002B1774" w:rsidP="002B1774">
      <w:pPr>
        <w:pStyle w:val="replymain"/>
        <w:rPr>
          <w:rFonts w:ascii="Verdana" w:hAnsi="Verdana"/>
          <w:color w:val="000000"/>
        </w:rPr>
      </w:pPr>
      <w:r>
        <w:rPr>
          <w:rFonts w:ascii="Verdana" w:hAnsi="Verdana"/>
          <w:color w:val="000000"/>
        </w:rPr>
        <w:t>HEADED ITEM NO 13</w:t>
      </w:r>
    </w:p>
    <w:p w:rsidR="002B1774" w:rsidRDefault="002B1774" w:rsidP="002B1774">
      <w:pPr>
        <w:pStyle w:val="NormalWeb"/>
        <w:rPr>
          <w:rFonts w:ascii="Verdana" w:hAnsi="Verdana"/>
          <w:color w:val="000000"/>
        </w:rPr>
      </w:pPr>
      <w:r>
        <w:rPr>
          <w:rStyle w:val="Strong"/>
          <w:rFonts w:ascii="Verdana" w:hAnsi="Verdana"/>
          <w:color w:val="000000"/>
        </w:rPr>
        <w:t>HEADED ITEM: Land Use, Planning and Transportation Directorate</w:t>
      </w:r>
    </w:p>
    <w:p w:rsidR="002B1774" w:rsidRDefault="002B1774" w:rsidP="002B1774">
      <w:pPr>
        <w:jc w:val="center"/>
        <w:rPr>
          <w:b/>
          <w:sz w:val="24"/>
          <w:szCs w:val="24"/>
          <w:u w:val="single"/>
        </w:rPr>
      </w:pPr>
    </w:p>
    <w:p w:rsidR="002B1774" w:rsidRDefault="002B1774" w:rsidP="002B1774">
      <w:pPr>
        <w:jc w:val="center"/>
        <w:rPr>
          <w:b/>
          <w:sz w:val="24"/>
          <w:szCs w:val="24"/>
          <w:u w:val="single"/>
        </w:rPr>
      </w:pPr>
    </w:p>
    <w:p w:rsidR="002B1774" w:rsidRDefault="002B1774" w:rsidP="002B1774">
      <w:pPr>
        <w:jc w:val="center"/>
        <w:rPr>
          <w:b/>
          <w:sz w:val="32"/>
          <w:szCs w:val="32"/>
          <w:u w:val="single"/>
        </w:rPr>
      </w:pPr>
      <w:r>
        <w:rPr>
          <w:b/>
          <w:sz w:val="32"/>
          <w:szCs w:val="32"/>
          <w:u w:val="single"/>
        </w:rPr>
        <w:t xml:space="preserve">Proposed Extinguishment of Public Right of Way between </w:t>
      </w:r>
    </w:p>
    <w:p w:rsidR="002B1774" w:rsidRDefault="002B1774" w:rsidP="002B1774">
      <w:pPr>
        <w:jc w:val="center"/>
        <w:rPr>
          <w:b/>
          <w:sz w:val="32"/>
          <w:szCs w:val="32"/>
          <w:u w:val="single"/>
        </w:rPr>
      </w:pPr>
      <w:r>
        <w:rPr>
          <w:b/>
          <w:sz w:val="32"/>
          <w:szCs w:val="32"/>
          <w:u w:val="single"/>
        </w:rPr>
        <w:t>Whitebrook Park and Raheen Close</w:t>
      </w:r>
    </w:p>
    <w:p w:rsidR="002B1774" w:rsidRDefault="002B1774" w:rsidP="002B1774">
      <w:pPr>
        <w:jc w:val="center"/>
        <w:rPr>
          <w:b/>
          <w:sz w:val="32"/>
          <w:szCs w:val="32"/>
          <w:u w:val="single"/>
        </w:rPr>
      </w:pPr>
    </w:p>
    <w:p w:rsidR="002B1774" w:rsidRDefault="002B1774" w:rsidP="002B1774">
      <w:pPr>
        <w:jc w:val="center"/>
        <w:rPr>
          <w:b/>
          <w:sz w:val="32"/>
          <w:szCs w:val="32"/>
          <w:u w:val="single"/>
        </w:rPr>
      </w:pPr>
    </w:p>
    <w:p w:rsidR="002B1774" w:rsidRDefault="002B1774" w:rsidP="002B1774">
      <w:pPr>
        <w:jc w:val="center"/>
        <w:rPr>
          <w:b/>
          <w:sz w:val="32"/>
          <w:szCs w:val="32"/>
          <w:u w:val="single"/>
        </w:rPr>
      </w:pPr>
    </w:p>
    <w:p w:rsidR="002B1774" w:rsidRDefault="002B1774" w:rsidP="002B1774">
      <w:pPr>
        <w:jc w:val="both"/>
        <w:rPr>
          <w:b/>
          <w:sz w:val="24"/>
          <w:szCs w:val="24"/>
          <w:u w:val="single"/>
        </w:rPr>
      </w:pPr>
      <w:r>
        <w:rPr>
          <w:sz w:val="24"/>
          <w:szCs w:val="24"/>
        </w:rPr>
        <w:t xml:space="preserve">South Dublin County Council at its meeting of 10/07/2017 under Section 73 of the Roads Act 1993 agreed to initiate the procedure to extinguish the Public Right of Way, between Raheen Close and Whitebrook Park. </w:t>
      </w:r>
    </w:p>
    <w:p w:rsidR="002B1774" w:rsidRDefault="002B1774" w:rsidP="002B1774">
      <w:pPr>
        <w:jc w:val="both"/>
        <w:rPr>
          <w:b/>
          <w:sz w:val="24"/>
          <w:szCs w:val="24"/>
          <w:u w:val="single"/>
        </w:rPr>
      </w:pPr>
    </w:p>
    <w:p w:rsidR="002B1774" w:rsidRDefault="002B1774" w:rsidP="002B1774">
      <w:pPr>
        <w:jc w:val="both"/>
        <w:rPr>
          <w:sz w:val="24"/>
          <w:szCs w:val="24"/>
        </w:rPr>
      </w:pPr>
      <w:r w:rsidRPr="0005017C">
        <w:rPr>
          <w:sz w:val="24"/>
          <w:szCs w:val="24"/>
        </w:rPr>
        <w:t>T</w:t>
      </w:r>
      <w:r>
        <w:rPr>
          <w:sz w:val="24"/>
          <w:szCs w:val="24"/>
        </w:rPr>
        <w:t>he proposal to extinguish the public right of way was advertised in the Tallaght Echo on Thursday 20</w:t>
      </w:r>
      <w:r w:rsidRPr="0005017C">
        <w:rPr>
          <w:sz w:val="24"/>
          <w:szCs w:val="24"/>
          <w:vertAlign w:val="superscript"/>
        </w:rPr>
        <w:t>th</w:t>
      </w:r>
      <w:r>
        <w:rPr>
          <w:sz w:val="24"/>
          <w:szCs w:val="24"/>
        </w:rPr>
        <w:t xml:space="preserve"> July 2017 and signs were erected on site in accordance with Section 73 of the Roads Act, 1993. A Leaflet Drop was carried out to all homes in the vicinity on Tuesday 1</w:t>
      </w:r>
      <w:r w:rsidRPr="00F60A4F">
        <w:rPr>
          <w:sz w:val="24"/>
          <w:szCs w:val="24"/>
          <w:vertAlign w:val="superscript"/>
        </w:rPr>
        <w:t>st</w:t>
      </w:r>
      <w:r>
        <w:rPr>
          <w:sz w:val="24"/>
          <w:szCs w:val="24"/>
        </w:rPr>
        <w:t xml:space="preserve"> August 2017. The latest date for the receipt of objections, representations and requests for oral hearing was Thursday 31</w:t>
      </w:r>
      <w:r w:rsidRPr="0005017C">
        <w:rPr>
          <w:sz w:val="24"/>
          <w:szCs w:val="24"/>
          <w:vertAlign w:val="superscript"/>
        </w:rPr>
        <w:t>st</w:t>
      </w:r>
      <w:r>
        <w:rPr>
          <w:sz w:val="24"/>
          <w:szCs w:val="24"/>
        </w:rPr>
        <w:t xml:space="preserve"> August 2017.</w:t>
      </w:r>
    </w:p>
    <w:p w:rsidR="002B1774" w:rsidRDefault="002B1774" w:rsidP="002B1774">
      <w:pPr>
        <w:jc w:val="both"/>
        <w:rPr>
          <w:sz w:val="24"/>
          <w:szCs w:val="24"/>
        </w:rPr>
      </w:pPr>
    </w:p>
    <w:p w:rsidR="002B1774" w:rsidRDefault="002B1774" w:rsidP="002B1774">
      <w:pPr>
        <w:jc w:val="both"/>
        <w:rPr>
          <w:sz w:val="24"/>
          <w:szCs w:val="24"/>
        </w:rPr>
      </w:pPr>
      <w:r>
        <w:rPr>
          <w:sz w:val="24"/>
          <w:szCs w:val="24"/>
        </w:rPr>
        <w:t>The following is a breakdown of the submissions received in response to the public advertisement/notice:-</w:t>
      </w:r>
    </w:p>
    <w:p w:rsidR="002B1774" w:rsidRDefault="002B1774" w:rsidP="002B1774">
      <w:pPr>
        <w:rPr>
          <w:sz w:val="24"/>
          <w:szCs w:val="24"/>
        </w:rPr>
      </w:pPr>
    </w:p>
    <w:p w:rsidR="002B1774" w:rsidRDefault="002B1774" w:rsidP="002B1774">
      <w:pPr>
        <w:rPr>
          <w:b/>
          <w:sz w:val="24"/>
          <w:szCs w:val="24"/>
        </w:rPr>
      </w:pPr>
      <w:r w:rsidRPr="00D34DA3">
        <w:rPr>
          <w:b/>
          <w:sz w:val="24"/>
          <w:szCs w:val="24"/>
        </w:rPr>
        <w:t>Against the Extinguishment</w:t>
      </w:r>
      <w:r w:rsidRPr="00D34DA3">
        <w:rPr>
          <w:b/>
          <w:sz w:val="24"/>
          <w:szCs w:val="24"/>
        </w:rPr>
        <w:tab/>
        <w:t xml:space="preserve"> of the Right of Way </w:t>
      </w:r>
      <w:r w:rsidRPr="00D34DA3">
        <w:rPr>
          <w:b/>
          <w:sz w:val="24"/>
          <w:szCs w:val="24"/>
        </w:rPr>
        <w:tab/>
      </w:r>
      <w:r>
        <w:rPr>
          <w:sz w:val="24"/>
          <w:szCs w:val="24"/>
        </w:rPr>
        <w:tab/>
      </w:r>
      <w:r>
        <w:rPr>
          <w:sz w:val="24"/>
          <w:szCs w:val="24"/>
        </w:rPr>
        <w:tab/>
      </w:r>
      <w:r>
        <w:rPr>
          <w:sz w:val="24"/>
          <w:szCs w:val="24"/>
        </w:rPr>
        <w:tab/>
      </w:r>
      <w:r>
        <w:rPr>
          <w:sz w:val="24"/>
          <w:szCs w:val="24"/>
        </w:rPr>
        <w:tab/>
      </w:r>
      <w:r w:rsidRPr="00DC7BC8">
        <w:rPr>
          <w:b/>
          <w:sz w:val="24"/>
          <w:szCs w:val="24"/>
        </w:rPr>
        <w:t>359</w:t>
      </w:r>
    </w:p>
    <w:p w:rsidR="002B1774" w:rsidRDefault="002B1774" w:rsidP="002B1774">
      <w:pPr>
        <w:rPr>
          <w:b/>
          <w:sz w:val="24"/>
          <w:szCs w:val="24"/>
        </w:rPr>
      </w:pPr>
    </w:p>
    <w:p w:rsidR="002B1774" w:rsidRDefault="002B1774" w:rsidP="002B1774">
      <w:pPr>
        <w:rPr>
          <w:sz w:val="24"/>
          <w:szCs w:val="24"/>
        </w:rPr>
      </w:pPr>
      <w:r>
        <w:rPr>
          <w:sz w:val="24"/>
          <w:szCs w:val="24"/>
        </w:rPr>
        <w:t>Of which:</w:t>
      </w:r>
      <w:r>
        <w:rPr>
          <w:sz w:val="24"/>
          <w:szCs w:val="24"/>
        </w:rPr>
        <w:tab/>
        <w:t xml:space="preserve">  212 requested public lighting and or CCTV be provided in the laneway</w:t>
      </w:r>
      <w:r>
        <w:rPr>
          <w:sz w:val="24"/>
          <w:szCs w:val="24"/>
        </w:rPr>
        <w:tab/>
      </w:r>
    </w:p>
    <w:p w:rsidR="002B1774" w:rsidRDefault="002B1774" w:rsidP="002B1774">
      <w:pPr>
        <w:ind w:firstLine="720"/>
        <w:rPr>
          <w:sz w:val="24"/>
          <w:szCs w:val="24"/>
        </w:rPr>
      </w:pPr>
      <w:r>
        <w:rPr>
          <w:sz w:val="24"/>
          <w:szCs w:val="24"/>
        </w:rPr>
        <w:t xml:space="preserve">     </w:t>
      </w:r>
      <w:r>
        <w:rPr>
          <w:sz w:val="24"/>
          <w:szCs w:val="24"/>
        </w:rPr>
        <w:tab/>
        <w:t xml:space="preserve">  31 requested public lighting and CCTV Security linked to Garda Station,</w:t>
      </w:r>
    </w:p>
    <w:p w:rsidR="002B1774" w:rsidRDefault="002B1774" w:rsidP="002B1774">
      <w:pPr>
        <w:ind w:firstLine="720"/>
        <w:rPr>
          <w:sz w:val="24"/>
          <w:szCs w:val="24"/>
        </w:rPr>
      </w:pPr>
      <w:r>
        <w:rPr>
          <w:sz w:val="24"/>
          <w:szCs w:val="24"/>
        </w:rPr>
        <w:lastRenderedPageBreak/>
        <w:t xml:space="preserve">              </w:t>
      </w:r>
      <w:proofErr w:type="gramStart"/>
      <w:r>
        <w:rPr>
          <w:sz w:val="24"/>
          <w:szCs w:val="24"/>
        </w:rPr>
        <w:t>regular</w:t>
      </w:r>
      <w:proofErr w:type="gramEnd"/>
      <w:r>
        <w:rPr>
          <w:sz w:val="24"/>
          <w:szCs w:val="24"/>
        </w:rPr>
        <w:t xml:space="preserve"> patrols of the lane and lane to be cleaned and graffiti free.</w:t>
      </w:r>
    </w:p>
    <w:p w:rsidR="002B1774" w:rsidRDefault="002B1774" w:rsidP="002B1774">
      <w:pPr>
        <w:rPr>
          <w:sz w:val="24"/>
          <w:szCs w:val="24"/>
        </w:rPr>
      </w:pPr>
    </w:p>
    <w:p w:rsidR="002B1774" w:rsidRDefault="002B1774" w:rsidP="002B1774">
      <w:pPr>
        <w:rPr>
          <w:sz w:val="24"/>
          <w:szCs w:val="24"/>
        </w:rPr>
      </w:pPr>
    </w:p>
    <w:p w:rsidR="002B1774" w:rsidRPr="00DC7BC8" w:rsidRDefault="002B1774" w:rsidP="002B1774">
      <w:pPr>
        <w:rPr>
          <w:b/>
          <w:sz w:val="24"/>
          <w:szCs w:val="24"/>
        </w:rPr>
      </w:pPr>
      <w:r>
        <w:rPr>
          <w:b/>
          <w:sz w:val="24"/>
          <w:szCs w:val="24"/>
        </w:rPr>
        <w:t>In favour of</w:t>
      </w:r>
      <w:r w:rsidRPr="00127098">
        <w:rPr>
          <w:b/>
          <w:sz w:val="24"/>
          <w:szCs w:val="24"/>
        </w:rPr>
        <w:t xml:space="preserve"> Extinguishment</w:t>
      </w:r>
      <w:r>
        <w:rPr>
          <w:b/>
          <w:sz w:val="24"/>
          <w:szCs w:val="24"/>
        </w:rPr>
        <w:t xml:space="preserve"> of the Right of Way </w:t>
      </w:r>
      <w:r>
        <w:rPr>
          <w:sz w:val="24"/>
          <w:szCs w:val="24"/>
        </w:rPr>
        <w:tab/>
      </w:r>
      <w:r>
        <w:rPr>
          <w:sz w:val="24"/>
          <w:szCs w:val="24"/>
        </w:rPr>
        <w:tab/>
      </w:r>
      <w:r>
        <w:rPr>
          <w:sz w:val="24"/>
          <w:szCs w:val="24"/>
        </w:rPr>
        <w:tab/>
      </w:r>
      <w:r>
        <w:rPr>
          <w:sz w:val="24"/>
          <w:szCs w:val="24"/>
        </w:rPr>
        <w:tab/>
      </w:r>
      <w:r w:rsidRPr="00DC7BC8">
        <w:rPr>
          <w:b/>
          <w:sz w:val="24"/>
          <w:szCs w:val="24"/>
        </w:rPr>
        <w:t>304</w:t>
      </w:r>
    </w:p>
    <w:p w:rsidR="002B1774" w:rsidRDefault="002B1774" w:rsidP="002B1774">
      <w:pPr>
        <w:rPr>
          <w:sz w:val="24"/>
          <w:szCs w:val="24"/>
        </w:rPr>
      </w:pPr>
    </w:p>
    <w:p w:rsidR="002B1774" w:rsidRPr="00D34DA3" w:rsidRDefault="002B1774" w:rsidP="002B1774">
      <w:pPr>
        <w:rPr>
          <w:b/>
          <w:sz w:val="24"/>
          <w:szCs w:val="24"/>
        </w:rPr>
      </w:pPr>
      <w:r w:rsidRPr="00D34DA3">
        <w:rPr>
          <w:b/>
          <w:sz w:val="24"/>
          <w:szCs w:val="24"/>
        </w:rPr>
        <w:t>Number of Requests for Oral Hearing</w:t>
      </w:r>
      <w:r w:rsidRPr="00D34DA3">
        <w:rPr>
          <w:b/>
          <w:sz w:val="24"/>
          <w:szCs w:val="24"/>
        </w:rPr>
        <w:tab/>
      </w:r>
      <w:r w:rsidRPr="00D34DA3">
        <w:rPr>
          <w:b/>
          <w:sz w:val="24"/>
          <w:szCs w:val="24"/>
        </w:rPr>
        <w:tab/>
      </w:r>
      <w:r w:rsidRPr="00D34DA3">
        <w:rPr>
          <w:b/>
          <w:sz w:val="24"/>
          <w:szCs w:val="24"/>
        </w:rPr>
        <w:tab/>
      </w:r>
      <w:r w:rsidRPr="00D34DA3">
        <w:rPr>
          <w:b/>
          <w:sz w:val="24"/>
          <w:szCs w:val="24"/>
        </w:rPr>
        <w:tab/>
      </w:r>
      <w:r w:rsidRPr="00D34DA3">
        <w:rPr>
          <w:b/>
          <w:sz w:val="24"/>
          <w:szCs w:val="24"/>
        </w:rPr>
        <w:tab/>
      </w:r>
      <w:r w:rsidRPr="00D34DA3">
        <w:rPr>
          <w:b/>
          <w:sz w:val="24"/>
          <w:szCs w:val="24"/>
        </w:rPr>
        <w:tab/>
        <w:t xml:space="preserve">    </w:t>
      </w:r>
      <w:r>
        <w:rPr>
          <w:b/>
          <w:sz w:val="24"/>
          <w:szCs w:val="24"/>
        </w:rPr>
        <w:t>3</w:t>
      </w:r>
    </w:p>
    <w:p w:rsidR="002B1774" w:rsidRDefault="002B1774" w:rsidP="002B1774">
      <w:pPr>
        <w:rPr>
          <w:sz w:val="24"/>
          <w:szCs w:val="24"/>
        </w:rPr>
      </w:pPr>
    </w:p>
    <w:p w:rsidR="002B1774" w:rsidRDefault="002B1774" w:rsidP="002B1774">
      <w:pPr>
        <w:jc w:val="both"/>
        <w:rPr>
          <w:b/>
          <w:sz w:val="24"/>
          <w:szCs w:val="24"/>
          <w:u w:val="single"/>
        </w:rPr>
      </w:pPr>
    </w:p>
    <w:p w:rsidR="002B1774" w:rsidRPr="00D30A31" w:rsidRDefault="002B1774" w:rsidP="002B1774">
      <w:pPr>
        <w:jc w:val="both"/>
        <w:rPr>
          <w:b/>
          <w:sz w:val="24"/>
          <w:szCs w:val="24"/>
          <w:u w:val="single"/>
        </w:rPr>
      </w:pPr>
      <w:r>
        <w:rPr>
          <w:b/>
          <w:sz w:val="24"/>
          <w:szCs w:val="24"/>
          <w:u w:val="single"/>
        </w:rPr>
        <w:t>Reports from Utility providers:</w:t>
      </w:r>
    </w:p>
    <w:p w:rsidR="002B1774" w:rsidRDefault="002B1774" w:rsidP="002B1774">
      <w:pPr>
        <w:rPr>
          <w:sz w:val="24"/>
          <w:szCs w:val="24"/>
        </w:rPr>
      </w:pPr>
    </w:p>
    <w:p w:rsidR="002B1774" w:rsidRDefault="002B1774" w:rsidP="002B1774">
      <w:pPr>
        <w:ind w:left="2160" w:hanging="2160"/>
        <w:jc w:val="both"/>
        <w:rPr>
          <w:sz w:val="24"/>
          <w:szCs w:val="24"/>
          <w:u w:val="single"/>
        </w:rPr>
      </w:pPr>
      <w:r w:rsidRPr="008149A1">
        <w:rPr>
          <w:b/>
          <w:sz w:val="24"/>
          <w:szCs w:val="24"/>
        </w:rPr>
        <w:t>Bord Gais</w:t>
      </w:r>
      <w:r>
        <w:rPr>
          <w:sz w:val="24"/>
          <w:szCs w:val="24"/>
        </w:rPr>
        <w:tab/>
        <w:t xml:space="preserve">No comment on Proposal - Map with Pipeline in the vicinity - when an agreement has been reached contact Bord Gais re method </w:t>
      </w:r>
      <w:r w:rsidRPr="00E05AEA">
        <w:rPr>
          <w:sz w:val="24"/>
          <w:szCs w:val="24"/>
        </w:rPr>
        <w:t>of closure</w:t>
      </w:r>
    </w:p>
    <w:p w:rsidR="002B1774" w:rsidRDefault="002B1774" w:rsidP="002B1774">
      <w:pPr>
        <w:ind w:left="2160" w:hanging="2160"/>
        <w:jc w:val="both"/>
        <w:rPr>
          <w:sz w:val="24"/>
          <w:szCs w:val="24"/>
        </w:rPr>
      </w:pPr>
    </w:p>
    <w:p w:rsidR="002B1774" w:rsidRDefault="002B1774" w:rsidP="002B1774">
      <w:pPr>
        <w:jc w:val="both"/>
        <w:rPr>
          <w:sz w:val="24"/>
          <w:szCs w:val="24"/>
        </w:rPr>
      </w:pPr>
      <w:r w:rsidRPr="008149A1">
        <w:rPr>
          <w:b/>
          <w:sz w:val="24"/>
          <w:szCs w:val="24"/>
        </w:rPr>
        <w:t>Eircom</w:t>
      </w:r>
      <w:r w:rsidRPr="008149A1">
        <w:rPr>
          <w:b/>
          <w:sz w:val="24"/>
          <w:szCs w:val="24"/>
        </w:rPr>
        <w:tab/>
      </w:r>
      <w:r>
        <w:rPr>
          <w:sz w:val="24"/>
          <w:szCs w:val="24"/>
        </w:rPr>
        <w:tab/>
        <w:t>No comment on proposal – Map with Plant in the laneway.</w:t>
      </w:r>
    </w:p>
    <w:p w:rsidR="002B1774" w:rsidRPr="008149A1" w:rsidRDefault="002B1774" w:rsidP="002B1774">
      <w:pPr>
        <w:ind w:left="2160"/>
        <w:jc w:val="both"/>
        <w:rPr>
          <w:sz w:val="24"/>
          <w:szCs w:val="24"/>
          <w:u w:val="single"/>
        </w:rPr>
      </w:pPr>
      <w:r>
        <w:rPr>
          <w:sz w:val="24"/>
          <w:szCs w:val="24"/>
        </w:rPr>
        <w:t xml:space="preserve">Plan is kept in situ with documented stipulation of 24 hour access allowance to </w:t>
      </w:r>
      <w:proofErr w:type="spellStart"/>
      <w:r>
        <w:rPr>
          <w:sz w:val="24"/>
          <w:szCs w:val="24"/>
        </w:rPr>
        <w:t>Eir’s</w:t>
      </w:r>
      <w:proofErr w:type="spellEnd"/>
      <w:r>
        <w:rPr>
          <w:sz w:val="24"/>
          <w:szCs w:val="24"/>
        </w:rPr>
        <w:t xml:space="preserve"> plant by Eir or its agents for maintenance and upgrade or </w:t>
      </w:r>
      <w:proofErr w:type="spellStart"/>
      <w:r>
        <w:rPr>
          <w:sz w:val="24"/>
          <w:szCs w:val="24"/>
        </w:rPr>
        <w:t>Eir’s</w:t>
      </w:r>
      <w:proofErr w:type="spellEnd"/>
      <w:r>
        <w:rPr>
          <w:sz w:val="24"/>
          <w:szCs w:val="24"/>
        </w:rPr>
        <w:t xml:space="preserve"> existing plant is moved to an alternative location at LA’s </w:t>
      </w:r>
      <w:r w:rsidRPr="00E05AEA">
        <w:rPr>
          <w:sz w:val="24"/>
          <w:szCs w:val="24"/>
        </w:rPr>
        <w:t>expense.</w:t>
      </w:r>
    </w:p>
    <w:p w:rsidR="002B1774" w:rsidRDefault="002B1774" w:rsidP="002B1774">
      <w:pPr>
        <w:jc w:val="both"/>
        <w:rPr>
          <w:sz w:val="24"/>
          <w:szCs w:val="24"/>
        </w:rPr>
      </w:pPr>
    </w:p>
    <w:p w:rsidR="002B1774" w:rsidRPr="008149A1" w:rsidRDefault="002B1774" w:rsidP="002B1774">
      <w:pPr>
        <w:ind w:left="2160" w:hanging="2160"/>
        <w:jc w:val="both"/>
        <w:rPr>
          <w:sz w:val="24"/>
          <w:szCs w:val="24"/>
          <w:u w:val="single"/>
        </w:rPr>
      </w:pPr>
      <w:r w:rsidRPr="008149A1">
        <w:rPr>
          <w:b/>
          <w:sz w:val="24"/>
          <w:szCs w:val="24"/>
        </w:rPr>
        <w:t>ESB</w:t>
      </w:r>
      <w:r>
        <w:rPr>
          <w:sz w:val="24"/>
          <w:szCs w:val="24"/>
        </w:rPr>
        <w:tab/>
        <w:t xml:space="preserve">No comment on proposal – Map showing approximate location of </w:t>
      </w:r>
      <w:r w:rsidRPr="00E05AEA">
        <w:rPr>
          <w:sz w:val="24"/>
          <w:szCs w:val="24"/>
        </w:rPr>
        <w:t>underground services close to the laneway</w:t>
      </w:r>
      <w:r w:rsidRPr="008149A1">
        <w:rPr>
          <w:sz w:val="24"/>
          <w:szCs w:val="24"/>
          <w:u w:val="single"/>
        </w:rPr>
        <w:t>.</w:t>
      </w:r>
    </w:p>
    <w:p w:rsidR="002B1774" w:rsidRPr="008149A1" w:rsidRDefault="002B1774" w:rsidP="002B1774">
      <w:pPr>
        <w:jc w:val="both"/>
        <w:rPr>
          <w:b/>
          <w:sz w:val="24"/>
          <w:szCs w:val="24"/>
        </w:rPr>
      </w:pPr>
      <w:proofErr w:type="spellStart"/>
      <w:r w:rsidRPr="008149A1">
        <w:rPr>
          <w:b/>
          <w:sz w:val="24"/>
          <w:szCs w:val="24"/>
        </w:rPr>
        <w:t>Civils@UPC</w:t>
      </w:r>
      <w:proofErr w:type="spellEnd"/>
      <w:r w:rsidRPr="008149A1">
        <w:rPr>
          <w:b/>
          <w:sz w:val="24"/>
          <w:szCs w:val="24"/>
        </w:rPr>
        <w:t xml:space="preserve"> </w:t>
      </w:r>
    </w:p>
    <w:p w:rsidR="002B1774" w:rsidRPr="00E05AEA" w:rsidRDefault="002B1774" w:rsidP="002B1774">
      <w:pPr>
        <w:jc w:val="both"/>
        <w:rPr>
          <w:sz w:val="24"/>
          <w:szCs w:val="24"/>
        </w:rPr>
      </w:pPr>
      <w:r w:rsidRPr="008149A1">
        <w:rPr>
          <w:b/>
          <w:sz w:val="24"/>
          <w:szCs w:val="24"/>
        </w:rPr>
        <w:t>Virgin media</w:t>
      </w:r>
      <w:r>
        <w:rPr>
          <w:sz w:val="24"/>
          <w:szCs w:val="24"/>
        </w:rPr>
        <w:tab/>
      </w:r>
      <w:r>
        <w:rPr>
          <w:sz w:val="24"/>
          <w:szCs w:val="24"/>
        </w:rPr>
        <w:tab/>
      </w:r>
      <w:r w:rsidRPr="00E05AEA">
        <w:rPr>
          <w:sz w:val="24"/>
          <w:szCs w:val="24"/>
        </w:rPr>
        <w:t>No objection</w:t>
      </w:r>
    </w:p>
    <w:p w:rsidR="002B1774" w:rsidRPr="00E05AEA" w:rsidRDefault="002B1774" w:rsidP="002B1774">
      <w:pPr>
        <w:jc w:val="both"/>
        <w:rPr>
          <w:sz w:val="24"/>
          <w:szCs w:val="24"/>
        </w:rPr>
      </w:pPr>
      <w:r w:rsidRPr="00E05AEA">
        <w:rPr>
          <w:b/>
          <w:sz w:val="24"/>
          <w:szCs w:val="24"/>
        </w:rPr>
        <w:t>Water and Drainage</w:t>
      </w:r>
      <w:r w:rsidRPr="00E05AEA">
        <w:rPr>
          <w:sz w:val="24"/>
          <w:szCs w:val="24"/>
        </w:rPr>
        <w:tab/>
        <w:t>No objection – permanently retain access to Surface water drain</w:t>
      </w:r>
    </w:p>
    <w:p w:rsidR="002B1774" w:rsidRPr="00E05AEA" w:rsidRDefault="002B1774" w:rsidP="002B1774">
      <w:pPr>
        <w:jc w:val="both"/>
        <w:rPr>
          <w:sz w:val="24"/>
          <w:szCs w:val="24"/>
        </w:rPr>
      </w:pPr>
      <w:r w:rsidRPr="00E05AEA">
        <w:rPr>
          <w:b/>
          <w:sz w:val="24"/>
          <w:szCs w:val="24"/>
        </w:rPr>
        <w:t>Public Lighting</w:t>
      </w:r>
      <w:r w:rsidRPr="00E05AEA">
        <w:rPr>
          <w:sz w:val="24"/>
          <w:szCs w:val="24"/>
        </w:rPr>
        <w:tab/>
        <w:t>No objection</w:t>
      </w:r>
    </w:p>
    <w:p w:rsidR="002B1774" w:rsidRDefault="002B1774" w:rsidP="002B1774">
      <w:pPr>
        <w:rPr>
          <w:sz w:val="24"/>
          <w:szCs w:val="24"/>
          <w:u w:val="single"/>
        </w:rPr>
      </w:pPr>
    </w:p>
    <w:p w:rsidR="002B1774" w:rsidRDefault="002B1774" w:rsidP="002B1774">
      <w:pPr>
        <w:rPr>
          <w:sz w:val="24"/>
          <w:szCs w:val="24"/>
          <w:u w:val="single"/>
        </w:rPr>
      </w:pPr>
    </w:p>
    <w:p w:rsidR="002B1774" w:rsidRDefault="002B1774" w:rsidP="002B1774">
      <w:pPr>
        <w:jc w:val="both"/>
        <w:rPr>
          <w:sz w:val="24"/>
          <w:szCs w:val="24"/>
        </w:rPr>
      </w:pPr>
      <w:r>
        <w:rPr>
          <w:sz w:val="24"/>
          <w:szCs w:val="24"/>
        </w:rPr>
        <w:t>At the County Council Meeting held on 25</w:t>
      </w:r>
      <w:r w:rsidRPr="008106A7">
        <w:rPr>
          <w:sz w:val="24"/>
          <w:szCs w:val="24"/>
          <w:vertAlign w:val="superscript"/>
        </w:rPr>
        <w:t>th</w:t>
      </w:r>
      <w:r>
        <w:rPr>
          <w:sz w:val="24"/>
          <w:szCs w:val="24"/>
        </w:rPr>
        <w:t xml:space="preserve"> September 2017 the Council requested that an Oral Hearing be arranged.</w:t>
      </w:r>
    </w:p>
    <w:p w:rsidR="002B1774" w:rsidRDefault="002B1774" w:rsidP="002B1774">
      <w:pPr>
        <w:jc w:val="both"/>
        <w:rPr>
          <w:sz w:val="24"/>
          <w:szCs w:val="24"/>
        </w:rPr>
      </w:pPr>
    </w:p>
    <w:p w:rsidR="002B1774" w:rsidRDefault="002B1774" w:rsidP="002B1774">
      <w:pPr>
        <w:jc w:val="both"/>
        <w:rPr>
          <w:sz w:val="24"/>
          <w:szCs w:val="24"/>
        </w:rPr>
      </w:pPr>
      <w:r>
        <w:rPr>
          <w:sz w:val="24"/>
          <w:szCs w:val="24"/>
        </w:rPr>
        <w:t>Mr. Niall Hayden (retired Chief Technician) conducted the Oral Hearing on 29</w:t>
      </w:r>
      <w:r w:rsidRPr="00F725FB">
        <w:rPr>
          <w:sz w:val="24"/>
          <w:szCs w:val="24"/>
          <w:vertAlign w:val="superscript"/>
        </w:rPr>
        <w:t>th</w:t>
      </w:r>
      <w:r>
        <w:rPr>
          <w:sz w:val="24"/>
          <w:szCs w:val="24"/>
        </w:rPr>
        <w:t xml:space="preserve"> March 2018. The Oral hearing was attended by three representative Groups, Raheen R.A, 4 delegates. Jobstown Estate Management 3 delegates and Whitebrook R.A, 4 delegates.</w:t>
      </w:r>
    </w:p>
    <w:p w:rsidR="002B1774" w:rsidRDefault="002B1774" w:rsidP="002B1774">
      <w:pPr>
        <w:jc w:val="both"/>
        <w:rPr>
          <w:sz w:val="24"/>
          <w:szCs w:val="24"/>
        </w:rPr>
      </w:pPr>
    </w:p>
    <w:p w:rsidR="002B1774" w:rsidRDefault="002B1774" w:rsidP="002B1774">
      <w:pPr>
        <w:jc w:val="both"/>
        <w:rPr>
          <w:sz w:val="24"/>
          <w:szCs w:val="24"/>
        </w:rPr>
      </w:pPr>
      <w:r>
        <w:rPr>
          <w:sz w:val="24"/>
          <w:szCs w:val="24"/>
        </w:rPr>
        <w:t xml:space="preserve">Having taken oral evidence at the hearing, read the submissions and visited the site the Chief </w:t>
      </w:r>
      <w:proofErr w:type="spellStart"/>
      <w:r>
        <w:rPr>
          <w:sz w:val="24"/>
          <w:szCs w:val="24"/>
        </w:rPr>
        <w:t>Technican</w:t>
      </w:r>
      <w:proofErr w:type="spellEnd"/>
      <w:r>
        <w:rPr>
          <w:sz w:val="24"/>
          <w:szCs w:val="24"/>
        </w:rPr>
        <w:t xml:space="preserve"> does not accept that the extinguishment of the public Right of Way and the fencing off of the area will eliminate the threat of Anti-Social behaviour, </w:t>
      </w:r>
      <w:proofErr w:type="spellStart"/>
      <w:r>
        <w:rPr>
          <w:sz w:val="24"/>
          <w:szCs w:val="24"/>
        </w:rPr>
        <w:t>nusiance</w:t>
      </w:r>
      <w:proofErr w:type="spellEnd"/>
      <w:r>
        <w:rPr>
          <w:sz w:val="24"/>
          <w:szCs w:val="24"/>
        </w:rPr>
        <w:t xml:space="preserve"> and noise associated with the Right of Way. The area in his opinion, because of its size, location and configuration would still attract Anti-Social behaviour and would be more susceptible to dumping and would be more difficult to control and police and recommends that the extinguishment of the public right of way between Raheen Close and Whitebrook Park not proceed and recommends to the Council that the implementation of remedial measures below be considered to improve and enhance the public safety and security on the Right of Way:-</w:t>
      </w:r>
    </w:p>
    <w:p w:rsidR="002B1774" w:rsidRDefault="002B1774" w:rsidP="002B1774">
      <w:pPr>
        <w:jc w:val="both"/>
        <w:rPr>
          <w:sz w:val="24"/>
          <w:szCs w:val="24"/>
        </w:rPr>
      </w:pPr>
    </w:p>
    <w:p w:rsidR="002B1774" w:rsidRPr="00F36645" w:rsidRDefault="002B1774" w:rsidP="002B1774">
      <w:pPr>
        <w:pStyle w:val="ListParagraph"/>
        <w:numPr>
          <w:ilvl w:val="0"/>
          <w:numId w:val="1"/>
        </w:numPr>
        <w:tabs>
          <w:tab w:val="left" w:pos="1418"/>
          <w:tab w:val="left" w:pos="1843"/>
        </w:tabs>
        <w:ind w:left="1843" w:hanging="425"/>
        <w:jc w:val="both"/>
        <w:rPr>
          <w:rFonts w:ascii="Times New Roman" w:hAnsi="Times New Roman"/>
          <w:sz w:val="24"/>
          <w:szCs w:val="24"/>
        </w:rPr>
      </w:pPr>
      <w:r w:rsidRPr="00F36645">
        <w:rPr>
          <w:rFonts w:ascii="Times New Roman" w:hAnsi="Times New Roman"/>
          <w:sz w:val="24"/>
          <w:szCs w:val="24"/>
        </w:rPr>
        <w:t>Provide high quality anti-vandal Public Lighting along the Right of Way from Raheen Road to Cheeverstown Road. This lighting should be designed to cover all vulnerable areas so as to highlight and minimise potential danger spots to reduce the risk of crime.</w:t>
      </w:r>
    </w:p>
    <w:p w:rsidR="002B1774" w:rsidRPr="00F36645" w:rsidRDefault="002B1774" w:rsidP="002B1774">
      <w:pPr>
        <w:pStyle w:val="ListParagraph"/>
        <w:tabs>
          <w:tab w:val="left" w:pos="1418"/>
          <w:tab w:val="left" w:pos="1843"/>
        </w:tabs>
        <w:ind w:left="1843"/>
        <w:jc w:val="both"/>
        <w:rPr>
          <w:rFonts w:ascii="Times New Roman" w:hAnsi="Times New Roman"/>
          <w:sz w:val="24"/>
          <w:szCs w:val="24"/>
        </w:rPr>
      </w:pPr>
    </w:p>
    <w:p w:rsidR="002B1774" w:rsidRPr="00F36645" w:rsidRDefault="002B1774" w:rsidP="002B1774">
      <w:pPr>
        <w:pStyle w:val="ListParagraph"/>
        <w:tabs>
          <w:tab w:val="left" w:pos="1418"/>
          <w:tab w:val="left" w:pos="1843"/>
        </w:tabs>
        <w:ind w:left="1843"/>
        <w:jc w:val="both"/>
        <w:rPr>
          <w:rFonts w:ascii="Times New Roman" w:hAnsi="Times New Roman"/>
          <w:sz w:val="24"/>
          <w:szCs w:val="24"/>
        </w:rPr>
      </w:pPr>
    </w:p>
    <w:p w:rsidR="002B1774" w:rsidRPr="00F36645" w:rsidRDefault="002B1774" w:rsidP="002B1774">
      <w:pPr>
        <w:pStyle w:val="ListParagraph"/>
        <w:numPr>
          <w:ilvl w:val="0"/>
          <w:numId w:val="1"/>
        </w:numPr>
        <w:tabs>
          <w:tab w:val="left" w:pos="1843"/>
        </w:tabs>
        <w:ind w:left="1843" w:hanging="425"/>
        <w:jc w:val="both"/>
        <w:rPr>
          <w:rFonts w:ascii="Times New Roman" w:hAnsi="Times New Roman"/>
          <w:sz w:val="24"/>
          <w:szCs w:val="24"/>
        </w:rPr>
      </w:pPr>
      <w:r w:rsidRPr="00F36645">
        <w:rPr>
          <w:rFonts w:ascii="Times New Roman" w:hAnsi="Times New Roman"/>
          <w:sz w:val="24"/>
          <w:szCs w:val="24"/>
        </w:rPr>
        <w:t xml:space="preserve">Examination of a Community Based CCTV plan such as the scheme supported and grant aided by The Department of Justice and Equality. CCTV to be linked directly to Garda Station. </w:t>
      </w:r>
    </w:p>
    <w:p w:rsidR="002B1774" w:rsidRPr="00F36645" w:rsidRDefault="002B1774" w:rsidP="002B1774">
      <w:pPr>
        <w:pStyle w:val="ListParagraph"/>
        <w:tabs>
          <w:tab w:val="left" w:pos="1843"/>
        </w:tabs>
        <w:ind w:left="1843"/>
        <w:jc w:val="both"/>
        <w:rPr>
          <w:rFonts w:ascii="Times New Roman" w:hAnsi="Times New Roman"/>
          <w:sz w:val="24"/>
          <w:szCs w:val="24"/>
        </w:rPr>
      </w:pPr>
    </w:p>
    <w:p w:rsidR="002B1774" w:rsidRPr="00F36645" w:rsidRDefault="002B1774" w:rsidP="002B1774">
      <w:pPr>
        <w:pStyle w:val="ListParagraph"/>
        <w:numPr>
          <w:ilvl w:val="0"/>
          <w:numId w:val="1"/>
        </w:numPr>
        <w:tabs>
          <w:tab w:val="left" w:pos="1843"/>
        </w:tabs>
        <w:ind w:left="1843" w:hanging="425"/>
        <w:jc w:val="both"/>
        <w:rPr>
          <w:rFonts w:ascii="Times New Roman" w:hAnsi="Times New Roman"/>
          <w:sz w:val="24"/>
          <w:szCs w:val="24"/>
        </w:rPr>
      </w:pPr>
      <w:r w:rsidRPr="00F36645">
        <w:rPr>
          <w:rFonts w:ascii="Times New Roman" w:hAnsi="Times New Roman"/>
          <w:sz w:val="24"/>
          <w:szCs w:val="24"/>
        </w:rPr>
        <w:t>Provide litter bins in at least four locations, one on Maplewood Road adjacent to the entrance / exit to the Fortunestown Shop Centre, one on the south side of Maplewood Road at the Pedestrian Crossing, one on Raheen Road in the green area adjacent to point A. on Appendix Map. 1. and a fourth at the confluence of the Right of Way and  the pathway from Whitebrook Park at point D. on Appendix Map. 1.</w:t>
      </w:r>
    </w:p>
    <w:p w:rsidR="002B1774" w:rsidRPr="00F36645" w:rsidRDefault="002B1774" w:rsidP="002B1774">
      <w:pPr>
        <w:tabs>
          <w:tab w:val="left" w:pos="1843"/>
        </w:tabs>
        <w:jc w:val="both"/>
        <w:rPr>
          <w:sz w:val="24"/>
          <w:szCs w:val="24"/>
        </w:rPr>
      </w:pPr>
    </w:p>
    <w:p w:rsidR="002B1774" w:rsidRPr="00F36645" w:rsidRDefault="002B1774" w:rsidP="002B1774">
      <w:pPr>
        <w:pStyle w:val="ListParagraph"/>
        <w:numPr>
          <w:ilvl w:val="0"/>
          <w:numId w:val="1"/>
        </w:numPr>
        <w:tabs>
          <w:tab w:val="left" w:pos="1843"/>
        </w:tabs>
        <w:ind w:left="1843" w:hanging="425"/>
        <w:jc w:val="both"/>
        <w:rPr>
          <w:rFonts w:ascii="Times New Roman" w:hAnsi="Times New Roman"/>
          <w:sz w:val="24"/>
          <w:szCs w:val="24"/>
        </w:rPr>
      </w:pPr>
      <w:r w:rsidRPr="00F36645">
        <w:rPr>
          <w:rFonts w:ascii="Times New Roman" w:hAnsi="Times New Roman"/>
          <w:sz w:val="24"/>
          <w:szCs w:val="24"/>
        </w:rPr>
        <w:t>A mobility suitability survey to be carried out on the footpath surfaces within Whitebrook Park, and any deficiencies identified to be remedied.</w:t>
      </w:r>
    </w:p>
    <w:p w:rsidR="002B1774" w:rsidRPr="00F36645" w:rsidRDefault="002B1774" w:rsidP="002B1774">
      <w:pPr>
        <w:pStyle w:val="ListParagraph"/>
        <w:tabs>
          <w:tab w:val="left" w:pos="1843"/>
        </w:tabs>
        <w:ind w:left="1843"/>
        <w:jc w:val="both"/>
        <w:rPr>
          <w:rFonts w:ascii="Times New Roman" w:hAnsi="Times New Roman"/>
          <w:sz w:val="24"/>
          <w:szCs w:val="24"/>
        </w:rPr>
      </w:pPr>
    </w:p>
    <w:p w:rsidR="002B1774" w:rsidRPr="00F36645" w:rsidRDefault="002B1774" w:rsidP="002B1774">
      <w:pPr>
        <w:pStyle w:val="ListParagraph"/>
        <w:tabs>
          <w:tab w:val="left" w:pos="1843"/>
        </w:tabs>
        <w:ind w:left="1843"/>
        <w:jc w:val="both"/>
        <w:rPr>
          <w:rFonts w:ascii="Times New Roman" w:hAnsi="Times New Roman"/>
          <w:sz w:val="24"/>
          <w:szCs w:val="24"/>
        </w:rPr>
      </w:pPr>
    </w:p>
    <w:p w:rsidR="002B1774" w:rsidRPr="00F36645" w:rsidRDefault="002B1774" w:rsidP="002B1774">
      <w:pPr>
        <w:pStyle w:val="ListParagraph"/>
        <w:numPr>
          <w:ilvl w:val="0"/>
          <w:numId w:val="1"/>
        </w:numPr>
        <w:tabs>
          <w:tab w:val="left" w:pos="1843"/>
        </w:tabs>
        <w:ind w:left="1843" w:hanging="425"/>
        <w:jc w:val="both"/>
        <w:rPr>
          <w:rFonts w:ascii="Times New Roman" w:hAnsi="Times New Roman"/>
          <w:sz w:val="24"/>
          <w:szCs w:val="24"/>
        </w:rPr>
      </w:pPr>
      <w:r w:rsidRPr="00F36645">
        <w:rPr>
          <w:rFonts w:ascii="Times New Roman" w:hAnsi="Times New Roman"/>
          <w:sz w:val="24"/>
          <w:szCs w:val="24"/>
        </w:rPr>
        <w:t>It is considered that it would be advantages to permit the residents of Raheen Close to increase the height of their rear boundary walls, where the boundary walls abut and adjoin the grass margin area and Right of Way, to effect the maximum protection to their private property.</w:t>
      </w:r>
    </w:p>
    <w:p w:rsidR="002B1774" w:rsidRPr="00F36645" w:rsidRDefault="002B1774" w:rsidP="002B1774">
      <w:pPr>
        <w:pStyle w:val="ListParagraph"/>
        <w:tabs>
          <w:tab w:val="left" w:pos="1843"/>
        </w:tabs>
        <w:ind w:left="1843"/>
        <w:jc w:val="both"/>
        <w:rPr>
          <w:rFonts w:ascii="Times New Roman" w:hAnsi="Times New Roman"/>
          <w:sz w:val="24"/>
          <w:szCs w:val="24"/>
        </w:rPr>
      </w:pPr>
    </w:p>
    <w:p w:rsidR="002B1774" w:rsidRPr="00F36645" w:rsidRDefault="002B1774" w:rsidP="002B1774">
      <w:pPr>
        <w:pStyle w:val="ListParagraph"/>
        <w:tabs>
          <w:tab w:val="left" w:pos="1843"/>
        </w:tabs>
        <w:ind w:left="1843"/>
        <w:jc w:val="both"/>
        <w:rPr>
          <w:rFonts w:ascii="Times New Roman" w:hAnsi="Times New Roman"/>
          <w:sz w:val="24"/>
          <w:szCs w:val="24"/>
        </w:rPr>
      </w:pPr>
    </w:p>
    <w:p w:rsidR="002B1774" w:rsidRPr="00F36645" w:rsidRDefault="002B1774" w:rsidP="002B1774">
      <w:pPr>
        <w:pStyle w:val="ListParagraph"/>
        <w:numPr>
          <w:ilvl w:val="0"/>
          <w:numId w:val="1"/>
        </w:numPr>
        <w:tabs>
          <w:tab w:val="left" w:pos="1843"/>
        </w:tabs>
        <w:ind w:left="1843" w:hanging="425"/>
        <w:jc w:val="both"/>
        <w:rPr>
          <w:rFonts w:ascii="Times New Roman" w:hAnsi="Times New Roman"/>
          <w:sz w:val="24"/>
          <w:szCs w:val="24"/>
        </w:rPr>
      </w:pPr>
      <w:r w:rsidRPr="00F36645">
        <w:rPr>
          <w:rFonts w:ascii="Times New Roman" w:hAnsi="Times New Roman"/>
          <w:sz w:val="24"/>
          <w:szCs w:val="24"/>
        </w:rPr>
        <w:t xml:space="preserve">Should the above recommendations be adopted, I recommend that a review of the measures taken be undertaken after a period of 2 years.  </w:t>
      </w:r>
    </w:p>
    <w:p w:rsidR="002B1774" w:rsidRDefault="002B1774" w:rsidP="002B1774">
      <w:pPr>
        <w:rPr>
          <w:sz w:val="24"/>
          <w:szCs w:val="24"/>
        </w:rPr>
      </w:pPr>
    </w:p>
    <w:p w:rsidR="002B1774" w:rsidRDefault="002B1774" w:rsidP="002B1774">
      <w:pPr>
        <w:rPr>
          <w:sz w:val="24"/>
          <w:szCs w:val="24"/>
        </w:rPr>
      </w:pPr>
    </w:p>
    <w:p w:rsidR="002B1774" w:rsidRDefault="002B1774" w:rsidP="002B1774">
      <w:pPr>
        <w:jc w:val="both"/>
        <w:rPr>
          <w:sz w:val="24"/>
          <w:szCs w:val="24"/>
        </w:rPr>
      </w:pPr>
      <w:r>
        <w:rPr>
          <w:sz w:val="24"/>
          <w:szCs w:val="24"/>
        </w:rPr>
        <w:t>The decision regarding the extinguishment of a public right-of-way is a reserved function of the Council.</w:t>
      </w:r>
    </w:p>
    <w:p w:rsidR="002B1774" w:rsidRDefault="002B1774" w:rsidP="002B1774">
      <w:pPr>
        <w:rPr>
          <w:sz w:val="24"/>
          <w:szCs w:val="24"/>
        </w:rPr>
      </w:pPr>
    </w:p>
    <w:p w:rsidR="002B1774" w:rsidRDefault="002B1774" w:rsidP="002B1774">
      <w:pPr>
        <w:rPr>
          <w:sz w:val="24"/>
          <w:szCs w:val="24"/>
        </w:rPr>
      </w:pPr>
      <w:r>
        <w:rPr>
          <w:sz w:val="24"/>
          <w:szCs w:val="24"/>
        </w:rPr>
        <w:t>The recommendation of the Committee will be brought to the attention of the Council.</w:t>
      </w:r>
    </w:p>
    <w:p w:rsidR="002B1774" w:rsidRPr="0005017C" w:rsidRDefault="002B1774" w:rsidP="002B1774">
      <w:pPr>
        <w:rPr>
          <w:sz w:val="24"/>
          <w:szCs w:val="24"/>
        </w:rPr>
      </w:pPr>
    </w:p>
    <w:p w:rsidR="002B1774" w:rsidRDefault="002B1774" w:rsidP="002B1774">
      <w:pPr>
        <w:rPr>
          <w:b/>
          <w:sz w:val="24"/>
          <w:szCs w:val="24"/>
          <w:u w:val="single"/>
        </w:rPr>
      </w:pPr>
    </w:p>
    <w:p w:rsidR="002B1774" w:rsidRDefault="002B1774" w:rsidP="002B1774">
      <w:pPr>
        <w:pStyle w:val="replymain"/>
        <w:rPr>
          <w:rFonts w:ascii="Verdana" w:hAnsi="Verdana"/>
          <w:color w:val="000000"/>
        </w:rPr>
      </w:pPr>
    </w:p>
    <w:p w:rsidR="002B1774" w:rsidRPr="00B8284C" w:rsidRDefault="002B1774" w:rsidP="002B1774">
      <w:pPr>
        <w:rPr>
          <w:sz w:val="24"/>
          <w:szCs w:val="24"/>
        </w:rPr>
      </w:pPr>
      <w:r w:rsidRPr="00FE05FF">
        <w:rPr>
          <w:noProof/>
          <w:sz w:val="24"/>
          <w:szCs w:val="24"/>
          <w:lang w:val="en-IE" w:eastAsia="en-IE"/>
        </w:rPr>
        <w:lastRenderedPageBreak/>
        <w:drawing>
          <wp:inline distT="0" distB="0" distL="0" distR="0">
            <wp:extent cx="8391525" cy="5648325"/>
            <wp:effectExtent l="0" t="0" r="9525" b="9525"/>
            <wp:docPr id="1" name="Picture 1" descr="R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91525" cy="5648325"/>
                    </a:xfrm>
                    <a:prstGeom prst="rect">
                      <a:avLst/>
                    </a:prstGeom>
                    <a:noFill/>
                    <a:ln>
                      <a:noFill/>
                    </a:ln>
                  </pic:spPr>
                </pic:pic>
              </a:graphicData>
            </a:graphic>
          </wp:inline>
        </w:drawing>
      </w:r>
    </w:p>
    <w:p w:rsidR="002B1774" w:rsidRDefault="002B1774">
      <w:bookmarkStart w:id="0" w:name="_GoBack"/>
      <w:bookmarkEnd w:id="0"/>
    </w:p>
    <w:sectPr w:rsidR="002B17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1144AD"/>
    <w:multiLevelType w:val="hybridMultilevel"/>
    <w:tmpl w:val="D5D26814"/>
    <w:lvl w:ilvl="0" w:tplc="1809000F">
      <w:start w:val="1"/>
      <w:numFmt w:val="decimal"/>
      <w:lvlText w:val="%1."/>
      <w:lvlJc w:val="left"/>
      <w:pPr>
        <w:ind w:left="2880" w:hanging="360"/>
      </w:pPr>
    </w:lvl>
    <w:lvl w:ilvl="1" w:tplc="18090019" w:tentative="1">
      <w:start w:val="1"/>
      <w:numFmt w:val="lowerLetter"/>
      <w:lvlText w:val="%2."/>
      <w:lvlJc w:val="left"/>
      <w:pPr>
        <w:ind w:left="3600" w:hanging="360"/>
      </w:pPr>
    </w:lvl>
    <w:lvl w:ilvl="2" w:tplc="1809001B" w:tentative="1">
      <w:start w:val="1"/>
      <w:numFmt w:val="lowerRoman"/>
      <w:lvlText w:val="%3."/>
      <w:lvlJc w:val="right"/>
      <w:pPr>
        <w:ind w:left="4320" w:hanging="180"/>
      </w:pPr>
    </w:lvl>
    <w:lvl w:ilvl="3" w:tplc="1809000F" w:tentative="1">
      <w:start w:val="1"/>
      <w:numFmt w:val="decimal"/>
      <w:lvlText w:val="%4."/>
      <w:lvlJc w:val="left"/>
      <w:pPr>
        <w:ind w:left="5040" w:hanging="360"/>
      </w:pPr>
    </w:lvl>
    <w:lvl w:ilvl="4" w:tplc="18090019" w:tentative="1">
      <w:start w:val="1"/>
      <w:numFmt w:val="lowerLetter"/>
      <w:lvlText w:val="%5."/>
      <w:lvlJc w:val="left"/>
      <w:pPr>
        <w:ind w:left="5760" w:hanging="360"/>
      </w:pPr>
    </w:lvl>
    <w:lvl w:ilvl="5" w:tplc="1809001B" w:tentative="1">
      <w:start w:val="1"/>
      <w:numFmt w:val="lowerRoman"/>
      <w:lvlText w:val="%6."/>
      <w:lvlJc w:val="right"/>
      <w:pPr>
        <w:ind w:left="6480" w:hanging="180"/>
      </w:pPr>
    </w:lvl>
    <w:lvl w:ilvl="6" w:tplc="1809000F" w:tentative="1">
      <w:start w:val="1"/>
      <w:numFmt w:val="decimal"/>
      <w:lvlText w:val="%7."/>
      <w:lvlJc w:val="left"/>
      <w:pPr>
        <w:ind w:left="7200" w:hanging="360"/>
      </w:pPr>
    </w:lvl>
    <w:lvl w:ilvl="7" w:tplc="18090019" w:tentative="1">
      <w:start w:val="1"/>
      <w:numFmt w:val="lowerLetter"/>
      <w:lvlText w:val="%8."/>
      <w:lvlJc w:val="left"/>
      <w:pPr>
        <w:ind w:left="7920" w:hanging="360"/>
      </w:pPr>
    </w:lvl>
    <w:lvl w:ilvl="8" w:tplc="1809001B" w:tentative="1">
      <w:start w:val="1"/>
      <w:numFmt w:val="lowerRoman"/>
      <w:lvlText w:val="%9."/>
      <w:lvlJc w:val="right"/>
      <w:pPr>
        <w:ind w:left="86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774"/>
    <w:rsid w:val="00103976"/>
    <w:rsid w:val="002B1774"/>
    <w:rsid w:val="005559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662C78-C768-4F62-A1CC-39397A7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774"/>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B1774"/>
    <w:pPr>
      <w:spacing w:before="100" w:beforeAutospacing="1" w:after="100" w:afterAutospacing="1"/>
    </w:pPr>
    <w:rPr>
      <w:sz w:val="24"/>
      <w:szCs w:val="24"/>
      <w:lang w:val="en-US"/>
    </w:rPr>
  </w:style>
  <w:style w:type="paragraph" w:customStyle="1" w:styleId="replyheader">
    <w:name w:val="replyheader"/>
    <w:basedOn w:val="Normal"/>
    <w:uiPriority w:val="99"/>
    <w:rsid w:val="002B1774"/>
    <w:pPr>
      <w:spacing w:before="100" w:beforeAutospacing="1" w:after="100" w:afterAutospacing="1"/>
      <w:jc w:val="center"/>
    </w:pPr>
    <w:rPr>
      <w:b/>
      <w:bCs/>
      <w:sz w:val="31"/>
      <w:szCs w:val="31"/>
      <w:u w:val="single"/>
      <w:lang w:eastAsia="en-GB"/>
    </w:rPr>
  </w:style>
  <w:style w:type="paragraph" w:customStyle="1" w:styleId="replyimage">
    <w:name w:val="replyimage"/>
    <w:basedOn w:val="Normal"/>
    <w:uiPriority w:val="99"/>
    <w:rsid w:val="002B1774"/>
    <w:pPr>
      <w:spacing w:before="300" w:after="300"/>
      <w:jc w:val="center"/>
    </w:pPr>
    <w:rPr>
      <w:sz w:val="24"/>
      <w:szCs w:val="24"/>
      <w:lang w:eastAsia="en-GB"/>
    </w:rPr>
  </w:style>
  <w:style w:type="paragraph" w:customStyle="1" w:styleId="replymain">
    <w:name w:val="replymain"/>
    <w:basedOn w:val="Normal"/>
    <w:uiPriority w:val="99"/>
    <w:semiHidden/>
    <w:rsid w:val="002B1774"/>
    <w:pPr>
      <w:spacing w:before="100" w:beforeAutospacing="1" w:after="100" w:afterAutospacing="1"/>
      <w:jc w:val="center"/>
    </w:pPr>
    <w:rPr>
      <w:b/>
      <w:bCs/>
      <w:sz w:val="24"/>
      <w:szCs w:val="24"/>
      <w:u w:val="single"/>
      <w:lang w:val="en-IE" w:eastAsia="en-IE"/>
    </w:rPr>
  </w:style>
  <w:style w:type="character" w:styleId="Strong">
    <w:name w:val="Strong"/>
    <w:uiPriority w:val="22"/>
    <w:qFormat/>
    <w:rsid w:val="002B1774"/>
    <w:rPr>
      <w:b/>
      <w:bCs/>
    </w:rPr>
  </w:style>
  <w:style w:type="paragraph" w:styleId="ListParagraph">
    <w:name w:val="List Paragraph"/>
    <w:basedOn w:val="Normal"/>
    <w:uiPriority w:val="34"/>
    <w:qFormat/>
    <w:rsid w:val="002B1774"/>
    <w:pPr>
      <w:spacing w:after="200" w:line="276" w:lineRule="auto"/>
      <w:ind w:left="720"/>
      <w:contextualSpacing/>
    </w:pPr>
    <w:rPr>
      <w:rFonts w:ascii="Calibri" w:eastAsia="Calibri" w:hAnsi="Calibri"/>
      <w:sz w:val="22"/>
      <w:szCs w:val="2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http://intranet/viewdocument.aspx?id=de9efb17-d90a-43f2-a068-a1a2010900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2018-07-02T12:05:00Z</dcterms:created>
  <dcterms:modified xsi:type="dcterms:W3CDTF">2018-07-02T12:06:00Z</dcterms:modified>
</cp:coreProperties>
</file>