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75" w:rsidRDefault="00FE5875" w:rsidP="00FE5875">
      <w:pPr>
        <w:ind w:left="72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Review of Tree Management Policy 2015-2020 ‘Living </w:t>
      </w:r>
      <w:proofErr w:type="gramStart"/>
      <w:r>
        <w:rPr>
          <w:rFonts w:ascii="Arial" w:hAnsi="Arial" w:cs="Arial"/>
          <w:b/>
          <w:sz w:val="28"/>
          <w:szCs w:val="28"/>
        </w:rPr>
        <w:t>With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Trees’</w:t>
      </w:r>
    </w:p>
    <w:p w:rsidR="00FE5875" w:rsidRDefault="00FE5875" w:rsidP="00FE5875">
      <w:pPr>
        <w:ind w:left="720" w:hanging="720"/>
        <w:rPr>
          <w:rFonts w:ascii="Arial" w:hAnsi="Arial" w:cs="Arial"/>
          <w:b/>
          <w:sz w:val="28"/>
          <w:szCs w:val="28"/>
        </w:rPr>
      </w:pPr>
    </w:p>
    <w:p w:rsidR="004B4ED7" w:rsidRDefault="00FE5875" w:rsidP="00DB6D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B6DF8">
        <w:rPr>
          <w:rFonts w:ascii="Arial" w:hAnsi="Arial" w:cs="Arial"/>
          <w:sz w:val="20"/>
          <w:szCs w:val="20"/>
        </w:rPr>
        <w:t xml:space="preserve">The Council's Tree Management Policy 2015-2020 'Living </w:t>
      </w:r>
      <w:proofErr w:type="gramStart"/>
      <w:r w:rsidRPr="00DB6DF8">
        <w:rPr>
          <w:rFonts w:ascii="Arial" w:hAnsi="Arial" w:cs="Arial"/>
          <w:sz w:val="20"/>
          <w:szCs w:val="20"/>
        </w:rPr>
        <w:t>With</w:t>
      </w:r>
      <w:proofErr w:type="gramEnd"/>
      <w:r w:rsidRPr="00DB6DF8">
        <w:rPr>
          <w:rFonts w:ascii="Arial" w:hAnsi="Arial" w:cs="Arial"/>
          <w:sz w:val="20"/>
          <w:szCs w:val="20"/>
        </w:rPr>
        <w:t xml:space="preserve"> Trees' was adopted at a meeting of the Council on July 13, 2015.</w:t>
      </w:r>
      <w:r w:rsidR="00C27111" w:rsidRPr="00DB6DF8">
        <w:rPr>
          <w:rFonts w:ascii="Arial" w:hAnsi="Arial" w:cs="Arial"/>
          <w:sz w:val="20"/>
          <w:szCs w:val="20"/>
        </w:rPr>
        <w:t xml:space="preserve">  </w:t>
      </w:r>
    </w:p>
    <w:p w:rsidR="004B4ED7" w:rsidRDefault="004B4ED7" w:rsidP="00DB6D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27111" w:rsidRPr="00DB6DF8" w:rsidRDefault="00C27111" w:rsidP="00DB6D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B6DF8">
        <w:rPr>
          <w:rFonts w:ascii="Arial" w:hAnsi="Arial" w:cs="Arial"/>
          <w:sz w:val="20"/>
          <w:szCs w:val="20"/>
        </w:rPr>
        <w:t xml:space="preserve">The policy was developed by the Council’s Public Realm section having regard to best practice within the wider local authority and </w:t>
      </w:r>
      <w:proofErr w:type="spellStart"/>
      <w:r w:rsidRPr="00DB6DF8">
        <w:rPr>
          <w:rFonts w:ascii="Arial" w:hAnsi="Arial" w:cs="Arial"/>
          <w:sz w:val="20"/>
          <w:szCs w:val="20"/>
        </w:rPr>
        <w:t>arboricultural</w:t>
      </w:r>
      <w:proofErr w:type="spellEnd"/>
      <w:r w:rsidRPr="00DB6DF8">
        <w:rPr>
          <w:rFonts w:ascii="Arial" w:hAnsi="Arial" w:cs="Arial"/>
          <w:sz w:val="20"/>
          <w:szCs w:val="20"/>
        </w:rPr>
        <w:t xml:space="preserve"> sectors on both national and international levels.  The process involved the support and active input of a dedicated working group comprising members of the Environment, Water &amp; Climate Change Strategic Policy Committee</w:t>
      </w:r>
      <w:r w:rsidR="00DB6DF8" w:rsidRPr="00DB6DF8">
        <w:rPr>
          <w:rFonts w:ascii="Arial" w:hAnsi="Arial" w:cs="Arial"/>
          <w:sz w:val="20"/>
          <w:szCs w:val="20"/>
        </w:rPr>
        <w:t>.  A draft policy document was published</w:t>
      </w:r>
      <w:r w:rsidRPr="00DB6DF8">
        <w:rPr>
          <w:rFonts w:ascii="Arial" w:hAnsi="Arial" w:cs="Arial"/>
          <w:sz w:val="20"/>
          <w:szCs w:val="20"/>
        </w:rPr>
        <w:t xml:space="preserve"> </w:t>
      </w:r>
      <w:r w:rsidR="00DB6DF8" w:rsidRPr="00DB6DF8">
        <w:rPr>
          <w:rFonts w:ascii="Arial" w:hAnsi="Arial" w:cs="Arial"/>
          <w:sz w:val="20"/>
          <w:szCs w:val="20"/>
        </w:rPr>
        <w:t xml:space="preserve">to coincide </w:t>
      </w:r>
      <w:r w:rsidRPr="00DB6DF8">
        <w:rPr>
          <w:rFonts w:ascii="Arial" w:hAnsi="Arial" w:cs="Arial"/>
          <w:sz w:val="20"/>
          <w:szCs w:val="20"/>
        </w:rPr>
        <w:t xml:space="preserve">with a period of public consultation enabling </w:t>
      </w:r>
      <w:r w:rsidR="00DB6DF8" w:rsidRPr="00DB6DF8">
        <w:rPr>
          <w:rFonts w:ascii="Arial" w:hAnsi="Arial" w:cs="Arial"/>
          <w:sz w:val="20"/>
          <w:szCs w:val="20"/>
        </w:rPr>
        <w:t>the public to submit comments and observations which were considered by the working group and addressed in the adopted policy.</w:t>
      </w:r>
    </w:p>
    <w:p w:rsidR="00C27111" w:rsidRPr="00DB6DF8" w:rsidRDefault="00C27111" w:rsidP="00B31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D5646" w:rsidRPr="00DB6DF8" w:rsidRDefault="00DB6DF8" w:rsidP="00B3108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B6DF8">
        <w:rPr>
          <w:rFonts w:ascii="Arial" w:hAnsi="Arial" w:cs="Arial"/>
          <w:sz w:val="20"/>
          <w:szCs w:val="20"/>
        </w:rPr>
        <w:t>The Tree Management Policy</w:t>
      </w:r>
      <w:r w:rsidR="00BD5646" w:rsidRPr="00DB6DF8">
        <w:rPr>
          <w:rFonts w:ascii="Arial" w:hAnsi="Arial" w:cs="Arial"/>
          <w:sz w:val="20"/>
          <w:szCs w:val="20"/>
        </w:rPr>
        <w:t xml:space="preserve"> </w:t>
      </w:r>
      <w:r w:rsidR="000370A3" w:rsidRPr="00DB6DF8">
        <w:rPr>
          <w:rFonts w:ascii="Arial" w:hAnsi="Arial" w:cs="Arial"/>
          <w:sz w:val="20"/>
          <w:szCs w:val="20"/>
        </w:rPr>
        <w:t>provides</w:t>
      </w:r>
      <w:r w:rsidR="00BD5646" w:rsidRPr="00DB6DF8">
        <w:rPr>
          <w:rFonts w:ascii="Arial" w:hAnsi="Arial" w:cs="Arial"/>
          <w:sz w:val="20"/>
          <w:szCs w:val="20"/>
        </w:rPr>
        <w:t xml:space="preserve"> a framework to inform and support decisions made by the Council on the management and development of a sustainable tree population in the</w:t>
      </w:r>
      <w:r w:rsidR="00B3108F" w:rsidRPr="00DB6DF8">
        <w:rPr>
          <w:rFonts w:ascii="Arial" w:hAnsi="Arial" w:cs="Arial"/>
          <w:sz w:val="20"/>
          <w:szCs w:val="20"/>
        </w:rPr>
        <w:t xml:space="preserve"> </w:t>
      </w:r>
      <w:r w:rsidR="00BD5646" w:rsidRPr="00DB6DF8">
        <w:rPr>
          <w:rFonts w:ascii="Arial" w:hAnsi="Arial" w:cs="Arial"/>
          <w:sz w:val="20"/>
          <w:szCs w:val="20"/>
        </w:rPr>
        <w:t>County. The Policy act</w:t>
      </w:r>
      <w:r w:rsidR="000370A3" w:rsidRPr="00DB6DF8">
        <w:rPr>
          <w:rFonts w:ascii="Arial" w:hAnsi="Arial" w:cs="Arial"/>
          <w:sz w:val="20"/>
          <w:szCs w:val="20"/>
        </w:rPr>
        <w:t>s</w:t>
      </w:r>
      <w:r w:rsidR="00BD5646" w:rsidRPr="00DB6DF8">
        <w:rPr>
          <w:rFonts w:ascii="Arial" w:hAnsi="Arial" w:cs="Arial"/>
          <w:sz w:val="20"/>
          <w:szCs w:val="20"/>
        </w:rPr>
        <w:t xml:space="preserve"> as a point of reference for the public, Councillors, Council staff and professionally interested people to enable informed discussion and to establish a clearer, consistent and </w:t>
      </w:r>
      <w:r w:rsidR="000370A3" w:rsidRPr="00DB6DF8">
        <w:rPr>
          <w:rFonts w:ascii="Arial" w:hAnsi="Arial" w:cs="Arial"/>
          <w:sz w:val="20"/>
          <w:szCs w:val="20"/>
        </w:rPr>
        <w:t>a</w:t>
      </w:r>
      <w:r w:rsidR="00BD5646" w:rsidRPr="00DB6DF8">
        <w:rPr>
          <w:rFonts w:ascii="Arial" w:hAnsi="Arial" w:cs="Arial"/>
          <w:sz w:val="20"/>
          <w:szCs w:val="20"/>
        </w:rPr>
        <w:t xml:space="preserve"> structured approach to the issues affecting trees. </w:t>
      </w:r>
    </w:p>
    <w:p w:rsidR="00BD5646" w:rsidRPr="00DB6DF8" w:rsidRDefault="00BD5646" w:rsidP="00FE587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D5646" w:rsidRPr="00DB6DF8" w:rsidRDefault="00BD5646" w:rsidP="00BD5646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The objectives of the policy are:</w:t>
      </w:r>
    </w:p>
    <w:p w:rsidR="00BD5646" w:rsidRPr="00DB6DF8" w:rsidRDefault="00BD5646" w:rsidP="00BD5646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</w:p>
    <w:p w:rsidR="00BD5646" w:rsidRPr="00DB6DF8" w:rsidRDefault="00BD5646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Improve tree management and create a safer, healthier tree population</w:t>
      </w:r>
    </w:p>
    <w:p w:rsidR="00BD5646" w:rsidRPr="00DB6DF8" w:rsidRDefault="00BD5646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Implement a proactive, planned programme of cyclical tree maintenance</w:t>
      </w:r>
    </w:p>
    <w:p w:rsidR="00BD5646" w:rsidRPr="00DB6DF8" w:rsidRDefault="00BD5646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 xml:space="preserve">Maximise the use of the Council’s resources to provide a better </w:t>
      </w:r>
      <w:r w:rsidRPr="00DB6DF8">
        <w:rPr>
          <w:rFonts w:ascii="Arial" w:hAnsi="Arial" w:cs="Arial"/>
          <w:sz w:val="20"/>
          <w:szCs w:val="20"/>
        </w:rPr>
        <w:t>service and give better value for money.</w:t>
      </w:r>
    </w:p>
    <w:p w:rsidR="00E70BE9" w:rsidRPr="00E70BE9" w:rsidRDefault="004B4ED7" w:rsidP="00E70BE9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I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IE"/>
        </w:rPr>
        <w:t>Interim</w:t>
      </w:r>
      <w:r w:rsidR="00E70BE9">
        <w:rPr>
          <w:rFonts w:ascii="Arial" w:eastAsia="Times New Roman" w:hAnsi="Arial" w:cs="Arial"/>
          <w:b/>
          <w:sz w:val="24"/>
          <w:szCs w:val="24"/>
          <w:u w:val="single"/>
          <w:lang w:eastAsia="en-IE"/>
        </w:rPr>
        <w:t xml:space="preserve"> Review</w:t>
      </w:r>
    </w:p>
    <w:p w:rsidR="00E70BE9" w:rsidRDefault="00E70BE9" w:rsidP="00FE587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3108F" w:rsidRPr="00DB6DF8" w:rsidRDefault="00FE5875" w:rsidP="00FE587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B6DF8">
        <w:rPr>
          <w:rFonts w:ascii="Arial" w:hAnsi="Arial" w:cs="Arial"/>
          <w:sz w:val="20"/>
          <w:szCs w:val="20"/>
        </w:rPr>
        <w:t xml:space="preserve">This is a 5-Year management policy which is now into its </w:t>
      </w:r>
      <w:r w:rsidR="00B3108F" w:rsidRPr="00DB6DF8">
        <w:rPr>
          <w:rFonts w:ascii="Arial" w:hAnsi="Arial" w:cs="Arial"/>
          <w:sz w:val="20"/>
          <w:szCs w:val="20"/>
        </w:rPr>
        <w:t>third</w:t>
      </w:r>
      <w:r w:rsidRPr="00DB6DF8">
        <w:rPr>
          <w:rFonts w:ascii="Arial" w:hAnsi="Arial" w:cs="Arial"/>
          <w:sz w:val="20"/>
          <w:szCs w:val="20"/>
        </w:rPr>
        <w:t xml:space="preserve"> year and is scheduled for a</w:t>
      </w:r>
      <w:r w:rsidR="004B4ED7">
        <w:rPr>
          <w:rFonts w:ascii="Arial" w:hAnsi="Arial" w:cs="Arial"/>
          <w:sz w:val="20"/>
          <w:szCs w:val="20"/>
        </w:rPr>
        <w:t>n</w:t>
      </w:r>
      <w:r w:rsidRPr="00DB6DF8">
        <w:rPr>
          <w:rFonts w:ascii="Arial" w:hAnsi="Arial" w:cs="Arial"/>
          <w:sz w:val="20"/>
          <w:szCs w:val="20"/>
        </w:rPr>
        <w:t xml:space="preserve"> </w:t>
      </w:r>
      <w:r w:rsidR="004B4ED7">
        <w:rPr>
          <w:rFonts w:ascii="Arial" w:hAnsi="Arial" w:cs="Arial"/>
          <w:sz w:val="20"/>
          <w:szCs w:val="20"/>
        </w:rPr>
        <w:t>interim</w:t>
      </w:r>
      <w:r w:rsidRPr="00DB6DF8">
        <w:rPr>
          <w:rFonts w:ascii="Arial" w:hAnsi="Arial" w:cs="Arial"/>
          <w:sz w:val="20"/>
          <w:szCs w:val="20"/>
        </w:rPr>
        <w:t xml:space="preserve"> review in accordance with the relevant specific action listed in the Action Plan which accompanies and supports the Tree Management Policy. It is intended to carry out this </w:t>
      </w:r>
      <w:r w:rsidR="004B4ED7">
        <w:rPr>
          <w:rFonts w:ascii="Arial" w:hAnsi="Arial" w:cs="Arial"/>
          <w:sz w:val="20"/>
          <w:szCs w:val="20"/>
        </w:rPr>
        <w:t>interim</w:t>
      </w:r>
      <w:r w:rsidRPr="00DB6DF8">
        <w:rPr>
          <w:rFonts w:ascii="Arial" w:hAnsi="Arial" w:cs="Arial"/>
          <w:sz w:val="20"/>
          <w:szCs w:val="20"/>
        </w:rPr>
        <w:t xml:space="preserve"> review during </w:t>
      </w:r>
      <w:r w:rsidR="00B3108F" w:rsidRPr="00DB6DF8">
        <w:rPr>
          <w:rFonts w:ascii="Arial" w:hAnsi="Arial" w:cs="Arial"/>
          <w:sz w:val="20"/>
          <w:szCs w:val="20"/>
        </w:rPr>
        <w:t>2018</w:t>
      </w:r>
      <w:r w:rsidRPr="00DB6DF8">
        <w:rPr>
          <w:rFonts w:ascii="Arial" w:hAnsi="Arial" w:cs="Arial"/>
          <w:sz w:val="20"/>
          <w:szCs w:val="20"/>
        </w:rPr>
        <w:t xml:space="preserve">.  </w:t>
      </w:r>
    </w:p>
    <w:p w:rsidR="00B3108F" w:rsidRPr="00DB6DF8" w:rsidRDefault="00B3108F" w:rsidP="00FE587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3108F" w:rsidRPr="00DB6DF8" w:rsidRDefault="00B3108F" w:rsidP="00B3108F">
      <w:pPr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The aim of the review is to:</w:t>
      </w:r>
    </w:p>
    <w:p w:rsidR="00B3108F" w:rsidRPr="00DB6DF8" w:rsidRDefault="00B3108F" w:rsidP="00B3108F">
      <w:pPr>
        <w:rPr>
          <w:rFonts w:ascii="Arial" w:hAnsi="Arial" w:cs="Arial"/>
          <w:sz w:val="20"/>
          <w:szCs w:val="20"/>
        </w:rPr>
      </w:pPr>
    </w:p>
    <w:p w:rsidR="00B3108F" w:rsidRPr="00DB6DF8" w:rsidRDefault="00B3108F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Review and assess progress to date on the implementation of the Action Plan</w:t>
      </w:r>
    </w:p>
    <w:p w:rsidR="00B3108F" w:rsidRPr="00DB6DF8" w:rsidRDefault="00B3108F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Confirm whether the vision established by the policy is the right focus</w:t>
      </w:r>
    </w:p>
    <w:p w:rsidR="00B3108F" w:rsidRPr="00DB6DF8" w:rsidRDefault="00B3108F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Provide an updated snapshot of our current tree stock and how the Council manages them</w:t>
      </w:r>
    </w:p>
    <w:p w:rsidR="00B3108F" w:rsidRPr="00DB6DF8" w:rsidRDefault="00B3108F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Reassess aspects of the policy on particular issues that continue to generate ambiguity</w:t>
      </w:r>
    </w:p>
    <w:p w:rsidR="00B3108F" w:rsidRPr="00DB6DF8" w:rsidRDefault="00B3108F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Look at emerging issues</w:t>
      </w:r>
    </w:p>
    <w:p w:rsidR="00B3108F" w:rsidRPr="00DB6DF8" w:rsidRDefault="00B3108F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Assess consistency of relevant policies and actions of the Tree Management Policy with the Council’s Climate Change Action Plan</w:t>
      </w:r>
    </w:p>
    <w:p w:rsidR="00B3108F" w:rsidRPr="00DB6DF8" w:rsidRDefault="00B3108F" w:rsidP="00B3108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Make new policy recommendations as necessary from review process</w:t>
      </w:r>
    </w:p>
    <w:p w:rsidR="00B3108F" w:rsidRPr="00DB6DF8" w:rsidRDefault="00B3108F" w:rsidP="00B3108F">
      <w:pPr>
        <w:rPr>
          <w:rFonts w:ascii="Arial" w:hAnsi="Arial" w:cs="Arial"/>
          <w:sz w:val="20"/>
          <w:szCs w:val="20"/>
        </w:rPr>
      </w:pPr>
    </w:p>
    <w:p w:rsidR="00B969D2" w:rsidRDefault="00DB6DF8" w:rsidP="00DB6DF8">
      <w:pPr>
        <w:rPr>
          <w:rFonts w:ascii="Arial" w:hAnsi="Arial" w:cs="Arial"/>
          <w:sz w:val="20"/>
          <w:szCs w:val="20"/>
        </w:rPr>
      </w:pPr>
      <w:r w:rsidRPr="00DB6DF8">
        <w:rPr>
          <w:rFonts w:ascii="Arial" w:hAnsi="Arial" w:cs="Arial"/>
          <w:sz w:val="20"/>
          <w:szCs w:val="20"/>
        </w:rPr>
        <w:t>Since the Tree Management Policy was adopted</w:t>
      </w:r>
      <w:r>
        <w:rPr>
          <w:rFonts w:ascii="Arial" w:hAnsi="Arial" w:cs="Arial"/>
          <w:sz w:val="20"/>
          <w:szCs w:val="20"/>
        </w:rPr>
        <w:t xml:space="preserve"> in 2015</w:t>
      </w:r>
      <w:r w:rsidRPr="00DB6DF8">
        <w:rPr>
          <w:rFonts w:ascii="Arial" w:hAnsi="Arial" w:cs="Arial"/>
          <w:sz w:val="20"/>
          <w:szCs w:val="20"/>
        </w:rPr>
        <w:t xml:space="preserve">, there are a number of policy </w:t>
      </w:r>
      <w:r>
        <w:rPr>
          <w:rFonts w:ascii="Arial" w:hAnsi="Arial" w:cs="Arial"/>
          <w:sz w:val="20"/>
          <w:szCs w:val="20"/>
        </w:rPr>
        <w:t>is</w:t>
      </w:r>
      <w:r w:rsidRPr="00DB6DF8">
        <w:rPr>
          <w:rFonts w:ascii="Arial" w:hAnsi="Arial" w:cs="Arial"/>
          <w:sz w:val="20"/>
          <w:szCs w:val="20"/>
        </w:rPr>
        <w:t>sues which continue to generate ambiguity.  These issues are re</w:t>
      </w:r>
      <w:r w:rsidR="00B969D2">
        <w:rPr>
          <w:rFonts w:ascii="Arial" w:hAnsi="Arial" w:cs="Arial"/>
          <w:sz w:val="20"/>
          <w:szCs w:val="20"/>
        </w:rPr>
        <w:t>flected through:</w:t>
      </w:r>
    </w:p>
    <w:p w:rsidR="00B969D2" w:rsidRDefault="00B969D2" w:rsidP="00DB6DF8">
      <w:pPr>
        <w:rPr>
          <w:rFonts w:ascii="Arial" w:hAnsi="Arial" w:cs="Arial"/>
          <w:sz w:val="20"/>
          <w:szCs w:val="20"/>
        </w:rPr>
      </w:pPr>
    </w:p>
    <w:p w:rsidR="00B969D2" w:rsidRPr="00B969D2" w:rsidRDefault="00DB6DF8" w:rsidP="00B969D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969D2">
        <w:rPr>
          <w:rFonts w:ascii="Arial" w:hAnsi="Arial" w:cs="Arial"/>
          <w:sz w:val="20"/>
          <w:szCs w:val="20"/>
        </w:rPr>
        <w:t>analysis of tree-related enquiries received via the Co</w:t>
      </w:r>
      <w:r w:rsidR="00B969D2" w:rsidRPr="00B969D2">
        <w:rPr>
          <w:rFonts w:ascii="Arial" w:hAnsi="Arial" w:cs="Arial"/>
          <w:sz w:val="20"/>
          <w:szCs w:val="20"/>
        </w:rPr>
        <w:t>uncil’s Customer Contact System</w:t>
      </w:r>
    </w:p>
    <w:p w:rsidR="00B969D2" w:rsidRPr="00B969D2" w:rsidRDefault="00B969D2" w:rsidP="00B969D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969D2">
        <w:rPr>
          <w:rFonts w:ascii="Arial" w:hAnsi="Arial" w:cs="Arial"/>
          <w:sz w:val="20"/>
          <w:szCs w:val="20"/>
        </w:rPr>
        <w:t>emerging policies on climate change action</w:t>
      </w:r>
    </w:p>
    <w:p w:rsidR="00B969D2" w:rsidRDefault="00B969D2" w:rsidP="00B969D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969D2">
        <w:rPr>
          <w:rFonts w:ascii="Arial" w:hAnsi="Arial" w:cs="Arial"/>
          <w:sz w:val="20"/>
          <w:szCs w:val="20"/>
        </w:rPr>
        <w:t>increasing housing densities</w:t>
      </w:r>
    </w:p>
    <w:p w:rsidR="00B969D2" w:rsidRPr="00B969D2" w:rsidRDefault="00B969D2" w:rsidP="00B969D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969D2">
        <w:rPr>
          <w:rFonts w:ascii="Arial" w:hAnsi="Arial" w:cs="Arial"/>
          <w:sz w:val="20"/>
          <w:szCs w:val="20"/>
        </w:rPr>
        <w:t>ongoing conflict between trees and services</w:t>
      </w:r>
    </w:p>
    <w:p w:rsidR="00B969D2" w:rsidRPr="00B969D2" w:rsidRDefault="00B969D2" w:rsidP="00B969D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969D2">
        <w:rPr>
          <w:rFonts w:ascii="Arial" w:hAnsi="Arial" w:cs="Arial"/>
          <w:sz w:val="20"/>
          <w:szCs w:val="20"/>
        </w:rPr>
        <w:t>public concerns arising from extreme weather events</w:t>
      </w:r>
      <w:r w:rsidR="00DB6DF8" w:rsidRPr="00B969D2">
        <w:rPr>
          <w:rFonts w:ascii="Arial" w:hAnsi="Arial" w:cs="Arial"/>
          <w:sz w:val="20"/>
          <w:szCs w:val="20"/>
        </w:rPr>
        <w:t xml:space="preserve">  </w:t>
      </w:r>
    </w:p>
    <w:p w:rsidR="00B969D2" w:rsidRDefault="00B969D2" w:rsidP="00DB6DF8">
      <w:pPr>
        <w:rPr>
          <w:rFonts w:ascii="Arial" w:hAnsi="Arial" w:cs="Arial"/>
          <w:sz w:val="20"/>
          <w:szCs w:val="20"/>
        </w:rPr>
      </w:pPr>
    </w:p>
    <w:p w:rsidR="00FE5875" w:rsidRPr="00DB6DF8" w:rsidRDefault="00DB6DF8" w:rsidP="00DB6DF8">
      <w:pPr>
        <w:rPr>
          <w:rFonts w:ascii="Arial" w:hAnsi="Arial" w:cs="Arial"/>
          <w:sz w:val="20"/>
          <w:szCs w:val="20"/>
        </w:rPr>
      </w:pPr>
      <w:r w:rsidRPr="00DB6DF8">
        <w:rPr>
          <w:rFonts w:ascii="Arial" w:hAnsi="Arial" w:cs="Arial"/>
          <w:sz w:val="20"/>
          <w:szCs w:val="20"/>
        </w:rPr>
        <w:t>In order to provide further clarity, s</w:t>
      </w:r>
      <w:r w:rsidR="00FE5875" w:rsidRPr="00DB6DF8">
        <w:rPr>
          <w:rFonts w:ascii="Arial" w:hAnsi="Arial" w:cs="Arial"/>
          <w:sz w:val="20"/>
          <w:szCs w:val="20"/>
        </w:rPr>
        <w:t xml:space="preserve">pecific policy issues </w:t>
      </w:r>
      <w:r w:rsidR="00B3108F" w:rsidRPr="00DB6DF8">
        <w:rPr>
          <w:rFonts w:ascii="Arial" w:hAnsi="Arial" w:cs="Arial"/>
          <w:sz w:val="20"/>
          <w:szCs w:val="20"/>
        </w:rPr>
        <w:t xml:space="preserve">proposed </w:t>
      </w:r>
      <w:r w:rsidR="00FE5875" w:rsidRPr="00DB6DF8">
        <w:rPr>
          <w:rFonts w:ascii="Arial" w:hAnsi="Arial" w:cs="Arial"/>
          <w:sz w:val="20"/>
          <w:szCs w:val="20"/>
        </w:rPr>
        <w:t>for review include:</w:t>
      </w:r>
    </w:p>
    <w:p w:rsidR="00FE5875" w:rsidRPr="00DB6DF8" w:rsidRDefault="00FE5875" w:rsidP="00FE587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F61E9" w:rsidRPr="00D303EA" w:rsidRDefault="00FF61E9" w:rsidP="00D56A2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303EA">
        <w:rPr>
          <w:rFonts w:ascii="Arial" w:eastAsia="Times New Roman" w:hAnsi="Arial" w:cs="Arial"/>
          <w:sz w:val="20"/>
          <w:szCs w:val="20"/>
          <w:lang w:eastAsia="en-IE"/>
        </w:rPr>
        <w:t xml:space="preserve">Trees in conflict with built structures – a </w:t>
      </w:r>
      <w:r w:rsidR="00D303EA" w:rsidRPr="00D303EA">
        <w:rPr>
          <w:rFonts w:ascii="Arial" w:eastAsia="Times New Roman" w:hAnsi="Arial" w:cs="Arial"/>
          <w:sz w:val="20"/>
          <w:szCs w:val="20"/>
          <w:lang w:eastAsia="en-IE"/>
        </w:rPr>
        <w:t xml:space="preserve">clear, </w:t>
      </w:r>
      <w:r w:rsidRPr="00D303EA">
        <w:rPr>
          <w:rFonts w:ascii="Arial" w:eastAsia="Times New Roman" w:hAnsi="Arial" w:cs="Arial"/>
          <w:sz w:val="20"/>
          <w:szCs w:val="20"/>
          <w:lang w:eastAsia="en-IE"/>
        </w:rPr>
        <w:t xml:space="preserve">corporate </w:t>
      </w:r>
      <w:r w:rsidRPr="00D303EA">
        <w:rPr>
          <w:rFonts w:ascii="Arial" w:hAnsi="Arial" w:cs="Arial"/>
          <w:sz w:val="20"/>
          <w:szCs w:val="20"/>
        </w:rPr>
        <w:t xml:space="preserve">protocol is required for resolving issues where tree roots are in conflict with the built environment.  </w:t>
      </w:r>
      <w:r w:rsidR="007132E0">
        <w:rPr>
          <w:rFonts w:ascii="Arial" w:hAnsi="Arial" w:cs="Arial"/>
          <w:sz w:val="20"/>
          <w:szCs w:val="20"/>
        </w:rPr>
        <w:t>Specific</w:t>
      </w:r>
      <w:r w:rsidRPr="00D303EA">
        <w:rPr>
          <w:rFonts w:ascii="Arial" w:hAnsi="Arial" w:cs="Arial"/>
          <w:sz w:val="20"/>
          <w:szCs w:val="20"/>
        </w:rPr>
        <w:t xml:space="preserve"> loca</w:t>
      </w:r>
      <w:r w:rsidR="00D303EA" w:rsidRPr="00D303EA">
        <w:rPr>
          <w:rFonts w:ascii="Arial" w:hAnsi="Arial" w:cs="Arial"/>
          <w:sz w:val="20"/>
          <w:szCs w:val="20"/>
        </w:rPr>
        <w:t>tions include public footpaths, private boundary walls and driveways</w:t>
      </w:r>
      <w:r w:rsidR="00D303EA">
        <w:rPr>
          <w:rFonts w:ascii="Arial" w:hAnsi="Arial" w:cs="Arial"/>
          <w:sz w:val="20"/>
          <w:szCs w:val="20"/>
        </w:rPr>
        <w:t>.</w:t>
      </w:r>
    </w:p>
    <w:p w:rsidR="00FF61E9" w:rsidRDefault="00D303EA" w:rsidP="00FF61E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>
        <w:rPr>
          <w:rFonts w:ascii="Arial" w:eastAsia="Times New Roman" w:hAnsi="Arial" w:cs="Arial"/>
          <w:sz w:val="20"/>
          <w:szCs w:val="20"/>
          <w:lang w:eastAsia="en-IE"/>
        </w:rPr>
        <w:lastRenderedPageBreak/>
        <w:t xml:space="preserve">Guidelines and options for implementation of </w:t>
      </w:r>
      <w:r w:rsidR="00FF61E9" w:rsidRPr="00DB6DF8">
        <w:rPr>
          <w:rFonts w:ascii="Arial" w:eastAsia="Times New Roman" w:hAnsi="Arial" w:cs="Arial"/>
          <w:sz w:val="20"/>
          <w:szCs w:val="20"/>
          <w:lang w:eastAsia="en-IE"/>
        </w:rPr>
        <w:t xml:space="preserve">alternative engineering solutions </w:t>
      </w:r>
      <w:r>
        <w:rPr>
          <w:rFonts w:ascii="Arial" w:eastAsia="Times New Roman" w:hAnsi="Arial" w:cs="Arial"/>
          <w:sz w:val="20"/>
          <w:szCs w:val="20"/>
          <w:lang w:eastAsia="en-IE"/>
        </w:rPr>
        <w:t xml:space="preserve">in order to </w:t>
      </w:r>
      <w:r w:rsidRPr="00DB6DF8">
        <w:rPr>
          <w:rFonts w:ascii="Arial" w:eastAsia="Times New Roman" w:hAnsi="Arial" w:cs="Arial"/>
          <w:sz w:val="20"/>
          <w:szCs w:val="20"/>
          <w:lang w:eastAsia="en-IE"/>
        </w:rPr>
        <w:t>minimis</w:t>
      </w:r>
      <w:r>
        <w:rPr>
          <w:rFonts w:ascii="Arial" w:eastAsia="Times New Roman" w:hAnsi="Arial" w:cs="Arial"/>
          <w:sz w:val="20"/>
          <w:szCs w:val="20"/>
          <w:lang w:eastAsia="en-IE"/>
        </w:rPr>
        <w:t>e</w:t>
      </w:r>
      <w:r w:rsidRPr="00DB6DF8">
        <w:rPr>
          <w:rFonts w:ascii="Arial" w:eastAsia="Times New Roman" w:hAnsi="Arial" w:cs="Arial"/>
          <w:sz w:val="20"/>
          <w:szCs w:val="20"/>
          <w:lang w:eastAsia="en-IE"/>
        </w:rPr>
        <w:t xml:space="preserve"> removal of healthy trees</w:t>
      </w:r>
    </w:p>
    <w:p w:rsidR="00D303EA" w:rsidRDefault="00D303EA" w:rsidP="00D303E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 xml:space="preserve">Review policy on removal of trees in proximity to public lighting columns in order to minimise loss of healthy trees and address public resistance to current </w:t>
      </w:r>
      <w:r w:rsidR="007132E0">
        <w:rPr>
          <w:rFonts w:ascii="Arial" w:eastAsia="Times New Roman" w:hAnsi="Arial" w:cs="Arial"/>
          <w:sz w:val="20"/>
          <w:szCs w:val="20"/>
          <w:lang w:eastAsia="en-IE"/>
        </w:rPr>
        <w:t>practice</w:t>
      </w:r>
    </w:p>
    <w:p w:rsidR="00496FBA" w:rsidRDefault="00496FBA" w:rsidP="00D303E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>
        <w:rPr>
          <w:rFonts w:ascii="Arial" w:hAnsi="Arial" w:cs="Arial"/>
          <w:sz w:val="20"/>
          <w:szCs w:val="20"/>
        </w:rPr>
        <w:t>T</w:t>
      </w:r>
      <w:r w:rsidRPr="002E6BDE">
        <w:rPr>
          <w:rFonts w:ascii="Arial" w:hAnsi="Arial" w:cs="Arial"/>
          <w:sz w:val="20"/>
          <w:szCs w:val="20"/>
        </w:rPr>
        <w:t>rees along riverbanks &amp; watercourses</w:t>
      </w:r>
      <w:r>
        <w:rPr>
          <w:rFonts w:ascii="Arial" w:hAnsi="Arial" w:cs="Arial"/>
          <w:sz w:val="20"/>
          <w:szCs w:val="20"/>
        </w:rPr>
        <w:t xml:space="preserve"> – clarify procedure for resolving issues</w:t>
      </w:r>
    </w:p>
    <w:p w:rsidR="00496FBA" w:rsidRDefault="00D303EA" w:rsidP="009E09B9">
      <w:pPr>
        <w:pStyle w:val="ListParagraph"/>
        <w:numPr>
          <w:ilvl w:val="0"/>
          <w:numId w:val="1"/>
        </w:numPr>
        <w:jc w:val="both"/>
      </w:pPr>
      <w:r w:rsidRPr="00496FBA">
        <w:rPr>
          <w:rFonts w:ascii="Arial" w:eastAsia="Times New Roman" w:hAnsi="Arial" w:cs="Arial"/>
          <w:sz w:val="20"/>
          <w:szCs w:val="20"/>
          <w:lang w:eastAsia="en-IE"/>
        </w:rPr>
        <w:t>Trees and utilities - p</w:t>
      </w:r>
      <w:r w:rsidRPr="00496FBA">
        <w:rPr>
          <w:rFonts w:ascii="Arial" w:hAnsi="Arial" w:cs="Arial"/>
          <w:bCs/>
          <w:sz w:val="20"/>
          <w:szCs w:val="20"/>
        </w:rPr>
        <w:t xml:space="preserve">rocedures and </w:t>
      </w:r>
      <w:r w:rsidRPr="00496FBA">
        <w:rPr>
          <w:rFonts w:ascii="Arial" w:eastAsia="Times New Roman" w:hAnsi="Arial" w:cs="Arial"/>
          <w:sz w:val="20"/>
          <w:szCs w:val="20"/>
          <w:lang w:eastAsia="en-IE"/>
        </w:rPr>
        <w:t xml:space="preserve">protocols </w:t>
      </w:r>
      <w:r w:rsidR="00496FBA" w:rsidRPr="00496FBA">
        <w:rPr>
          <w:rFonts w:ascii="Arial" w:eastAsia="Times New Roman" w:hAnsi="Arial" w:cs="Arial"/>
          <w:sz w:val="20"/>
          <w:szCs w:val="20"/>
          <w:lang w:eastAsia="en-IE"/>
        </w:rPr>
        <w:t xml:space="preserve">for planning, installation and maintenance of utility apparatus in proximity to trees </w:t>
      </w:r>
      <w:r w:rsidRPr="00496FBA">
        <w:rPr>
          <w:rFonts w:ascii="Arial" w:hAnsi="Arial" w:cs="Arial"/>
          <w:bCs/>
          <w:sz w:val="20"/>
          <w:szCs w:val="20"/>
        </w:rPr>
        <w:t>to be formalised with internal Council Departments and external agencies</w:t>
      </w:r>
    </w:p>
    <w:p w:rsidR="00D303EA" w:rsidRPr="00DB6DF8" w:rsidRDefault="00D303EA" w:rsidP="00D303E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 xml:space="preserve">Irish </w:t>
      </w:r>
      <w:r w:rsidR="00496FBA">
        <w:rPr>
          <w:rFonts w:ascii="Arial" w:eastAsia="Times New Roman" w:hAnsi="Arial" w:cs="Arial"/>
          <w:sz w:val="20"/>
          <w:szCs w:val="20"/>
          <w:lang w:eastAsia="en-IE"/>
        </w:rPr>
        <w:t>W</w:t>
      </w:r>
      <w:r w:rsidRPr="00DB6DF8">
        <w:rPr>
          <w:rFonts w:ascii="Arial" w:eastAsia="Times New Roman" w:hAnsi="Arial" w:cs="Arial"/>
          <w:sz w:val="20"/>
          <w:szCs w:val="20"/>
          <w:lang w:eastAsia="en-IE"/>
        </w:rPr>
        <w:t xml:space="preserve">ater </w:t>
      </w:r>
      <w:r w:rsidR="00496FBA">
        <w:rPr>
          <w:rFonts w:ascii="Arial" w:eastAsia="Times New Roman" w:hAnsi="Arial" w:cs="Arial"/>
          <w:sz w:val="20"/>
          <w:szCs w:val="20"/>
          <w:lang w:eastAsia="en-IE"/>
        </w:rPr>
        <w:t>Infrastructure Standards – restrictions on tree/shrub planting adjacent to water mains</w:t>
      </w:r>
    </w:p>
    <w:p w:rsidR="00D303EA" w:rsidRPr="00DB6DF8" w:rsidRDefault="00D303EA" w:rsidP="00D303E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Tree root pruning – requirement for policy and guidelines</w:t>
      </w:r>
    </w:p>
    <w:p w:rsidR="00D303EA" w:rsidRDefault="00D303EA" w:rsidP="00D303EA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 xml:space="preserve">Tree planting systems and use of </w:t>
      </w:r>
      <w:proofErr w:type="spellStart"/>
      <w:r w:rsidRPr="00DB6DF8">
        <w:rPr>
          <w:rFonts w:ascii="Arial" w:eastAsia="Times New Roman" w:hAnsi="Arial" w:cs="Arial"/>
          <w:sz w:val="20"/>
          <w:szCs w:val="20"/>
          <w:lang w:eastAsia="en-IE"/>
        </w:rPr>
        <w:t>rootbarriers</w:t>
      </w:r>
      <w:proofErr w:type="spellEnd"/>
      <w:r>
        <w:rPr>
          <w:rFonts w:ascii="Arial" w:eastAsia="Times New Roman" w:hAnsi="Arial" w:cs="Arial"/>
          <w:sz w:val="20"/>
          <w:szCs w:val="20"/>
          <w:lang w:eastAsia="en-IE"/>
        </w:rPr>
        <w:t xml:space="preserve"> – requirement for policy and guidelines</w:t>
      </w:r>
    </w:p>
    <w:p w:rsidR="007132E0" w:rsidRDefault="007132E0" w:rsidP="007132E0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Resistance to tree planting in residential streets and open spaces</w:t>
      </w:r>
    </w:p>
    <w:p w:rsidR="00FE5875" w:rsidRPr="00FF61E9" w:rsidRDefault="00FF61E9" w:rsidP="00835B0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Disposal and recycling of timber and green waste</w:t>
      </w:r>
    </w:p>
    <w:p w:rsidR="002E054E" w:rsidRDefault="00FE5875" w:rsidP="00E21F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303EA">
        <w:rPr>
          <w:rFonts w:ascii="Arial" w:hAnsi="Arial" w:cs="Arial"/>
          <w:sz w:val="20"/>
          <w:szCs w:val="20"/>
        </w:rPr>
        <w:t>Dublin Tree Canopy Study</w:t>
      </w:r>
      <w:r w:rsidR="00FF61E9" w:rsidRPr="00D303EA">
        <w:rPr>
          <w:rFonts w:ascii="Arial" w:hAnsi="Arial" w:cs="Arial"/>
          <w:sz w:val="20"/>
          <w:szCs w:val="20"/>
        </w:rPr>
        <w:t xml:space="preserve"> published March 2017</w:t>
      </w:r>
      <w:r w:rsidRPr="00D303EA">
        <w:rPr>
          <w:rFonts w:ascii="Arial" w:hAnsi="Arial" w:cs="Arial"/>
          <w:sz w:val="20"/>
          <w:szCs w:val="20"/>
        </w:rPr>
        <w:t xml:space="preserve"> – review findings and implications for </w:t>
      </w:r>
      <w:r w:rsidR="00D303EA">
        <w:rPr>
          <w:rFonts w:ascii="Arial" w:hAnsi="Arial" w:cs="Arial"/>
          <w:sz w:val="20"/>
          <w:szCs w:val="20"/>
        </w:rPr>
        <w:t xml:space="preserve">tree management in </w:t>
      </w:r>
      <w:r w:rsidRPr="00D303EA">
        <w:rPr>
          <w:rFonts w:ascii="Arial" w:hAnsi="Arial" w:cs="Arial"/>
          <w:sz w:val="20"/>
          <w:szCs w:val="20"/>
        </w:rPr>
        <w:t xml:space="preserve">South Dublin </w:t>
      </w:r>
    </w:p>
    <w:p w:rsidR="00FE5875" w:rsidRPr="00D303EA" w:rsidRDefault="00D303EA" w:rsidP="00E21F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303EA">
        <w:rPr>
          <w:rFonts w:ascii="Arial" w:hAnsi="Arial" w:cs="Arial"/>
          <w:sz w:val="20"/>
          <w:szCs w:val="20"/>
        </w:rPr>
        <w:t>SDCC Climate Change Action Plan</w:t>
      </w:r>
    </w:p>
    <w:p w:rsidR="00515921" w:rsidRPr="00DB6DF8" w:rsidRDefault="00FE5875" w:rsidP="00515921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Unauthorised removal of trees</w:t>
      </w:r>
    </w:p>
    <w:p w:rsidR="004F7E23" w:rsidRPr="00DB6DF8" w:rsidRDefault="00B3108F" w:rsidP="00515921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DB6DF8">
        <w:rPr>
          <w:rFonts w:ascii="Arial" w:eastAsia="Times New Roman" w:hAnsi="Arial" w:cs="Arial"/>
          <w:sz w:val="20"/>
          <w:szCs w:val="20"/>
          <w:lang w:eastAsia="en-IE"/>
        </w:rPr>
        <w:t>Tree r</w:t>
      </w:r>
      <w:r w:rsidR="004F7E23" w:rsidRPr="00DB6DF8">
        <w:rPr>
          <w:rFonts w:ascii="Arial" w:eastAsia="Times New Roman" w:hAnsi="Arial" w:cs="Arial"/>
          <w:sz w:val="20"/>
          <w:szCs w:val="20"/>
          <w:lang w:eastAsia="en-IE"/>
        </w:rPr>
        <w:t>isk management</w:t>
      </w:r>
      <w:r w:rsidR="007132E0">
        <w:rPr>
          <w:rFonts w:ascii="Arial" w:eastAsia="Times New Roman" w:hAnsi="Arial" w:cs="Arial"/>
          <w:sz w:val="20"/>
          <w:szCs w:val="20"/>
          <w:lang w:eastAsia="en-IE"/>
        </w:rPr>
        <w:t xml:space="preserve"> – identifying, prioritising and undertaking tree works according to categorised level of risk</w:t>
      </w:r>
    </w:p>
    <w:p w:rsidR="00496FBA" w:rsidRDefault="00496FBA" w:rsidP="00496FBA">
      <w:p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</w:p>
    <w:p w:rsidR="00E70BE9" w:rsidRPr="00E70BE9" w:rsidRDefault="00E70BE9" w:rsidP="00496FBA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IE"/>
        </w:rPr>
      </w:pPr>
      <w:r w:rsidRPr="00E70BE9">
        <w:rPr>
          <w:rFonts w:ascii="Arial" w:eastAsia="Times New Roman" w:hAnsi="Arial" w:cs="Arial"/>
          <w:b/>
          <w:sz w:val="24"/>
          <w:szCs w:val="24"/>
          <w:u w:val="single"/>
          <w:lang w:eastAsia="en-IE"/>
        </w:rPr>
        <w:t>Action Plan Update</w:t>
      </w:r>
    </w:p>
    <w:p w:rsidR="00E70BE9" w:rsidRDefault="00E70BE9" w:rsidP="00496FBA">
      <w:p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</w:p>
    <w:p w:rsidR="007D659A" w:rsidRDefault="007D659A" w:rsidP="00496FBA">
      <w:p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  <w:r w:rsidRPr="00496FBA">
        <w:rPr>
          <w:rFonts w:ascii="Arial" w:eastAsia="Times New Roman" w:hAnsi="Arial" w:cs="Arial"/>
          <w:sz w:val="20"/>
          <w:szCs w:val="20"/>
          <w:lang w:eastAsia="en-IE"/>
        </w:rPr>
        <w:t>The Tree Management Policy incorporates an Action Plan to support and deliver progress against policy’s the vision and aims.  The plan identifies a number of key actions, responsibilities and timescales for delivery over the period 2015-2020.  The current status for actions identified for delivery in the period 2015-2017 is as follows:</w:t>
      </w:r>
    </w:p>
    <w:p w:rsidR="00E70BE9" w:rsidRPr="00496FBA" w:rsidRDefault="00E70BE9" w:rsidP="00496FBA">
      <w:pPr>
        <w:jc w:val="both"/>
        <w:rPr>
          <w:rFonts w:ascii="Arial" w:eastAsia="Times New Roman" w:hAnsi="Arial" w:cs="Arial"/>
          <w:sz w:val="20"/>
          <w:szCs w:val="20"/>
          <w:lang w:eastAsia="en-IE"/>
        </w:rPr>
      </w:pPr>
    </w:p>
    <w:p w:rsidR="007D659A" w:rsidRDefault="007D659A" w:rsidP="007D65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579"/>
        <w:gridCol w:w="2342"/>
        <w:gridCol w:w="1263"/>
        <w:gridCol w:w="2027"/>
      </w:tblGrid>
      <w:tr w:rsidR="007D659A" w:rsidRPr="002E6BDE" w:rsidTr="007D659A">
        <w:tc>
          <w:tcPr>
            <w:tcW w:w="8968" w:type="dxa"/>
            <w:gridSpan w:val="5"/>
          </w:tcPr>
          <w:p w:rsidR="007D659A" w:rsidRPr="002E6BDE" w:rsidRDefault="007D659A" w:rsidP="00F765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 w:rsidRPr="002E6BDE">
              <w:rPr>
                <w:rFonts w:ascii="Arial,Bold" w:hAnsi="Arial,Bold" w:cs="Arial,Bold"/>
                <w:b/>
                <w:bCs/>
                <w:color w:val="999999"/>
                <w:sz w:val="28"/>
                <w:szCs w:val="28"/>
              </w:rPr>
              <w:t xml:space="preserve">Objective 1 - </w:t>
            </w:r>
            <w:r w:rsidRPr="002E6BDE"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  <w:t>To establish the current position with regard to street trees in the County</w:t>
            </w:r>
          </w:p>
          <w:p w:rsidR="007D659A" w:rsidRPr="002E6BDE" w:rsidRDefault="007D659A" w:rsidP="00F765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</w:tc>
      </w:tr>
      <w:tr w:rsidR="007D659A" w:rsidRPr="002E6BDE" w:rsidTr="007D659A">
        <w:tc>
          <w:tcPr>
            <w:tcW w:w="75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Ref</w:t>
            </w:r>
          </w:p>
        </w:tc>
        <w:tc>
          <w:tcPr>
            <w:tcW w:w="2579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Action</w:t>
            </w:r>
          </w:p>
        </w:tc>
        <w:tc>
          <w:tcPr>
            <w:tcW w:w="2342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Measurement</w:t>
            </w:r>
          </w:p>
        </w:tc>
        <w:tc>
          <w:tcPr>
            <w:tcW w:w="126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Timeframe</w:t>
            </w:r>
          </w:p>
        </w:tc>
        <w:tc>
          <w:tcPr>
            <w:tcW w:w="202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Status</w:t>
            </w:r>
          </w:p>
        </w:tc>
      </w:tr>
      <w:tr w:rsidR="007D659A" w:rsidRPr="002E6BDE" w:rsidTr="007D659A">
        <w:tc>
          <w:tcPr>
            <w:tcW w:w="75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2579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Evaluate and purchase a tree management system</w:t>
            </w:r>
          </w:p>
        </w:tc>
        <w:tc>
          <w:tcPr>
            <w:tcW w:w="2342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Purchase and use of system</w:t>
            </w:r>
          </w:p>
        </w:tc>
        <w:tc>
          <w:tcPr>
            <w:tcW w:w="126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202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Procurement process complete and contract for supply of system has been awarded.</w:t>
            </w:r>
          </w:p>
        </w:tc>
      </w:tr>
      <w:tr w:rsidR="007D659A" w:rsidRPr="002E6BDE" w:rsidTr="007D659A">
        <w:tc>
          <w:tcPr>
            <w:tcW w:w="75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2579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 xml:space="preserve">Survey all street trees in County and collate all data on computerised tree management system </w:t>
            </w:r>
          </w:p>
        </w:tc>
        <w:tc>
          <w:tcPr>
            <w:tcW w:w="2342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Number of trees surveyed</w:t>
            </w:r>
          </w:p>
        </w:tc>
        <w:tc>
          <w:tcPr>
            <w:tcW w:w="126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2015-2020</w:t>
            </w:r>
          </w:p>
        </w:tc>
        <w:tc>
          <w:tcPr>
            <w:tcW w:w="202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Survey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 commenced in March 2015. Over 13</w:t>
            </w: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,000 trees surveyed to date</w:t>
            </w:r>
          </w:p>
        </w:tc>
      </w:tr>
      <w:tr w:rsidR="007D659A" w:rsidRPr="002E6BDE" w:rsidTr="007D659A">
        <w:tc>
          <w:tcPr>
            <w:tcW w:w="75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 xml:space="preserve">1.3 </w:t>
            </w:r>
          </w:p>
        </w:tc>
        <w:tc>
          <w:tcPr>
            <w:tcW w:w="2579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Prepare a system for the ongoing update of street trees data in a spatial format</w:t>
            </w:r>
          </w:p>
        </w:tc>
        <w:tc>
          <w:tcPr>
            <w:tcW w:w="2342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Real time availability of information on street tree location, number, condition and maintenance history</w:t>
            </w:r>
          </w:p>
        </w:tc>
        <w:tc>
          <w:tcPr>
            <w:tcW w:w="126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2020</w:t>
            </w:r>
          </w:p>
        </w:tc>
        <w:tc>
          <w:tcPr>
            <w:tcW w:w="202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2579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 xml:space="preserve">Use the CAVAT system to value all </w:t>
            </w:r>
            <w:smartTag w:uri="urn:schemas-microsoft-com:office:smarttags" w:element="address">
              <w:smartTag w:uri="urn:schemas-microsoft-com:office:smarttags" w:element="Street">
                <w:r w:rsidRPr="002E6BDE">
                  <w:rPr>
                    <w:rFonts w:ascii="Arial" w:hAnsi="Arial" w:cs="Arial"/>
                    <w:bCs/>
                    <w:sz w:val="20"/>
                    <w:szCs w:val="20"/>
                  </w:rPr>
                  <w:t>Council street</w:t>
                </w:r>
              </w:smartTag>
            </w:smartTag>
            <w:r w:rsidRPr="002E6BDE">
              <w:rPr>
                <w:rFonts w:ascii="Arial" w:hAnsi="Arial" w:cs="Arial"/>
                <w:bCs/>
                <w:sz w:val="20"/>
                <w:szCs w:val="20"/>
              </w:rPr>
              <w:t xml:space="preserve"> trees and use this information to assist in the management of the tree stock</w:t>
            </w:r>
          </w:p>
        </w:tc>
        <w:tc>
          <w:tcPr>
            <w:tcW w:w="2342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8"/>
                <w:szCs w:val="28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All trees have accurate CAVAT value</w:t>
            </w:r>
          </w:p>
        </w:tc>
        <w:tc>
          <w:tcPr>
            <w:tcW w:w="126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2020</w:t>
            </w:r>
          </w:p>
        </w:tc>
        <w:tc>
          <w:tcPr>
            <w:tcW w:w="202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2579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Review existing Tree Preservation Orders in the county</w:t>
            </w:r>
          </w:p>
        </w:tc>
        <w:tc>
          <w:tcPr>
            <w:tcW w:w="2342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Annual Review</w:t>
            </w:r>
          </w:p>
        </w:tc>
        <w:tc>
          <w:tcPr>
            <w:tcW w:w="126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Ongoing</w:t>
            </w:r>
          </w:p>
        </w:tc>
        <w:tc>
          <w:tcPr>
            <w:tcW w:w="2027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Ongoing as part of the planning process by Public </w:t>
            </w: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lastRenderedPageBreak/>
              <w:t>Realm in conjunction with Planning Section</w:t>
            </w:r>
          </w:p>
        </w:tc>
      </w:tr>
    </w:tbl>
    <w:p w:rsidR="007D659A" w:rsidRDefault="007D659A" w:rsidP="007D659A">
      <w:pPr>
        <w:autoSpaceDE w:val="0"/>
        <w:autoSpaceDN w:val="0"/>
        <w:adjustRightInd w:val="0"/>
        <w:rPr>
          <w:rFonts w:ascii="Arial,Bold" w:hAnsi="Arial,Bold" w:cs="Arial,Bold"/>
          <w:bCs/>
          <w:sz w:val="28"/>
          <w:szCs w:val="28"/>
        </w:rPr>
      </w:pPr>
    </w:p>
    <w:p w:rsidR="007D659A" w:rsidRDefault="007D659A" w:rsidP="007D659A">
      <w:pPr>
        <w:autoSpaceDE w:val="0"/>
        <w:autoSpaceDN w:val="0"/>
        <w:adjustRightInd w:val="0"/>
        <w:rPr>
          <w:rFonts w:ascii="Arial,Bold" w:hAnsi="Arial,Bold" w:cs="Arial,Bold"/>
          <w:bCs/>
          <w:sz w:val="28"/>
          <w:szCs w:val="28"/>
        </w:rPr>
      </w:pPr>
    </w:p>
    <w:p w:rsidR="007D659A" w:rsidRPr="00C029DE" w:rsidRDefault="007D659A" w:rsidP="007D659A">
      <w:pPr>
        <w:autoSpaceDE w:val="0"/>
        <w:autoSpaceDN w:val="0"/>
        <w:adjustRightInd w:val="0"/>
        <w:rPr>
          <w:rFonts w:ascii="Arial,Bold" w:hAnsi="Arial,Bold" w:cs="Arial,Bold"/>
          <w:bCs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564"/>
        <w:gridCol w:w="2346"/>
        <w:gridCol w:w="1273"/>
        <w:gridCol w:w="1985"/>
      </w:tblGrid>
      <w:tr w:rsidR="007D659A" w:rsidRPr="002E6BDE" w:rsidTr="007D659A">
        <w:tc>
          <w:tcPr>
            <w:tcW w:w="8926" w:type="dxa"/>
            <w:gridSpan w:val="5"/>
          </w:tcPr>
          <w:p w:rsidR="007D659A" w:rsidRPr="002E6BDE" w:rsidRDefault="007D659A" w:rsidP="00F765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 w:rsidRPr="002E6BDE"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  <w:t>Objective 2 - To implement a proactive tree management programme</w:t>
            </w:r>
          </w:p>
          <w:p w:rsidR="007D659A" w:rsidRPr="002E6BDE" w:rsidRDefault="007D659A" w:rsidP="00F765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</w:tc>
      </w:tr>
      <w:tr w:rsidR="001A545C" w:rsidRPr="002E6BDE" w:rsidTr="007D659A">
        <w:tc>
          <w:tcPr>
            <w:tcW w:w="758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Ref</w:t>
            </w:r>
          </w:p>
        </w:tc>
        <w:tc>
          <w:tcPr>
            <w:tcW w:w="2564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Action</w:t>
            </w:r>
          </w:p>
        </w:tc>
        <w:tc>
          <w:tcPr>
            <w:tcW w:w="2346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Measurement</w:t>
            </w:r>
          </w:p>
        </w:tc>
        <w:tc>
          <w:tcPr>
            <w:tcW w:w="1273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Timeframe</w:t>
            </w:r>
          </w:p>
        </w:tc>
        <w:tc>
          <w:tcPr>
            <w:tcW w:w="1985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Status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Ensure tree maintenance is completed in a safe  manner in accordance with recognised standards and best practice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Ongoing development and training of all Council staff involved in tree work</w:t>
            </w:r>
          </w:p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Employment of qualified, trained, competent  contractors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Ongoing</w:t>
            </w:r>
          </w:p>
        </w:tc>
        <w:tc>
          <w:tcPr>
            <w:tcW w:w="1985" w:type="dxa"/>
          </w:tcPr>
          <w:p w:rsidR="007D659A" w:rsidRDefault="007D659A" w:rsidP="007D659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Training and upskilling of staff ongoing</w:t>
            </w:r>
          </w:p>
          <w:p w:rsidR="00D307CC" w:rsidRDefault="00D307CC" w:rsidP="007D659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:rsidR="00D307CC" w:rsidRDefault="00D307CC" w:rsidP="007D659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  <w:p w:rsidR="00D307CC" w:rsidRPr="002E6BDE" w:rsidRDefault="00D307CC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Suitably qualified external contractors engaged as necessary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Use the Council’s planning powers to retain and protect trees on</w:t>
            </w:r>
          </w:p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development sites and enforce as necessary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Annual review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Ongoing as part of the planning process by Public Realm in conjunction with Planning Section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Maximise the recycling of tree related  green waste generated</w:t>
            </w:r>
          </w:p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E6BDE">
              <w:rPr>
                <w:rFonts w:ascii="Arial" w:hAnsi="Arial" w:cs="Arial"/>
                <w:sz w:val="20"/>
                <w:szCs w:val="20"/>
              </w:rPr>
              <w:t>by</w:t>
            </w:r>
            <w:proofErr w:type="gramEnd"/>
            <w:r w:rsidRPr="002E6BDE">
              <w:rPr>
                <w:rFonts w:ascii="Arial" w:hAnsi="Arial" w:cs="Arial"/>
                <w:sz w:val="20"/>
                <w:szCs w:val="20"/>
              </w:rPr>
              <w:t xml:space="preserve"> the Council’s own tree management.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Annual review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Ongoing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Ongoing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Establish guidelines  to prioritise maintenance work on street trees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 xml:space="preserve">Guidelines in place and used 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D1805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Guidelines set out and in use as per Tree Management Policy ‘Living With Trees’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Develop a 5 year cyclical tree maintenance programme for street trees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 xml:space="preserve">Publish programme on Council’s website 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3 year rolling </w:t>
            </w:r>
            <w:r w:rsidR="00C4665F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tree maintenance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programme for 2017-2019 in operation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 xml:space="preserve">Develop best practice protocol for tree maintenance works and nesting birds 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Protocol agreed and in practice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1985" w:type="dxa"/>
          </w:tcPr>
          <w:p w:rsidR="007D659A" w:rsidRPr="002E6BDE" w:rsidRDefault="00C466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Draft document prepared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2.7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Provide staff training in tree survey and inspection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Training completed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1985" w:type="dxa"/>
          </w:tcPr>
          <w:p w:rsidR="007D659A" w:rsidRPr="002E6BDE" w:rsidRDefault="00C466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Training completed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2.8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Develop a quality standard specification for assessment of tree maintenance works post completion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Quality standard completed and in use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2.9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Develop an annual tree planting programme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Number of trees planted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562B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300 new trees planted in winter 2016.  </w:t>
            </w:r>
            <w:r w:rsidR="00D307CC">
              <w:rPr>
                <w:rFonts w:ascii="Arial" w:hAnsi="Arial" w:cs="Arial"/>
                <w:bCs/>
                <w:sz w:val="20"/>
                <w:szCs w:val="20"/>
              </w:rPr>
              <w:t xml:space="preserve">Approx.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1,500 new trees planted in winter 2017/spring 2018.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Develop tree planting and management guidelines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Guidelines in place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2.11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Monitor the removal of street trees and ensure that new trees are proposed.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Annual review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496FBA" w:rsidP="007132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Statistics for tree removal and tree planting reported and monitored on a monthly basis 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2.12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Work with a range of partners agree procedures and develop protocols to secure active protection of Council-owned trees from avoidable damage caused by the activities of</w:t>
            </w:r>
          </w:p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E6BDE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2E6BDE">
              <w:rPr>
                <w:rFonts w:ascii="Arial" w:hAnsi="Arial" w:cs="Arial"/>
                <w:sz w:val="20"/>
                <w:szCs w:val="20"/>
              </w:rPr>
              <w:t xml:space="preserve"> agencies.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Procedures and protocols agreed and in practice with internal Council Departments and external agencies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2.13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Develop a protocol for resolving issues where tree roots are in conflict with the built environment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Procedures and protocols developed and in practice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2.14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Develop a protocol for maintenance and management of trees along riverbanks &amp; watercourses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Procedures and protocols developed and in practice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2.15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 xml:space="preserve">Develop protocols for dealing with trees and utilities in consultation with the main utility providers 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Procedures and protocols agreed and in practice with utility providers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2.16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Pilot a community based leaf composting project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Project in place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985" w:type="dxa"/>
          </w:tcPr>
          <w:p w:rsidR="007D659A" w:rsidRPr="002E6BDE" w:rsidRDefault="00494AAF" w:rsidP="00494A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Information provided and discussion with community groups in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Clondalkin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Rathfarnham 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2.17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Pilot a tree replacement programme in an urban street setting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Agree area and complete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2017</w:t>
            </w:r>
          </w:p>
        </w:tc>
        <w:tc>
          <w:tcPr>
            <w:tcW w:w="1985" w:type="dxa"/>
          </w:tcPr>
          <w:p w:rsidR="007D659A" w:rsidRPr="002E6BDE" w:rsidRDefault="00D307CC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proposals in preparation for St. Joseph’s Road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2.18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 xml:space="preserve">Document a list of the significant trees of </w:t>
            </w:r>
            <w:smartTag w:uri="urn:schemas-microsoft-com:office:smarttags" w:element="place">
              <w:r w:rsidRPr="002E6BDE">
                <w:rPr>
                  <w:rFonts w:ascii="Arial" w:hAnsi="Arial" w:cs="Arial"/>
                  <w:sz w:val="20"/>
                  <w:szCs w:val="20"/>
                </w:rPr>
                <w:t>South Dublin</w:t>
              </w:r>
            </w:smartTag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List established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2.19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Develop a tree risk management system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System developed and in place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2018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2.20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Present annual review of Tree Management Policy Action Plan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Annual Review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completed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Annually 2016-2020</w:t>
            </w:r>
          </w:p>
        </w:tc>
        <w:tc>
          <w:tcPr>
            <w:tcW w:w="1985" w:type="dxa"/>
          </w:tcPr>
          <w:p w:rsidR="007D659A" w:rsidRPr="002E6BDE" w:rsidRDefault="00D307CC" w:rsidP="004E60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Updates on 2016 Tree Management presented to ACMs in March 2017.   Updates on 2017 </w:t>
            </w:r>
            <w:r w:rsidR="004E6088">
              <w:rPr>
                <w:rFonts w:ascii="Arial" w:hAnsi="Arial" w:cs="Arial"/>
                <w:sz w:val="20"/>
                <w:szCs w:val="20"/>
              </w:rPr>
              <w:t>Tree Management presented to ACMs in December 2017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2.21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Undertake a mid-term review of the Tree Management Policy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Mid-term review completed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985" w:type="dxa"/>
          </w:tcPr>
          <w:p w:rsidR="007D659A" w:rsidRPr="002E6BDE" w:rsidRDefault="00562B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commencing February 2018</w:t>
            </w:r>
          </w:p>
        </w:tc>
      </w:tr>
      <w:tr w:rsidR="007D659A" w:rsidRPr="002E6BDE" w:rsidTr="007D659A">
        <w:tc>
          <w:tcPr>
            <w:tcW w:w="75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2.22</w:t>
            </w:r>
          </w:p>
        </w:tc>
        <w:tc>
          <w:tcPr>
            <w:tcW w:w="2564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Undertake review of Tree Management Policy 2015-2020 and draft new 5 year Tree Management Policy</w:t>
            </w:r>
          </w:p>
        </w:tc>
        <w:tc>
          <w:tcPr>
            <w:tcW w:w="23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Year Review completed</w:t>
            </w:r>
          </w:p>
        </w:tc>
        <w:tc>
          <w:tcPr>
            <w:tcW w:w="1273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98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659A" w:rsidRPr="00334F65" w:rsidRDefault="007D659A" w:rsidP="007D659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D659A" w:rsidRPr="00334F65" w:rsidRDefault="007D659A" w:rsidP="007D659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D659A" w:rsidRDefault="007D659A" w:rsidP="007D659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2268"/>
        <w:gridCol w:w="1276"/>
        <w:gridCol w:w="2075"/>
      </w:tblGrid>
      <w:tr w:rsidR="007D659A" w:rsidRPr="002E6BDE" w:rsidTr="00C4665F">
        <w:tc>
          <w:tcPr>
            <w:tcW w:w="9016" w:type="dxa"/>
            <w:gridSpan w:val="5"/>
          </w:tcPr>
          <w:p w:rsidR="007D659A" w:rsidRPr="002E6BDE" w:rsidRDefault="007D659A" w:rsidP="00F765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</w:pPr>
            <w:r w:rsidRPr="002E6BDE">
              <w:rPr>
                <w:rFonts w:ascii="Arial" w:hAnsi="Arial" w:cs="Arial"/>
                <w:b/>
                <w:bCs/>
                <w:color w:val="999999"/>
                <w:sz w:val="28"/>
                <w:szCs w:val="28"/>
              </w:rPr>
              <w:t>Objective 3 - Prepare and implement a public awareness and education tree programme</w:t>
            </w:r>
          </w:p>
          <w:p w:rsidR="007D659A" w:rsidRPr="002E6BDE" w:rsidRDefault="007D659A" w:rsidP="00F7651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</w:tc>
      </w:tr>
      <w:tr w:rsidR="001A545C" w:rsidRPr="002E6BDE" w:rsidTr="00C4665F">
        <w:tc>
          <w:tcPr>
            <w:tcW w:w="846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Ref</w:t>
            </w:r>
          </w:p>
        </w:tc>
        <w:tc>
          <w:tcPr>
            <w:tcW w:w="2551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Action</w:t>
            </w:r>
          </w:p>
        </w:tc>
        <w:tc>
          <w:tcPr>
            <w:tcW w:w="2268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E6BD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Measurement</w:t>
            </w:r>
          </w:p>
        </w:tc>
        <w:tc>
          <w:tcPr>
            <w:tcW w:w="1276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Timeframe</w:t>
            </w:r>
          </w:p>
        </w:tc>
        <w:tc>
          <w:tcPr>
            <w:tcW w:w="2075" w:type="dxa"/>
          </w:tcPr>
          <w:p w:rsidR="001A545C" w:rsidRPr="002E6BDE" w:rsidRDefault="001A545C" w:rsidP="001A54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Status</w:t>
            </w:r>
          </w:p>
        </w:tc>
      </w:tr>
      <w:tr w:rsidR="007D659A" w:rsidRPr="002E6BDE" w:rsidTr="00C4665F">
        <w:tc>
          <w:tcPr>
            <w:tcW w:w="8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2551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sz w:val="20"/>
                <w:szCs w:val="20"/>
              </w:rPr>
              <w:t>Develop a ‘Trees’ webpage on the Council’s website www.sdcc.ie</w:t>
            </w:r>
          </w:p>
        </w:tc>
        <w:tc>
          <w:tcPr>
            <w:tcW w:w="226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Webpage in place and maintained</w:t>
            </w:r>
          </w:p>
        </w:tc>
        <w:tc>
          <w:tcPr>
            <w:tcW w:w="127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2075" w:type="dxa"/>
          </w:tcPr>
          <w:p w:rsidR="007D659A" w:rsidRDefault="002E054E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hyperlink r:id="rId5" w:history="1">
              <w:r w:rsidR="00C4665F" w:rsidRPr="00AB3B2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http://www.sdcc.ie/services/parks-and-recreation/tree-management</w:t>
              </w:r>
            </w:hyperlink>
            <w:r w:rsidR="00C4665F">
              <w:rPr>
                <w:rFonts w:ascii="Arial" w:hAnsi="Arial" w:cs="Arial"/>
                <w:bCs/>
                <w:sz w:val="20"/>
                <w:szCs w:val="20"/>
              </w:rPr>
              <w:t xml:space="preserve">    in place and maintained</w:t>
            </w:r>
          </w:p>
          <w:p w:rsidR="00C4665F" w:rsidRPr="002E6BDE" w:rsidRDefault="00C466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C4665F">
        <w:tc>
          <w:tcPr>
            <w:tcW w:w="8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2551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Make tree maintenance programme available on website</w:t>
            </w:r>
          </w:p>
        </w:tc>
        <w:tc>
          <w:tcPr>
            <w:tcW w:w="226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Information available on website</w:t>
            </w:r>
          </w:p>
        </w:tc>
        <w:tc>
          <w:tcPr>
            <w:tcW w:w="127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2075" w:type="dxa"/>
          </w:tcPr>
          <w:p w:rsidR="007D659A" w:rsidRPr="002E6BDE" w:rsidRDefault="00C466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Information available on website</w:t>
            </w:r>
          </w:p>
        </w:tc>
      </w:tr>
      <w:tr w:rsidR="007D659A" w:rsidRPr="002E6BDE" w:rsidTr="00C4665F">
        <w:tc>
          <w:tcPr>
            <w:tcW w:w="8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3.3</w:t>
            </w:r>
          </w:p>
        </w:tc>
        <w:tc>
          <w:tcPr>
            <w:tcW w:w="2551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Promote Tree week and Tree day in association with the Tree Council of Ireland</w:t>
            </w:r>
          </w:p>
        </w:tc>
        <w:tc>
          <w:tcPr>
            <w:tcW w:w="226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No. of Tree week &amp; Tree Day activities organised each year</w:t>
            </w:r>
          </w:p>
        </w:tc>
        <w:tc>
          <w:tcPr>
            <w:tcW w:w="127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ongoing</w:t>
            </w:r>
          </w:p>
        </w:tc>
        <w:tc>
          <w:tcPr>
            <w:tcW w:w="2075" w:type="dxa"/>
          </w:tcPr>
          <w:p w:rsidR="007D659A" w:rsidRPr="002E6BDE" w:rsidRDefault="00562B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Programme of activities arranged annually</w:t>
            </w:r>
          </w:p>
        </w:tc>
      </w:tr>
      <w:tr w:rsidR="007D659A" w:rsidRPr="002E6BDE" w:rsidTr="00C4665F">
        <w:tc>
          <w:tcPr>
            <w:tcW w:w="8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3.4</w:t>
            </w:r>
          </w:p>
        </w:tc>
        <w:tc>
          <w:tcPr>
            <w:tcW w:w="2551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Prepare feasibility study for sponsored tree planting</w:t>
            </w:r>
          </w:p>
        </w:tc>
        <w:tc>
          <w:tcPr>
            <w:tcW w:w="226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Plan completed</w:t>
            </w:r>
          </w:p>
        </w:tc>
        <w:tc>
          <w:tcPr>
            <w:tcW w:w="127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2017</w:t>
            </w:r>
          </w:p>
        </w:tc>
        <w:tc>
          <w:tcPr>
            <w:tcW w:w="2075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659A" w:rsidRPr="002E6BDE" w:rsidTr="00C4665F">
        <w:tc>
          <w:tcPr>
            <w:tcW w:w="84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3.5</w:t>
            </w:r>
          </w:p>
        </w:tc>
        <w:tc>
          <w:tcPr>
            <w:tcW w:w="2551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Develop tree trails in each of the regional parks</w:t>
            </w:r>
          </w:p>
        </w:tc>
        <w:tc>
          <w:tcPr>
            <w:tcW w:w="2268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Tree trails in parks</w:t>
            </w:r>
          </w:p>
        </w:tc>
        <w:tc>
          <w:tcPr>
            <w:tcW w:w="1276" w:type="dxa"/>
          </w:tcPr>
          <w:p w:rsidR="007D659A" w:rsidRPr="002E6BDE" w:rsidRDefault="007D659A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6BDE">
              <w:rPr>
                <w:rFonts w:ascii="Arial" w:hAnsi="Arial" w:cs="Arial"/>
                <w:bCs/>
                <w:sz w:val="20"/>
                <w:szCs w:val="20"/>
              </w:rPr>
              <w:t>2017</w:t>
            </w:r>
          </w:p>
        </w:tc>
        <w:tc>
          <w:tcPr>
            <w:tcW w:w="2075" w:type="dxa"/>
          </w:tcPr>
          <w:p w:rsidR="007D659A" w:rsidRPr="002E6BDE" w:rsidRDefault="00562B5F" w:rsidP="007D6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Development of tree trails in progress for Dodder Valley Park and Sean Walsh Park</w:t>
            </w:r>
          </w:p>
        </w:tc>
      </w:tr>
    </w:tbl>
    <w:p w:rsidR="007D659A" w:rsidRDefault="007D659A" w:rsidP="007D659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D659A" w:rsidRPr="00FD1805" w:rsidRDefault="007D659A" w:rsidP="007D659A">
      <w:pPr>
        <w:rPr>
          <w:rFonts w:ascii="Arial" w:hAnsi="Arial" w:cs="Arial"/>
          <w:sz w:val="20"/>
          <w:szCs w:val="20"/>
        </w:rPr>
      </w:pPr>
    </w:p>
    <w:p w:rsidR="007D659A" w:rsidRPr="00D307CC" w:rsidRDefault="007D659A">
      <w:pPr>
        <w:rPr>
          <w:rFonts w:ascii="Arial" w:hAnsi="Arial" w:cs="Arial"/>
          <w:sz w:val="20"/>
          <w:szCs w:val="20"/>
        </w:rPr>
      </w:pPr>
    </w:p>
    <w:p w:rsidR="00E70BE9" w:rsidRPr="00E70BE9" w:rsidRDefault="00E70BE9" w:rsidP="00E70BE9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I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IE"/>
        </w:rPr>
        <w:t>Next Step</w:t>
      </w:r>
    </w:p>
    <w:p w:rsidR="00E70BE9" w:rsidRDefault="00E70BE9">
      <w:pPr>
        <w:rPr>
          <w:rFonts w:ascii="Arial" w:hAnsi="Arial" w:cs="Arial"/>
          <w:sz w:val="20"/>
          <w:szCs w:val="20"/>
        </w:rPr>
      </w:pPr>
    </w:p>
    <w:p w:rsidR="007D659A" w:rsidRDefault="00494AAF">
      <w:pPr>
        <w:rPr>
          <w:rFonts w:ascii="Arial" w:hAnsi="Arial" w:cs="Arial"/>
          <w:sz w:val="20"/>
          <w:szCs w:val="20"/>
        </w:rPr>
      </w:pPr>
      <w:r w:rsidRPr="00D307CC">
        <w:rPr>
          <w:rFonts w:ascii="Arial" w:hAnsi="Arial" w:cs="Arial"/>
          <w:sz w:val="20"/>
          <w:szCs w:val="20"/>
        </w:rPr>
        <w:t>In order to progress the review of t</w:t>
      </w:r>
      <w:r w:rsidR="00D307CC" w:rsidRPr="00D307CC">
        <w:rPr>
          <w:rFonts w:ascii="Arial" w:hAnsi="Arial" w:cs="Arial"/>
          <w:sz w:val="20"/>
          <w:szCs w:val="20"/>
        </w:rPr>
        <w:t xml:space="preserve">he Tree Management Policy, as a next step, it is proposed to organise a workshop for key representatives of internal Council departments to discuss issues </w:t>
      </w:r>
      <w:r w:rsidR="00D307CC">
        <w:rPr>
          <w:rFonts w:ascii="Arial" w:hAnsi="Arial" w:cs="Arial"/>
          <w:sz w:val="20"/>
          <w:szCs w:val="20"/>
        </w:rPr>
        <w:t xml:space="preserve">proposed </w:t>
      </w:r>
      <w:r w:rsidR="00D307CC" w:rsidRPr="00D307CC">
        <w:rPr>
          <w:rFonts w:ascii="Arial" w:hAnsi="Arial" w:cs="Arial"/>
          <w:sz w:val="20"/>
          <w:szCs w:val="20"/>
        </w:rPr>
        <w:t>for review</w:t>
      </w:r>
      <w:r w:rsidR="00D307CC">
        <w:rPr>
          <w:rFonts w:ascii="Arial" w:hAnsi="Arial" w:cs="Arial"/>
          <w:sz w:val="20"/>
          <w:szCs w:val="20"/>
        </w:rPr>
        <w:t xml:space="preserve">.  </w:t>
      </w:r>
    </w:p>
    <w:p w:rsidR="00134611" w:rsidRDefault="00134611">
      <w:pPr>
        <w:rPr>
          <w:rFonts w:ascii="Arial" w:hAnsi="Arial" w:cs="Arial"/>
          <w:sz w:val="20"/>
          <w:szCs w:val="20"/>
        </w:rPr>
      </w:pPr>
    </w:p>
    <w:p w:rsidR="00134611" w:rsidRDefault="00134611">
      <w:pPr>
        <w:rPr>
          <w:rFonts w:ascii="Arial" w:hAnsi="Arial" w:cs="Arial"/>
          <w:sz w:val="20"/>
          <w:szCs w:val="20"/>
        </w:rPr>
      </w:pPr>
    </w:p>
    <w:p w:rsidR="00134611" w:rsidRDefault="00134611">
      <w:pPr>
        <w:rPr>
          <w:rFonts w:ascii="Arial" w:hAnsi="Arial" w:cs="Arial"/>
          <w:sz w:val="20"/>
          <w:szCs w:val="20"/>
        </w:rPr>
      </w:pPr>
    </w:p>
    <w:p w:rsidR="00134611" w:rsidRDefault="00134611">
      <w:pPr>
        <w:rPr>
          <w:rFonts w:ascii="Arial" w:hAnsi="Arial" w:cs="Arial"/>
          <w:sz w:val="20"/>
          <w:szCs w:val="20"/>
        </w:rPr>
      </w:pPr>
    </w:p>
    <w:p w:rsidR="007D659A" w:rsidRDefault="007D659A"/>
    <w:p w:rsidR="007D659A" w:rsidRDefault="007D659A"/>
    <w:p w:rsidR="007D659A" w:rsidRDefault="007D659A"/>
    <w:p w:rsidR="007D659A" w:rsidRDefault="007D659A"/>
    <w:p w:rsidR="007D659A" w:rsidRDefault="007D659A"/>
    <w:p w:rsidR="007D659A" w:rsidRDefault="007D659A"/>
    <w:sectPr w:rsidR="007D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FJP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EAC"/>
    <w:multiLevelType w:val="hybridMultilevel"/>
    <w:tmpl w:val="0A466D1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576CD"/>
    <w:multiLevelType w:val="hybridMultilevel"/>
    <w:tmpl w:val="EF52C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47D7E"/>
    <w:multiLevelType w:val="hybridMultilevel"/>
    <w:tmpl w:val="3906ED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80129"/>
    <w:multiLevelType w:val="hybridMultilevel"/>
    <w:tmpl w:val="8180953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75"/>
    <w:rsid w:val="00016DAD"/>
    <w:rsid w:val="000370A3"/>
    <w:rsid w:val="00134611"/>
    <w:rsid w:val="001578D1"/>
    <w:rsid w:val="001A545C"/>
    <w:rsid w:val="00206857"/>
    <w:rsid w:val="00271CAD"/>
    <w:rsid w:val="002E054E"/>
    <w:rsid w:val="00494AAF"/>
    <w:rsid w:val="004958EF"/>
    <w:rsid w:val="00496FBA"/>
    <w:rsid w:val="004B4ED7"/>
    <w:rsid w:val="004E6088"/>
    <w:rsid w:val="004F7E23"/>
    <w:rsid w:val="00515921"/>
    <w:rsid w:val="00562B5F"/>
    <w:rsid w:val="00655BA7"/>
    <w:rsid w:val="006707D7"/>
    <w:rsid w:val="006C7DBA"/>
    <w:rsid w:val="007132E0"/>
    <w:rsid w:val="007D659A"/>
    <w:rsid w:val="007E6FC8"/>
    <w:rsid w:val="00802DFE"/>
    <w:rsid w:val="00817014"/>
    <w:rsid w:val="00AC4407"/>
    <w:rsid w:val="00B3108F"/>
    <w:rsid w:val="00B969D2"/>
    <w:rsid w:val="00BC6C39"/>
    <w:rsid w:val="00BD5646"/>
    <w:rsid w:val="00C14FCF"/>
    <w:rsid w:val="00C27111"/>
    <w:rsid w:val="00C4665F"/>
    <w:rsid w:val="00D303EA"/>
    <w:rsid w:val="00D307CC"/>
    <w:rsid w:val="00DB6DF8"/>
    <w:rsid w:val="00E12747"/>
    <w:rsid w:val="00E16B25"/>
    <w:rsid w:val="00E70BE9"/>
    <w:rsid w:val="00FD1805"/>
    <w:rsid w:val="00FE587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677CE-F75C-44B8-B251-C271C8C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1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8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FE5875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18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665F"/>
    <w:rPr>
      <w:color w:val="0563C1" w:themeColor="hyperlink"/>
      <w:u w:val="single"/>
    </w:rPr>
  </w:style>
  <w:style w:type="paragraph" w:customStyle="1" w:styleId="Default">
    <w:name w:val="Default"/>
    <w:rsid w:val="00496FBA"/>
    <w:pPr>
      <w:autoSpaceDE w:val="0"/>
      <w:autoSpaceDN w:val="0"/>
      <w:adjustRightInd w:val="0"/>
      <w:spacing w:after="0" w:line="240" w:lineRule="auto"/>
    </w:pPr>
    <w:rPr>
      <w:rFonts w:ascii="CFJPAA+Arial,Bold" w:hAnsi="CFJPAA+Arial,Bold" w:cs="CFJPAA+Arial,Bold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496FBA"/>
    <w:rPr>
      <w:rFonts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496FBA"/>
    <w:rPr>
      <w:rFonts w:ascii="CFJPAA+Arial,Bold" w:hAnsi="CFJPAA+Arial,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dcc.ie/services/parks-and-recreation/tree-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Keenan</dc:creator>
  <cp:keywords/>
  <dc:description/>
  <cp:lastModifiedBy>Mary Keenan</cp:lastModifiedBy>
  <cp:revision>13</cp:revision>
  <cp:lastPrinted>2018-01-30T17:10:00Z</cp:lastPrinted>
  <dcterms:created xsi:type="dcterms:W3CDTF">2018-01-31T09:53:00Z</dcterms:created>
  <dcterms:modified xsi:type="dcterms:W3CDTF">2018-01-31T16:57:00Z</dcterms:modified>
</cp:coreProperties>
</file>