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7D4" w:rsidRPr="002A17D4" w:rsidRDefault="002A17D4" w:rsidP="002A17D4">
      <w:pPr>
        <w:jc w:val="center"/>
        <w:rPr>
          <w:rFonts w:eastAsiaTheme="minorEastAsia"/>
          <w:sz w:val="40"/>
          <w:szCs w:val="40"/>
          <w:lang w:eastAsia="en-IE"/>
        </w:rPr>
      </w:pPr>
      <w:r w:rsidRPr="002A17D4">
        <w:rPr>
          <w:rFonts w:eastAsiaTheme="minorEastAsia"/>
          <w:sz w:val="40"/>
          <w:szCs w:val="40"/>
          <w:lang w:eastAsia="en-IE"/>
        </w:rPr>
        <w:t>DRAFT BURIAL GROUNDS STRATEGY 2017</w:t>
      </w:r>
    </w:p>
    <w:p w:rsidR="002A17D4" w:rsidRPr="002A17D4" w:rsidRDefault="00317259" w:rsidP="002A17D4">
      <w:pPr>
        <w:rPr>
          <w:rFonts w:eastAsiaTheme="minorEastAsia"/>
          <w:b/>
          <w:color w:val="1F4E79" w:themeColor="accent1" w:themeShade="80"/>
          <w:sz w:val="24"/>
          <w:szCs w:val="24"/>
          <w:lang w:eastAsia="en-IE"/>
        </w:rPr>
      </w:pPr>
      <w:r>
        <w:rPr>
          <w:rFonts w:eastAsiaTheme="minorEastAsia"/>
          <w:b/>
          <w:color w:val="1F4E79" w:themeColor="accent1" w:themeShade="80"/>
          <w:sz w:val="24"/>
          <w:szCs w:val="24"/>
          <w:lang w:eastAsia="en-IE"/>
        </w:rPr>
        <w:t>1</w:t>
      </w:r>
      <w:r w:rsidR="005D1549" w:rsidRPr="005D1549">
        <w:rPr>
          <w:rFonts w:eastAsiaTheme="minorEastAsia"/>
          <w:b/>
          <w:color w:val="1F4E79" w:themeColor="accent1" w:themeShade="80"/>
          <w:sz w:val="24"/>
          <w:szCs w:val="24"/>
          <w:lang w:eastAsia="en-IE"/>
        </w:rPr>
        <w:t xml:space="preserve">. </w:t>
      </w:r>
      <w:r w:rsidR="002A17D4" w:rsidRPr="002A17D4">
        <w:rPr>
          <w:rFonts w:eastAsiaTheme="minorEastAsia"/>
          <w:b/>
          <w:color w:val="1F4E79" w:themeColor="accent1" w:themeShade="80"/>
          <w:sz w:val="24"/>
          <w:szCs w:val="24"/>
          <w:lang w:eastAsia="en-IE"/>
        </w:rPr>
        <w:t xml:space="preserve">Overview: </w:t>
      </w:r>
    </w:p>
    <w:p w:rsidR="002A17D4" w:rsidRPr="002A17D4" w:rsidRDefault="002A17D4" w:rsidP="002A17D4">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South Dublin County Council maintains seventeen cemeteries within its administrative area at the following locations:</w:t>
      </w: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Calibri" w:eastAsia="Calibri" w:hAnsi="Calibri" w:cs="Calibri"/>
          <w:sz w:val="24"/>
          <w:lang w:eastAsia="en-IE"/>
        </w:rPr>
      </w:pPr>
      <w:r w:rsidRPr="002A17D4">
        <w:rPr>
          <w:rFonts w:eastAsiaTheme="minorEastAsia"/>
          <w:lang w:eastAsia="en-IE"/>
        </w:rPr>
        <w:object w:dxaOrig="9273" w:dyaOrig="5831">
          <v:rect id="rectole0000000000" o:spid="_x0000_i1025" style="width:459.75pt;height:295.5pt" o:ole="" o:preferrelative="t" stroked="f">
            <v:imagedata r:id="rId5" o:title=""/>
          </v:rect>
          <o:OLEObject Type="Embed" ProgID="StaticMetafile" ShapeID="rectole0000000000" DrawAspect="Content" ObjectID="_1556468456" r:id="rId6"/>
        </w:object>
      </w:r>
    </w:p>
    <w:p w:rsidR="002A17D4" w:rsidRPr="002A17D4" w:rsidRDefault="002A17D4" w:rsidP="002A17D4">
      <w:pPr>
        <w:spacing w:after="0" w:line="240" w:lineRule="auto"/>
        <w:rPr>
          <w:rFonts w:ascii="Calibri" w:eastAsia="Calibri" w:hAnsi="Calibri" w:cs="Calibri"/>
          <w:b/>
          <w:color w:val="1F3864"/>
          <w:sz w:val="28"/>
          <w:lang w:eastAsia="en-IE"/>
        </w:rPr>
      </w:pP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Only eight of these cemeteries are under the control of the Council</w:t>
      </w:r>
      <w:r w:rsidR="00430D4A">
        <w:rPr>
          <w:rFonts w:ascii="Calibri" w:eastAsia="Calibri" w:hAnsi="Calibri" w:cs="Calibri"/>
          <w:sz w:val="24"/>
          <w:lang w:eastAsia="en-IE"/>
        </w:rPr>
        <w:t xml:space="preserve"> who </w:t>
      </w:r>
      <w:r w:rsidRPr="002A17D4">
        <w:rPr>
          <w:rFonts w:ascii="Calibri" w:eastAsia="Calibri" w:hAnsi="Calibri" w:cs="Calibri"/>
          <w:sz w:val="24"/>
          <w:lang w:eastAsia="en-IE"/>
        </w:rPr>
        <w:t>holds records for Bohernabreena, Esker, Newcastle, Saggart, Templeogue, Cruagh, Colmanstown and Brownstown</w:t>
      </w:r>
      <w:r w:rsidR="008D18E3">
        <w:rPr>
          <w:rFonts w:ascii="Calibri" w:eastAsia="Calibri" w:hAnsi="Calibri" w:cs="Calibri"/>
          <w:sz w:val="24"/>
          <w:lang w:eastAsia="en-IE"/>
        </w:rPr>
        <w:t>,</w:t>
      </w:r>
      <w:r w:rsidRPr="002A17D4">
        <w:rPr>
          <w:rFonts w:ascii="Calibri" w:eastAsia="Calibri" w:hAnsi="Calibri" w:cs="Calibri"/>
          <w:sz w:val="24"/>
          <w:lang w:eastAsia="en-IE"/>
        </w:rPr>
        <w:t xml:space="preserve"> while records in relation to the other Cemeteries are held by the relevant Parish Church Office. </w:t>
      </w: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There are grave spaces available for purchase in only the following four burial grounds;</w:t>
      </w:r>
    </w:p>
    <w:p w:rsidR="002A17D4" w:rsidRPr="002A17D4" w:rsidRDefault="002A17D4" w:rsidP="002A17D4">
      <w:pPr>
        <w:numPr>
          <w:ilvl w:val="0"/>
          <w:numId w:val="1"/>
        </w:numPr>
        <w:spacing w:after="0" w:line="240" w:lineRule="auto"/>
        <w:ind w:left="720" w:hanging="360"/>
        <w:rPr>
          <w:rFonts w:ascii="Calibri" w:eastAsia="Calibri" w:hAnsi="Calibri" w:cs="Calibri"/>
          <w:sz w:val="24"/>
          <w:lang w:eastAsia="en-IE"/>
        </w:rPr>
      </w:pPr>
      <w:r w:rsidRPr="002A17D4">
        <w:rPr>
          <w:rFonts w:ascii="Calibri" w:eastAsia="Calibri" w:hAnsi="Calibri" w:cs="Calibri"/>
          <w:sz w:val="24"/>
          <w:lang w:eastAsia="en-IE"/>
        </w:rPr>
        <w:t>Bohernabreena</w:t>
      </w:r>
    </w:p>
    <w:p w:rsidR="002A17D4" w:rsidRPr="002A17D4" w:rsidRDefault="002A17D4" w:rsidP="002A17D4">
      <w:pPr>
        <w:numPr>
          <w:ilvl w:val="0"/>
          <w:numId w:val="1"/>
        </w:numPr>
        <w:spacing w:after="0" w:line="240" w:lineRule="auto"/>
        <w:ind w:left="720" w:hanging="360"/>
        <w:rPr>
          <w:rFonts w:ascii="Calibri" w:eastAsia="Calibri" w:hAnsi="Calibri" w:cs="Calibri"/>
          <w:sz w:val="24"/>
          <w:lang w:eastAsia="en-IE"/>
        </w:rPr>
      </w:pPr>
      <w:r w:rsidRPr="002A17D4">
        <w:rPr>
          <w:rFonts w:ascii="Calibri" w:eastAsia="Calibri" w:hAnsi="Calibri" w:cs="Calibri"/>
          <w:sz w:val="24"/>
          <w:lang w:eastAsia="en-IE"/>
        </w:rPr>
        <w:t>Saggart</w:t>
      </w:r>
    </w:p>
    <w:p w:rsidR="002A17D4" w:rsidRPr="002A17D4" w:rsidRDefault="002A17D4" w:rsidP="002A17D4">
      <w:pPr>
        <w:numPr>
          <w:ilvl w:val="0"/>
          <w:numId w:val="1"/>
        </w:numPr>
        <w:spacing w:after="0" w:line="240" w:lineRule="auto"/>
        <w:ind w:left="720" w:hanging="360"/>
        <w:rPr>
          <w:rFonts w:ascii="Calibri" w:eastAsia="Calibri" w:hAnsi="Calibri" w:cs="Calibri"/>
          <w:sz w:val="24"/>
          <w:lang w:eastAsia="en-IE"/>
        </w:rPr>
      </w:pPr>
      <w:r w:rsidRPr="002A17D4">
        <w:rPr>
          <w:rFonts w:ascii="Calibri" w:eastAsia="Calibri" w:hAnsi="Calibri" w:cs="Calibri"/>
          <w:sz w:val="24"/>
          <w:lang w:eastAsia="en-IE"/>
        </w:rPr>
        <w:t xml:space="preserve">Newcastle </w:t>
      </w:r>
    </w:p>
    <w:p w:rsidR="00CB75FE" w:rsidRDefault="002A17D4" w:rsidP="002A17D4">
      <w:pPr>
        <w:numPr>
          <w:ilvl w:val="0"/>
          <w:numId w:val="1"/>
        </w:numPr>
        <w:spacing w:after="0" w:line="240" w:lineRule="auto"/>
        <w:ind w:left="720" w:hanging="360"/>
        <w:rPr>
          <w:rFonts w:ascii="Calibri" w:eastAsia="Calibri" w:hAnsi="Calibri" w:cs="Calibri"/>
          <w:sz w:val="24"/>
          <w:lang w:eastAsia="en-IE"/>
        </w:rPr>
      </w:pPr>
      <w:r w:rsidRPr="002A17D4">
        <w:rPr>
          <w:rFonts w:ascii="Calibri" w:eastAsia="Calibri" w:hAnsi="Calibri" w:cs="Calibri"/>
          <w:sz w:val="24"/>
          <w:lang w:eastAsia="en-IE"/>
        </w:rPr>
        <w:t>Esker</w:t>
      </w:r>
    </w:p>
    <w:p w:rsidR="00CB75FE" w:rsidRDefault="00CB75FE">
      <w:pPr>
        <w:rPr>
          <w:rFonts w:ascii="Calibri" w:eastAsia="Calibri" w:hAnsi="Calibri" w:cs="Calibri"/>
          <w:sz w:val="24"/>
          <w:lang w:eastAsia="en-IE"/>
        </w:rPr>
      </w:pPr>
      <w:r>
        <w:rPr>
          <w:rFonts w:ascii="Calibri" w:eastAsia="Calibri" w:hAnsi="Calibri" w:cs="Calibri"/>
          <w:sz w:val="24"/>
          <w:lang w:eastAsia="en-IE"/>
        </w:rPr>
        <w:br w:type="page"/>
      </w:r>
    </w:p>
    <w:p w:rsidR="002A17D4" w:rsidRPr="002A17D4" w:rsidRDefault="00317259" w:rsidP="002A17D4">
      <w:pPr>
        <w:spacing w:after="0" w:line="240" w:lineRule="auto"/>
        <w:rPr>
          <w:rFonts w:ascii="Calibri" w:eastAsia="Calibri" w:hAnsi="Calibri" w:cs="Calibri"/>
          <w:b/>
          <w:sz w:val="28"/>
          <w:lang w:eastAsia="en-IE"/>
        </w:rPr>
      </w:pPr>
      <w:r>
        <w:rPr>
          <w:rFonts w:ascii="Calibri" w:eastAsia="Calibri" w:hAnsi="Calibri" w:cs="Calibri"/>
          <w:b/>
          <w:color w:val="004DBB"/>
          <w:sz w:val="28"/>
          <w:lang w:eastAsia="en-IE"/>
        </w:rPr>
        <w:lastRenderedPageBreak/>
        <w:t>2</w:t>
      </w:r>
      <w:r w:rsidR="002A17D4" w:rsidRPr="002A17D4">
        <w:rPr>
          <w:rFonts w:ascii="Calibri" w:eastAsia="Calibri" w:hAnsi="Calibri" w:cs="Calibri"/>
          <w:b/>
          <w:color w:val="004DBB"/>
          <w:sz w:val="28"/>
          <w:lang w:eastAsia="en-IE"/>
        </w:rPr>
        <w:t>. Main Cemeteries</w:t>
      </w:r>
    </w:p>
    <w:p w:rsidR="002A17D4" w:rsidRPr="002A17D4" w:rsidRDefault="002A17D4" w:rsidP="002A17D4">
      <w:pPr>
        <w:spacing w:after="0" w:line="240" w:lineRule="auto"/>
        <w:rPr>
          <w:rFonts w:ascii="Times New Roman" w:eastAsia="Times New Roman" w:hAnsi="Times New Roman" w:cs="Times New Roman"/>
          <w:b/>
          <w:sz w:val="24"/>
          <w:lang w:eastAsia="en-IE"/>
        </w:rPr>
      </w:pPr>
    </w:p>
    <w:p w:rsidR="002A17D4" w:rsidRPr="002A17D4" w:rsidRDefault="00317259" w:rsidP="002A17D4">
      <w:pPr>
        <w:spacing w:after="0" w:line="240" w:lineRule="auto"/>
        <w:rPr>
          <w:rFonts w:ascii="Calibri" w:eastAsia="Calibri" w:hAnsi="Calibri" w:cs="Calibri"/>
          <w:sz w:val="24"/>
          <w:lang w:eastAsia="en-IE"/>
        </w:rPr>
      </w:pPr>
      <w:r>
        <w:rPr>
          <w:rFonts w:ascii="Calibri" w:eastAsia="Calibri" w:hAnsi="Calibri" w:cs="Calibri"/>
          <w:b/>
          <w:sz w:val="24"/>
          <w:lang w:eastAsia="en-IE"/>
        </w:rPr>
        <w:t>2</w:t>
      </w:r>
      <w:r w:rsidR="002A17D4" w:rsidRPr="002A17D4">
        <w:rPr>
          <w:rFonts w:ascii="Calibri" w:eastAsia="Calibri" w:hAnsi="Calibri" w:cs="Calibri"/>
          <w:b/>
          <w:sz w:val="24"/>
          <w:lang w:eastAsia="en-IE"/>
        </w:rPr>
        <w:t xml:space="preserve">.1 Bohernabreena Cemetery </w:t>
      </w:r>
      <w:r w:rsidR="002A17D4" w:rsidRPr="002A17D4">
        <w:rPr>
          <w:rFonts w:ascii="Calibri" w:eastAsia="Calibri" w:hAnsi="Calibri" w:cs="Calibri"/>
          <w:sz w:val="24"/>
          <w:lang w:eastAsia="en-IE"/>
        </w:rPr>
        <w:t xml:space="preserve">(St. Joseph’s) was established in 1943 and is situated on the edge of the suburban area of Tallaght on the R113 Bohernabreena Road.   It is the largest Cemetery under the control of South Dublin County Council.  On average 363 burials of all and no denomination take place in this Cemetery annually, with 211 of them involving the re-opening of an existing plot.  </w:t>
      </w:r>
      <w:r w:rsidR="002A17D4" w:rsidRPr="002A17D4">
        <w:rPr>
          <w:rFonts w:ascii="Calibri" w:eastAsia="Calibri" w:hAnsi="Calibri" w:cs="Calibri"/>
          <w:i/>
          <w:sz w:val="20"/>
          <w:lang w:eastAsia="en-IE"/>
        </w:rPr>
        <w:t>(Based on figures from 2008 – 2015)</w:t>
      </w: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There are Angels Plots and a Lawn Cemetery along with the more traditional kerbed Cemetery Layout.</w:t>
      </w: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This Cemetery also has two vehicular entrances, a pedestrian entrance, two car parks laid out in hardcore, a network of concrete roads throughout, a toilet block, several waste disposal bunkers, a small storage building, a storage container, and an undeveloped section to provide for future needs.</w:t>
      </w:r>
    </w:p>
    <w:p w:rsidR="002A17D4" w:rsidRPr="002A17D4" w:rsidRDefault="002A17D4" w:rsidP="002A17D4">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 xml:space="preserve">   </w:t>
      </w:r>
    </w:p>
    <w:p w:rsidR="002A17D4" w:rsidRPr="002A17D4" w:rsidRDefault="002A17D4" w:rsidP="002A17D4">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There are approximately 2</w:t>
      </w:r>
      <w:r w:rsidR="00197852">
        <w:rPr>
          <w:rFonts w:ascii="Calibri" w:eastAsia="Calibri" w:hAnsi="Calibri" w:cs="Calibri"/>
          <w:sz w:val="24"/>
          <w:lang w:eastAsia="en-IE"/>
        </w:rPr>
        <w:t>,</w:t>
      </w:r>
      <w:r w:rsidRPr="002A17D4">
        <w:rPr>
          <w:rFonts w:ascii="Calibri" w:eastAsia="Calibri" w:hAnsi="Calibri" w:cs="Calibri"/>
          <w:sz w:val="24"/>
          <w:lang w:eastAsia="en-IE"/>
        </w:rPr>
        <w:t xml:space="preserve">100 grave spaces available to purchase in Bohernabreena.  However, grave spaces cannot be purchased in advance and can only be purchased at the time of death.  </w:t>
      </w: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476839" w:rsidP="002A17D4">
      <w:pPr>
        <w:spacing w:after="0" w:line="240" w:lineRule="auto"/>
        <w:rPr>
          <w:rFonts w:ascii="Calibri" w:eastAsia="Calibri" w:hAnsi="Calibri" w:cs="Calibri"/>
          <w:sz w:val="24"/>
          <w:lang w:eastAsia="en-IE"/>
        </w:rPr>
      </w:pPr>
      <w:r w:rsidRPr="00476839">
        <w:rPr>
          <w:rFonts w:eastAsiaTheme="minorEastAsia"/>
          <w:noProof/>
          <w:lang w:eastAsia="en-IE"/>
        </w:rPr>
        <w:drawing>
          <wp:inline distT="0" distB="0" distL="0" distR="0">
            <wp:extent cx="5731510" cy="3822641"/>
            <wp:effectExtent l="0" t="0" r="2540" b="6985"/>
            <wp:docPr id="1" name="Picture 1" descr="F:\ENV - BURIAL GROUNDS\BURIAL GROUND REVIEW\Bohernabreena Ariel View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ENV - BURIAL GROUNDS\BURIAL GROUND REVIEW\Bohernabreena Ariel View 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822641"/>
                    </a:xfrm>
                    <a:prstGeom prst="rect">
                      <a:avLst/>
                    </a:prstGeom>
                    <a:noFill/>
                    <a:ln>
                      <a:noFill/>
                    </a:ln>
                  </pic:spPr>
                </pic:pic>
              </a:graphicData>
            </a:graphic>
          </wp:inline>
        </w:drawing>
      </w: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rPr>
          <w:rFonts w:ascii="Calibri" w:eastAsia="Calibri" w:hAnsi="Calibri" w:cs="Calibri"/>
          <w:b/>
          <w:sz w:val="24"/>
          <w:lang w:eastAsia="en-IE"/>
        </w:rPr>
      </w:pPr>
      <w:r w:rsidRPr="002A17D4">
        <w:rPr>
          <w:rFonts w:ascii="Calibri" w:eastAsia="Calibri" w:hAnsi="Calibri" w:cs="Calibri"/>
          <w:b/>
          <w:sz w:val="24"/>
          <w:lang w:eastAsia="en-IE"/>
        </w:rPr>
        <w:br w:type="page"/>
      </w:r>
    </w:p>
    <w:p w:rsidR="002A17D4" w:rsidRPr="002A17D4" w:rsidRDefault="00317259" w:rsidP="002A17D4">
      <w:pPr>
        <w:spacing w:after="0" w:line="240" w:lineRule="auto"/>
        <w:rPr>
          <w:rFonts w:ascii="Calibri" w:eastAsia="Calibri" w:hAnsi="Calibri" w:cs="Calibri"/>
          <w:sz w:val="24"/>
          <w:lang w:eastAsia="en-IE"/>
        </w:rPr>
      </w:pPr>
      <w:r>
        <w:rPr>
          <w:rFonts w:ascii="Calibri" w:eastAsia="Calibri" w:hAnsi="Calibri" w:cs="Calibri"/>
          <w:b/>
          <w:sz w:val="24"/>
          <w:lang w:eastAsia="en-IE"/>
        </w:rPr>
        <w:lastRenderedPageBreak/>
        <w:t>2</w:t>
      </w:r>
      <w:r w:rsidR="002A17D4" w:rsidRPr="002A17D4">
        <w:rPr>
          <w:rFonts w:ascii="Calibri" w:eastAsia="Calibri" w:hAnsi="Calibri" w:cs="Calibri"/>
          <w:b/>
          <w:sz w:val="24"/>
          <w:lang w:eastAsia="en-IE"/>
        </w:rPr>
        <w:t>.2 Saggart Cemetery</w:t>
      </w:r>
      <w:r w:rsidR="002A17D4" w:rsidRPr="002A17D4">
        <w:rPr>
          <w:rFonts w:ascii="Calibri" w:eastAsia="Calibri" w:hAnsi="Calibri" w:cs="Calibri"/>
          <w:sz w:val="24"/>
          <w:lang w:eastAsia="en-IE"/>
        </w:rPr>
        <w:t xml:space="preserve"> was established in 1894 and is situated in the centre of Saggart village.</w:t>
      </w: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 xml:space="preserve">On average 25 burials of all and no denomination take place in this Cemetery annually, with 12 of them involving the re-opening of an existing plot.  </w:t>
      </w: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This Cemetery consists of an old section where records are poor to non-existent and newer sections where records are complete.  The Cemetery is laid out in various fashions with the more recent sections being in the traditional kerbed style, and the newest area being a Lawn Cemetery.</w:t>
      </w: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 xml:space="preserve">This Cemetery has one entrance.     </w:t>
      </w:r>
    </w:p>
    <w:p w:rsidR="002A17D4" w:rsidRDefault="002A17D4" w:rsidP="002A17D4">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There are approximately 405 grave spaces available to purchase.  However, pre-purchase conditions are in place prioritizing availability for senior citizens and local residents.</w:t>
      </w:r>
    </w:p>
    <w:p w:rsidR="00197852" w:rsidRDefault="00197852" w:rsidP="002A17D4">
      <w:pPr>
        <w:spacing w:after="0" w:line="240" w:lineRule="auto"/>
        <w:rPr>
          <w:rFonts w:ascii="Calibri" w:eastAsia="Calibri" w:hAnsi="Calibri" w:cs="Calibri"/>
          <w:sz w:val="24"/>
          <w:lang w:eastAsia="en-IE"/>
        </w:rPr>
      </w:pPr>
    </w:p>
    <w:p w:rsidR="00197852" w:rsidRPr="002A17D4" w:rsidRDefault="00197852" w:rsidP="00197852">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 xml:space="preserve">There is no undeveloped section in this Cemetery to provide for future needs. </w:t>
      </w:r>
    </w:p>
    <w:p w:rsidR="00197852" w:rsidRPr="002A17D4" w:rsidRDefault="00197852"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Times New Roman" w:eastAsia="Times New Roman" w:hAnsi="Times New Roman" w:cs="Times New Roman"/>
          <w:b/>
          <w:sz w:val="24"/>
          <w:lang w:eastAsia="en-IE"/>
        </w:rPr>
      </w:pPr>
    </w:p>
    <w:p w:rsidR="002A17D4" w:rsidRPr="002A17D4" w:rsidRDefault="002A17D4" w:rsidP="002A17D4">
      <w:pPr>
        <w:spacing w:after="0" w:line="240" w:lineRule="auto"/>
        <w:rPr>
          <w:rFonts w:ascii="Calibri" w:eastAsia="Calibri" w:hAnsi="Calibri" w:cs="Calibri"/>
          <w:b/>
          <w:sz w:val="24"/>
          <w:lang w:eastAsia="en-IE"/>
        </w:rPr>
      </w:pPr>
      <w:r w:rsidRPr="002A17D4">
        <w:rPr>
          <w:rFonts w:eastAsiaTheme="minorEastAsia"/>
          <w:lang w:eastAsia="en-IE"/>
        </w:rPr>
        <w:object w:dxaOrig="8868" w:dyaOrig="7572">
          <v:rect id="rectole0000000002" o:spid="_x0000_i1026" style="width:446.25pt;height:381.75pt" o:ole="" o:preferrelative="t" stroked="f">
            <v:imagedata r:id="rId8" o:title=""/>
          </v:rect>
          <o:OLEObject Type="Embed" ProgID="StaticMetafile" ShapeID="rectole0000000002" DrawAspect="Content" ObjectID="_1556468457" r:id="rId9"/>
        </w:object>
      </w: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CF61A7">
      <w:pPr>
        <w:rPr>
          <w:rFonts w:ascii="Calibri" w:eastAsia="Calibri" w:hAnsi="Calibri" w:cs="Calibri"/>
          <w:sz w:val="24"/>
          <w:lang w:eastAsia="en-IE"/>
        </w:rPr>
      </w:pPr>
      <w:r w:rsidRPr="002A17D4">
        <w:rPr>
          <w:rFonts w:ascii="Calibri" w:eastAsia="Calibri" w:hAnsi="Calibri" w:cs="Calibri"/>
          <w:b/>
          <w:sz w:val="24"/>
          <w:lang w:eastAsia="en-IE"/>
        </w:rPr>
        <w:br w:type="page"/>
      </w:r>
      <w:r w:rsidR="00317259">
        <w:rPr>
          <w:rFonts w:ascii="Calibri" w:eastAsia="Calibri" w:hAnsi="Calibri" w:cs="Calibri"/>
          <w:b/>
          <w:sz w:val="24"/>
          <w:lang w:eastAsia="en-IE"/>
        </w:rPr>
        <w:lastRenderedPageBreak/>
        <w:t>2</w:t>
      </w:r>
      <w:r w:rsidRPr="002A17D4">
        <w:rPr>
          <w:rFonts w:ascii="Calibri" w:eastAsia="Calibri" w:hAnsi="Calibri" w:cs="Calibri"/>
          <w:b/>
          <w:sz w:val="24"/>
          <w:lang w:eastAsia="en-IE"/>
        </w:rPr>
        <w:t>.3 Newcastle Cemetery</w:t>
      </w:r>
      <w:r w:rsidRPr="002A17D4">
        <w:rPr>
          <w:rFonts w:ascii="Calibri" w:eastAsia="Calibri" w:hAnsi="Calibri" w:cs="Calibri"/>
          <w:sz w:val="24"/>
          <w:lang w:eastAsia="en-IE"/>
        </w:rPr>
        <w:t xml:space="preserve"> was established in 1979 and is situated in Newcastle Village adjacent </w:t>
      </w:r>
      <w:proofErr w:type="spellStart"/>
      <w:r w:rsidRPr="002A17D4">
        <w:rPr>
          <w:rFonts w:ascii="Calibri" w:eastAsia="Calibri" w:hAnsi="Calibri" w:cs="Calibri"/>
          <w:sz w:val="24"/>
          <w:lang w:eastAsia="en-IE"/>
        </w:rPr>
        <w:t>Greenogue</w:t>
      </w:r>
      <w:proofErr w:type="spellEnd"/>
      <w:r w:rsidRPr="002A17D4">
        <w:rPr>
          <w:rFonts w:ascii="Calibri" w:eastAsia="Calibri" w:hAnsi="Calibri" w:cs="Calibri"/>
          <w:sz w:val="24"/>
          <w:lang w:eastAsia="en-IE"/>
        </w:rPr>
        <w:t xml:space="preserve"> Business Park. </w:t>
      </w:r>
    </w:p>
    <w:p w:rsidR="002A17D4" w:rsidRPr="002A17D4" w:rsidRDefault="002A17D4" w:rsidP="002A17D4">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 xml:space="preserve">On average 68 burials of all and no denomination take place in this Cemetery annually, with 18 of them involving the re-opening of an existing plot. </w:t>
      </w:r>
      <w:r w:rsidRPr="002A17D4">
        <w:rPr>
          <w:rFonts w:ascii="Calibri" w:eastAsia="Calibri" w:hAnsi="Calibri" w:cs="Calibri"/>
          <w:i/>
          <w:sz w:val="20"/>
          <w:lang w:eastAsia="en-IE"/>
        </w:rPr>
        <w:t xml:space="preserve"> (Based on figures from 2010 – 2015)</w:t>
      </w: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As this Cemetery was established less than 40 years ago, records are complete.  The Cemetery is laid out in the traditional kerbed style.</w:t>
      </w:r>
    </w:p>
    <w:p w:rsidR="002A17D4" w:rsidRPr="002A17D4" w:rsidRDefault="002A17D4" w:rsidP="002A17D4">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 xml:space="preserve"> </w:t>
      </w:r>
    </w:p>
    <w:p w:rsidR="00990975" w:rsidRDefault="002A17D4" w:rsidP="00990975">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This Cemetery has one entrance and limited parking, and a networ</w:t>
      </w:r>
      <w:r w:rsidR="00BC0770">
        <w:rPr>
          <w:rFonts w:ascii="Calibri" w:eastAsia="Calibri" w:hAnsi="Calibri" w:cs="Calibri"/>
          <w:sz w:val="24"/>
          <w:lang w:eastAsia="en-IE"/>
        </w:rPr>
        <w:t xml:space="preserve">k of concrete roads </w:t>
      </w:r>
      <w:r w:rsidR="00990975">
        <w:rPr>
          <w:rFonts w:ascii="Calibri" w:eastAsia="Calibri" w:hAnsi="Calibri" w:cs="Calibri"/>
          <w:sz w:val="24"/>
          <w:lang w:eastAsia="en-IE"/>
        </w:rPr>
        <w:t>throughout.</w:t>
      </w:r>
    </w:p>
    <w:p w:rsidR="00990975" w:rsidRDefault="00990975" w:rsidP="00990975">
      <w:pPr>
        <w:spacing w:after="0" w:line="240" w:lineRule="auto"/>
        <w:rPr>
          <w:rFonts w:ascii="Calibri" w:eastAsia="Calibri" w:hAnsi="Calibri" w:cs="Calibri"/>
          <w:sz w:val="24"/>
          <w:lang w:eastAsia="en-IE"/>
        </w:rPr>
      </w:pPr>
    </w:p>
    <w:p w:rsidR="00EE219E" w:rsidRDefault="00990975" w:rsidP="002A17D4">
      <w:pPr>
        <w:spacing w:after="0" w:line="240" w:lineRule="auto"/>
        <w:rPr>
          <w:rFonts w:ascii="Calibri" w:eastAsia="Calibri" w:hAnsi="Calibri" w:cs="Calibri"/>
          <w:sz w:val="24"/>
          <w:highlight w:val="yellow"/>
          <w:lang w:eastAsia="en-IE"/>
        </w:rPr>
      </w:pPr>
      <w:r w:rsidRPr="00EE219E">
        <w:rPr>
          <w:rFonts w:ascii="Calibri" w:eastAsia="Calibri" w:hAnsi="Calibri" w:cs="Calibri"/>
          <w:sz w:val="24"/>
          <w:lang w:eastAsia="en-IE"/>
        </w:rPr>
        <w:t>Th</w:t>
      </w:r>
      <w:r w:rsidR="00197852" w:rsidRPr="00EE219E">
        <w:rPr>
          <w:rFonts w:ascii="Calibri" w:eastAsia="Calibri" w:hAnsi="Calibri" w:cs="Calibri"/>
          <w:sz w:val="24"/>
          <w:lang w:eastAsia="en-IE"/>
        </w:rPr>
        <w:t xml:space="preserve">ere is a dedicated </w:t>
      </w:r>
      <w:r w:rsidRPr="00EE219E">
        <w:rPr>
          <w:rFonts w:ascii="Calibri" w:eastAsia="Calibri" w:hAnsi="Calibri" w:cs="Calibri"/>
          <w:sz w:val="24"/>
          <w:lang w:eastAsia="en-IE"/>
        </w:rPr>
        <w:t>Islamic Community</w:t>
      </w:r>
      <w:r w:rsidR="00CB75FE">
        <w:rPr>
          <w:rFonts w:ascii="Calibri" w:eastAsia="Calibri" w:hAnsi="Calibri" w:cs="Calibri"/>
          <w:sz w:val="24"/>
          <w:lang w:eastAsia="en-IE"/>
        </w:rPr>
        <w:t xml:space="preserve"> burial area</w:t>
      </w:r>
      <w:r w:rsidR="00EE219E" w:rsidRPr="00EE219E">
        <w:rPr>
          <w:rFonts w:ascii="Calibri" w:eastAsia="Calibri" w:hAnsi="Calibri" w:cs="Calibri"/>
          <w:sz w:val="24"/>
          <w:lang w:eastAsia="en-IE"/>
        </w:rPr>
        <w:t>.</w:t>
      </w:r>
    </w:p>
    <w:p w:rsidR="00BC0770" w:rsidRDefault="00990975" w:rsidP="002A17D4">
      <w:pPr>
        <w:spacing w:after="0" w:line="240" w:lineRule="auto"/>
        <w:rPr>
          <w:rFonts w:ascii="Calibri" w:eastAsia="Calibri" w:hAnsi="Calibri" w:cs="Calibri"/>
          <w:sz w:val="24"/>
          <w:lang w:eastAsia="en-IE"/>
        </w:rPr>
      </w:pPr>
      <w:r w:rsidRPr="00FD48EF">
        <w:rPr>
          <w:rFonts w:ascii="Calibri" w:eastAsia="Calibri" w:hAnsi="Calibri" w:cs="Calibri"/>
          <w:sz w:val="24"/>
          <w:highlight w:val="yellow"/>
          <w:lang w:eastAsia="en-IE"/>
        </w:rPr>
        <w:t xml:space="preserve"> </w:t>
      </w:r>
    </w:p>
    <w:p w:rsidR="00752741" w:rsidRDefault="002A17D4" w:rsidP="00197852">
      <w:pPr>
        <w:spacing w:after="0" w:line="240" w:lineRule="auto"/>
        <w:rPr>
          <w:rFonts w:ascii="Calibri" w:eastAsia="Calibri" w:hAnsi="Calibri" w:cs="Calibri"/>
          <w:sz w:val="24"/>
        </w:rPr>
      </w:pPr>
      <w:r w:rsidRPr="002A17D4">
        <w:rPr>
          <w:rFonts w:ascii="Calibri" w:eastAsia="Calibri" w:hAnsi="Calibri" w:cs="Calibri"/>
          <w:sz w:val="24"/>
          <w:lang w:eastAsia="en-IE"/>
        </w:rPr>
        <w:t xml:space="preserve"> There are approximately 220 grave spaces available to purchase</w:t>
      </w:r>
      <w:r w:rsidR="00752741">
        <w:rPr>
          <w:rFonts w:ascii="Calibri" w:eastAsia="Calibri" w:hAnsi="Calibri" w:cs="Calibri"/>
          <w:sz w:val="24"/>
          <w:lang w:eastAsia="en-IE"/>
        </w:rPr>
        <w:t xml:space="preserve"> (</w:t>
      </w:r>
      <w:r w:rsidR="00752741" w:rsidRPr="00FD48EF">
        <w:rPr>
          <w:rFonts w:ascii="Calibri" w:eastAsia="Calibri" w:hAnsi="Calibri" w:cs="Calibri"/>
          <w:sz w:val="24"/>
          <w:lang w:eastAsia="en-IE"/>
        </w:rPr>
        <w:t>incl</w:t>
      </w:r>
      <w:r w:rsidR="00FD48EF" w:rsidRPr="00FD48EF">
        <w:rPr>
          <w:rFonts w:ascii="Calibri" w:eastAsia="Calibri" w:hAnsi="Calibri" w:cs="Calibri"/>
          <w:sz w:val="24"/>
          <w:lang w:eastAsia="en-IE"/>
        </w:rPr>
        <w:t>. 22 in the Islamic community (</w:t>
      </w:r>
      <w:r w:rsidR="00FD48EF" w:rsidRPr="00FD48EF">
        <w:rPr>
          <w:rFonts w:ascii="Calibri" w:eastAsia="Calibri" w:hAnsi="Calibri" w:cs="Calibri"/>
          <w:sz w:val="24"/>
        </w:rPr>
        <w:t>Infant 12 &amp; Adult 10)</w:t>
      </w:r>
      <w:r w:rsidR="00FD48EF">
        <w:rPr>
          <w:rFonts w:ascii="Calibri" w:eastAsia="Calibri" w:hAnsi="Calibri" w:cs="Calibri"/>
          <w:sz w:val="24"/>
        </w:rPr>
        <w:t xml:space="preserve">. </w:t>
      </w:r>
      <w:r w:rsidRPr="002A17D4">
        <w:rPr>
          <w:rFonts w:ascii="Calibri" w:eastAsia="Calibri" w:hAnsi="Calibri" w:cs="Calibri"/>
          <w:sz w:val="24"/>
          <w:lang w:eastAsia="en-IE"/>
        </w:rPr>
        <w:t>However, pre-purchase conditions are in place prioritizing availability for senior citizen</w:t>
      </w:r>
      <w:r w:rsidR="00752741">
        <w:rPr>
          <w:rFonts w:ascii="Calibri" w:eastAsia="Calibri" w:hAnsi="Calibri" w:cs="Calibri"/>
          <w:sz w:val="24"/>
          <w:lang w:eastAsia="en-IE"/>
        </w:rPr>
        <w:t>.</w:t>
      </w:r>
    </w:p>
    <w:p w:rsidR="00197852" w:rsidRPr="002A17D4" w:rsidRDefault="00752741" w:rsidP="002A17D4">
      <w:pPr>
        <w:spacing w:after="0" w:line="240" w:lineRule="auto"/>
        <w:rPr>
          <w:rFonts w:ascii="Calibri" w:eastAsia="Calibri" w:hAnsi="Calibri" w:cs="Calibri"/>
          <w:sz w:val="24"/>
          <w:lang w:eastAsia="en-IE"/>
        </w:rPr>
      </w:pPr>
      <w:r>
        <w:rPr>
          <w:rFonts w:ascii="Calibri" w:eastAsia="Calibri" w:hAnsi="Calibri" w:cs="Calibri"/>
          <w:sz w:val="24"/>
          <w:lang w:eastAsia="en-IE"/>
        </w:rPr>
        <w:t>T</w:t>
      </w:r>
      <w:r w:rsidR="00197852">
        <w:rPr>
          <w:rFonts w:ascii="Calibri" w:eastAsia="Calibri" w:hAnsi="Calibri" w:cs="Calibri"/>
          <w:sz w:val="24"/>
          <w:lang w:eastAsia="en-IE"/>
        </w:rPr>
        <w:t xml:space="preserve">here </w:t>
      </w:r>
      <w:r w:rsidR="00197852" w:rsidRPr="002A17D4">
        <w:rPr>
          <w:rFonts w:ascii="Calibri" w:eastAsia="Calibri" w:hAnsi="Calibri" w:cs="Calibri"/>
          <w:sz w:val="24"/>
          <w:lang w:eastAsia="en-IE"/>
        </w:rPr>
        <w:t xml:space="preserve">is an undeveloped area in this Cemetery to provide for future needs. </w:t>
      </w: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Times New Roman" w:eastAsia="Times New Roman" w:hAnsi="Times New Roman" w:cs="Times New Roman"/>
          <w:b/>
          <w:sz w:val="24"/>
          <w:lang w:eastAsia="en-IE"/>
        </w:rPr>
      </w:pPr>
    </w:p>
    <w:p w:rsidR="002A17D4" w:rsidRPr="002A17D4" w:rsidRDefault="002A17D4" w:rsidP="002A17D4">
      <w:pPr>
        <w:spacing w:after="0" w:line="240" w:lineRule="auto"/>
        <w:rPr>
          <w:rFonts w:ascii="Calibri" w:eastAsia="Calibri" w:hAnsi="Calibri" w:cs="Calibri"/>
          <w:b/>
          <w:sz w:val="24"/>
          <w:lang w:eastAsia="en-IE"/>
        </w:rPr>
      </w:pPr>
      <w:r w:rsidRPr="002A17D4">
        <w:rPr>
          <w:rFonts w:eastAsiaTheme="minorEastAsia"/>
          <w:lang w:eastAsia="en-IE"/>
        </w:rPr>
        <w:object w:dxaOrig="8868" w:dyaOrig="7572">
          <v:rect id="rectole0000000003" o:spid="_x0000_i1027" style="width:446.25pt;height:381.75pt" o:ole="" o:preferrelative="t" stroked="f">
            <v:imagedata r:id="rId10" o:title=""/>
          </v:rect>
          <o:OLEObject Type="Embed" ProgID="StaticMetafile" ShapeID="rectole0000000003" DrawAspect="Content" ObjectID="_1556468458" r:id="rId11"/>
        </w:object>
      </w: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317259" w:rsidP="002A17D4">
      <w:pPr>
        <w:spacing w:after="0" w:line="240" w:lineRule="auto"/>
        <w:rPr>
          <w:rFonts w:ascii="Calibri" w:eastAsia="Calibri" w:hAnsi="Calibri" w:cs="Calibri"/>
          <w:sz w:val="24"/>
          <w:lang w:eastAsia="en-IE"/>
        </w:rPr>
      </w:pPr>
      <w:r>
        <w:rPr>
          <w:rFonts w:ascii="Calibri" w:eastAsia="Calibri" w:hAnsi="Calibri" w:cs="Calibri"/>
          <w:b/>
          <w:sz w:val="24"/>
          <w:lang w:eastAsia="en-IE"/>
        </w:rPr>
        <w:lastRenderedPageBreak/>
        <w:t>2</w:t>
      </w:r>
      <w:r w:rsidR="002A17D4" w:rsidRPr="002A17D4">
        <w:rPr>
          <w:rFonts w:ascii="Calibri" w:eastAsia="Calibri" w:hAnsi="Calibri" w:cs="Calibri"/>
          <w:b/>
          <w:sz w:val="24"/>
          <w:lang w:eastAsia="en-IE"/>
        </w:rPr>
        <w:t>.4 Esker Cemetery</w:t>
      </w:r>
      <w:r w:rsidR="002A17D4" w:rsidRPr="002A17D4">
        <w:rPr>
          <w:rFonts w:ascii="Calibri" w:eastAsia="Calibri" w:hAnsi="Calibri" w:cs="Calibri"/>
          <w:sz w:val="24"/>
          <w:lang w:eastAsia="en-IE"/>
        </w:rPr>
        <w:t xml:space="preserve"> was established in 1890 and is situated in Lucan Village on the Lucan – Newlands Road</w:t>
      </w:r>
      <w:r w:rsidR="002A17D4" w:rsidRPr="002A17D4">
        <w:rPr>
          <w:rFonts w:ascii="Calibri" w:eastAsia="Calibri" w:hAnsi="Calibri" w:cs="Calibri"/>
          <w:color w:val="0563C1"/>
          <w:sz w:val="24"/>
          <w:lang w:eastAsia="en-IE"/>
        </w:rPr>
        <w:t>.</w:t>
      </w:r>
      <w:r w:rsidR="002A17D4" w:rsidRPr="002A17D4">
        <w:rPr>
          <w:rFonts w:ascii="Calibri" w:eastAsia="Calibri" w:hAnsi="Calibri" w:cs="Calibri"/>
          <w:sz w:val="24"/>
          <w:lang w:eastAsia="en-IE"/>
        </w:rPr>
        <w:t xml:space="preserve"> </w:t>
      </w: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Calibri" w:eastAsia="Calibri" w:hAnsi="Calibri" w:cs="Calibri"/>
          <w:i/>
          <w:sz w:val="20"/>
          <w:lang w:eastAsia="en-IE"/>
        </w:rPr>
      </w:pPr>
      <w:r w:rsidRPr="002A17D4">
        <w:rPr>
          <w:rFonts w:ascii="Calibri" w:eastAsia="Calibri" w:hAnsi="Calibri" w:cs="Calibri"/>
          <w:sz w:val="24"/>
          <w:lang w:eastAsia="en-IE"/>
        </w:rPr>
        <w:t xml:space="preserve">On average 178 burials of all and no denomination take place in this Cemetery annually, with 110 of them involving the re-opening of an existing plot. </w:t>
      </w:r>
      <w:r w:rsidRPr="002A17D4">
        <w:rPr>
          <w:rFonts w:ascii="Calibri" w:eastAsia="Calibri" w:hAnsi="Calibri" w:cs="Calibri"/>
          <w:i/>
          <w:sz w:val="20"/>
          <w:lang w:eastAsia="en-IE"/>
        </w:rPr>
        <w:t xml:space="preserve"> (Based on figures from 2009 – 2015)</w:t>
      </w: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This Cemetery consists of an old section where records are poor and several newer sections where records are complete.  The entire Cemetery is laid out in the traditional kerbed style.</w:t>
      </w:r>
    </w:p>
    <w:p w:rsidR="002A17D4" w:rsidRPr="002A17D4" w:rsidRDefault="002A17D4" w:rsidP="002A17D4">
      <w:pPr>
        <w:spacing w:after="0" w:line="240" w:lineRule="auto"/>
        <w:rPr>
          <w:rFonts w:ascii="Calibri" w:eastAsia="Calibri" w:hAnsi="Calibri" w:cs="Calibri"/>
          <w:sz w:val="24"/>
          <w:lang w:eastAsia="en-IE"/>
        </w:rPr>
      </w:pPr>
    </w:p>
    <w:p w:rsidR="002A17D4" w:rsidRDefault="002A17D4" w:rsidP="00F56906">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 xml:space="preserve">This Cemetery has one vehicular entrance, a pedestrian entrance, a car park laid out in hardcore, a network of concrete roads throughout, and several waste disposal bunkers.  </w:t>
      </w:r>
    </w:p>
    <w:p w:rsidR="00F56906" w:rsidRPr="002A17D4" w:rsidRDefault="00F56906" w:rsidP="00F56906">
      <w:pPr>
        <w:spacing w:after="0" w:line="240" w:lineRule="auto"/>
        <w:rPr>
          <w:rFonts w:ascii="Calibri" w:eastAsia="Calibri" w:hAnsi="Calibri" w:cs="Calibri"/>
          <w:sz w:val="24"/>
          <w:lang w:eastAsia="en-IE"/>
        </w:rPr>
      </w:pPr>
    </w:p>
    <w:p w:rsidR="002A17D4" w:rsidRDefault="002A17D4" w:rsidP="002A17D4">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There are approximately 88 grave spaces available to purchase.  However, grave spaces cannot be purchased in advance and can only be purchased at the time of death.</w:t>
      </w:r>
    </w:p>
    <w:p w:rsidR="00F56906" w:rsidRDefault="00F56906" w:rsidP="002A17D4">
      <w:pPr>
        <w:spacing w:after="0" w:line="240" w:lineRule="auto"/>
        <w:rPr>
          <w:rFonts w:ascii="Calibri" w:eastAsia="Calibri" w:hAnsi="Calibri" w:cs="Calibri"/>
          <w:sz w:val="24"/>
          <w:lang w:eastAsia="en-IE"/>
        </w:rPr>
      </w:pPr>
    </w:p>
    <w:p w:rsidR="00F56906" w:rsidRPr="002A17D4" w:rsidRDefault="00F56906" w:rsidP="00F56906">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There is no undeveloped section in this Cemetery to provide for future needs.</w:t>
      </w:r>
    </w:p>
    <w:p w:rsidR="00F56906" w:rsidRPr="002A17D4" w:rsidRDefault="00F56906" w:rsidP="00F56906">
      <w:pPr>
        <w:spacing w:after="0" w:line="240" w:lineRule="auto"/>
        <w:rPr>
          <w:rFonts w:ascii="Calibri" w:eastAsia="Calibri" w:hAnsi="Calibri" w:cs="Calibri"/>
          <w:sz w:val="24"/>
          <w:lang w:eastAsia="en-IE"/>
        </w:rPr>
      </w:pPr>
      <w:r w:rsidRPr="002A17D4">
        <w:rPr>
          <w:rFonts w:ascii="Calibri" w:eastAsia="Calibri" w:hAnsi="Calibri" w:cs="Calibri"/>
          <w:sz w:val="24"/>
          <w:lang w:eastAsia="en-IE"/>
        </w:rPr>
        <w:t xml:space="preserve">   </w:t>
      </w: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spacing w:after="0" w:line="240" w:lineRule="auto"/>
        <w:rPr>
          <w:rFonts w:ascii="Calibri" w:eastAsia="Calibri" w:hAnsi="Calibri" w:cs="Calibri"/>
          <w:b/>
          <w:sz w:val="24"/>
          <w:lang w:eastAsia="en-IE"/>
        </w:rPr>
      </w:pPr>
      <w:r w:rsidRPr="002A17D4">
        <w:rPr>
          <w:rFonts w:eastAsiaTheme="minorEastAsia"/>
          <w:lang w:eastAsia="en-IE"/>
        </w:rPr>
        <w:object w:dxaOrig="8868" w:dyaOrig="6540">
          <v:rect id="rectole0000000004" o:spid="_x0000_i1028" style="width:446.25pt;height:324.75pt" o:ole="" o:preferrelative="t" stroked="f">
            <v:imagedata r:id="rId12" o:title=""/>
          </v:rect>
          <o:OLEObject Type="Embed" ProgID="StaticMetafile" ShapeID="rectole0000000004" DrawAspect="Content" ObjectID="_1556468459" r:id="rId13"/>
        </w:object>
      </w:r>
    </w:p>
    <w:p w:rsidR="002A17D4" w:rsidRPr="002A17D4" w:rsidRDefault="002A17D4" w:rsidP="002A17D4">
      <w:pPr>
        <w:spacing w:after="0" w:line="240" w:lineRule="auto"/>
        <w:rPr>
          <w:rFonts w:ascii="Calibri" w:eastAsia="Calibri" w:hAnsi="Calibri" w:cs="Calibri"/>
          <w:sz w:val="24"/>
          <w:lang w:eastAsia="en-IE"/>
        </w:rPr>
      </w:pPr>
    </w:p>
    <w:p w:rsidR="002A17D4" w:rsidRPr="002A17D4" w:rsidRDefault="002A17D4" w:rsidP="002A17D4">
      <w:pPr>
        <w:rPr>
          <w:rFonts w:ascii="Calibri" w:eastAsia="Calibri" w:hAnsi="Calibri" w:cs="Calibri"/>
          <w:b/>
          <w:color w:val="004DBB"/>
          <w:sz w:val="28"/>
          <w:lang w:eastAsia="en-IE"/>
        </w:rPr>
      </w:pPr>
      <w:r w:rsidRPr="002A17D4">
        <w:rPr>
          <w:rFonts w:ascii="Calibri" w:eastAsia="Calibri" w:hAnsi="Calibri" w:cs="Calibri"/>
          <w:b/>
          <w:color w:val="004DBB"/>
          <w:sz w:val="28"/>
          <w:lang w:eastAsia="en-IE"/>
        </w:rPr>
        <w:br w:type="page"/>
      </w:r>
    </w:p>
    <w:p w:rsidR="00CF61A7" w:rsidRDefault="00317259" w:rsidP="002A17D4">
      <w:pPr>
        <w:rPr>
          <w:rFonts w:eastAsiaTheme="minorEastAsia"/>
          <w:b/>
          <w:color w:val="1F4E79" w:themeColor="accent1" w:themeShade="80"/>
          <w:sz w:val="24"/>
          <w:szCs w:val="24"/>
          <w:lang w:eastAsia="en-IE"/>
        </w:rPr>
      </w:pPr>
      <w:r>
        <w:rPr>
          <w:rFonts w:eastAsiaTheme="minorEastAsia"/>
          <w:b/>
          <w:color w:val="1F4E79" w:themeColor="accent1" w:themeShade="80"/>
          <w:sz w:val="24"/>
          <w:szCs w:val="24"/>
          <w:lang w:eastAsia="en-IE"/>
        </w:rPr>
        <w:lastRenderedPageBreak/>
        <w:t>3</w:t>
      </w:r>
      <w:r w:rsidR="00843422">
        <w:rPr>
          <w:rFonts w:eastAsiaTheme="minorEastAsia"/>
          <w:b/>
          <w:color w:val="1F4E79" w:themeColor="accent1" w:themeShade="80"/>
          <w:sz w:val="24"/>
          <w:szCs w:val="24"/>
          <w:lang w:eastAsia="en-IE"/>
        </w:rPr>
        <w:t xml:space="preserve">. </w:t>
      </w:r>
      <w:r w:rsidR="00843422">
        <w:rPr>
          <w:rFonts w:eastAsiaTheme="minorEastAsia"/>
          <w:b/>
          <w:color w:val="1F4E79" w:themeColor="accent1" w:themeShade="80"/>
          <w:sz w:val="24"/>
          <w:szCs w:val="24"/>
          <w:lang w:eastAsia="en-IE"/>
        </w:rPr>
        <w:tab/>
      </w:r>
      <w:r w:rsidR="005D1549">
        <w:rPr>
          <w:rFonts w:eastAsiaTheme="minorEastAsia"/>
          <w:b/>
          <w:color w:val="1F4E79" w:themeColor="accent1" w:themeShade="80"/>
          <w:sz w:val="24"/>
          <w:szCs w:val="24"/>
          <w:lang w:eastAsia="en-IE"/>
        </w:rPr>
        <w:t xml:space="preserve">Review of </w:t>
      </w:r>
      <w:r w:rsidR="00547E18">
        <w:rPr>
          <w:rFonts w:eastAsiaTheme="minorEastAsia"/>
          <w:b/>
          <w:color w:val="1F4E79" w:themeColor="accent1" w:themeShade="80"/>
          <w:sz w:val="24"/>
          <w:szCs w:val="24"/>
          <w:lang w:eastAsia="en-IE"/>
        </w:rPr>
        <w:t xml:space="preserve">management </w:t>
      </w:r>
      <w:r w:rsidR="00F56906">
        <w:rPr>
          <w:rFonts w:eastAsiaTheme="minorEastAsia"/>
          <w:b/>
          <w:color w:val="1F4E79" w:themeColor="accent1" w:themeShade="80"/>
          <w:sz w:val="24"/>
          <w:szCs w:val="24"/>
          <w:lang w:eastAsia="en-IE"/>
        </w:rPr>
        <w:t xml:space="preserve">and operations </w:t>
      </w:r>
      <w:r w:rsidR="00547E18">
        <w:rPr>
          <w:rFonts w:eastAsiaTheme="minorEastAsia"/>
          <w:b/>
          <w:color w:val="1F4E79" w:themeColor="accent1" w:themeShade="80"/>
          <w:sz w:val="24"/>
          <w:szCs w:val="24"/>
          <w:lang w:eastAsia="en-IE"/>
        </w:rPr>
        <w:t xml:space="preserve">of </w:t>
      </w:r>
      <w:r w:rsidR="005D1549">
        <w:rPr>
          <w:rFonts w:eastAsiaTheme="minorEastAsia"/>
          <w:b/>
          <w:color w:val="1F4E79" w:themeColor="accent1" w:themeShade="80"/>
          <w:sz w:val="24"/>
          <w:szCs w:val="24"/>
          <w:lang w:eastAsia="en-IE"/>
        </w:rPr>
        <w:t>Burial Ground</w:t>
      </w:r>
      <w:r w:rsidR="00F56906">
        <w:rPr>
          <w:rFonts w:eastAsiaTheme="minorEastAsia"/>
          <w:b/>
          <w:color w:val="1F4E79" w:themeColor="accent1" w:themeShade="80"/>
          <w:sz w:val="24"/>
          <w:szCs w:val="24"/>
          <w:lang w:eastAsia="en-IE"/>
        </w:rPr>
        <w:t xml:space="preserve"> Services</w:t>
      </w:r>
    </w:p>
    <w:p w:rsidR="004C2ECB" w:rsidRDefault="005D1549" w:rsidP="00E373EF">
      <w:pPr>
        <w:rPr>
          <w:rFonts w:eastAsiaTheme="minorEastAsia"/>
          <w:sz w:val="24"/>
          <w:szCs w:val="24"/>
          <w:lang w:eastAsia="en-IE"/>
        </w:rPr>
      </w:pPr>
      <w:r w:rsidRPr="005D1549">
        <w:rPr>
          <w:rFonts w:eastAsiaTheme="minorEastAsia"/>
          <w:sz w:val="24"/>
          <w:szCs w:val="24"/>
          <w:lang w:eastAsia="en-IE"/>
        </w:rPr>
        <w:t xml:space="preserve">A comprehensive </w:t>
      </w:r>
      <w:r>
        <w:rPr>
          <w:rFonts w:eastAsiaTheme="minorEastAsia"/>
          <w:sz w:val="24"/>
          <w:szCs w:val="24"/>
          <w:lang w:eastAsia="en-IE"/>
        </w:rPr>
        <w:t xml:space="preserve">review of </w:t>
      </w:r>
      <w:r w:rsidR="004C2ECB">
        <w:rPr>
          <w:rFonts w:eastAsiaTheme="minorEastAsia"/>
          <w:sz w:val="24"/>
          <w:szCs w:val="24"/>
          <w:lang w:eastAsia="en-IE"/>
        </w:rPr>
        <w:t>the management</w:t>
      </w:r>
      <w:r w:rsidR="00547E18">
        <w:rPr>
          <w:rFonts w:eastAsiaTheme="minorEastAsia"/>
          <w:sz w:val="24"/>
          <w:szCs w:val="24"/>
          <w:lang w:eastAsia="en-IE"/>
        </w:rPr>
        <w:t xml:space="preserve"> of the </w:t>
      </w:r>
      <w:r>
        <w:rPr>
          <w:rFonts w:eastAsiaTheme="minorEastAsia"/>
          <w:sz w:val="24"/>
          <w:szCs w:val="24"/>
          <w:lang w:eastAsia="en-IE"/>
        </w:rPr>
        <w:t>Council’s Burial Ground</w:t>
      </w:r>
      <w:r w:rsidR="00F56906">
        <w:rPr>
          <w:rFonts w:eastAsiaTheme="minorEastAsia"/>
          <w:sz w:val="24"/>
          <w:szCs w:val="24"/>
          <w:lang w:eastAsia="en-IE"/>
        </w:rPr>
        <w:t xml:space="preserve"> services </w:t>
      </w:r>
      <w:r>
        <w:rPr>
          <w:rFonts w:eastAsiaTheme="minorEastAsia"/>
          <w:sz w:val="24"/>
          <w:szCs w:val="24"/>
          <w:lang w:eastAsia="en-IE"/>
        </w:rPr>
        <w:t xml:space="preserve">was undertaken in </w:t>
      </w:r>
      <w:r w:rsidR="008D18E3">
        <w:rPr>
          <w:rFonts w:eastAsiaTheme="minorEastAsia"/>
          <w:sz w:val="24"/>
          <w:szCs w:val="24"/>
          <w:lang w:eastAsia="en-IE"/>
        </w:rPr>
        <w:t>Q4</w:t>
      </w:r>
      <w:r>
        <w:rPr>
          <w:rFonts w:eastAsiaTheme="minorEastAsia"/>
          <w:sz w:val="24"/>
          <w:szCs w:val="24"/>
          <w:lang w:eastAsia="en-IE"/>
        </w:rPr>
        <w:t xml:space="preserve"> 2016</w:t>
      </w:r>
      <w:r w:rsidR="00E373EF">
        <w:rPr>
          <w:rFonts w:eastAsiaTheme="minorEastAsia"/>
          <w:sz w:val="24"/>
          <w:szCs w:val="24"/>
          <w:lang w:eastAsia="en-IE"/>
        </w:rPr>
        <w:t xml:space="preserve"> /</w:t>
      </w:r>
      <w:r w:rsidR="008D18E3">
        <w:rPr>
          <w:rFonts w:eastAsiaTheme="minorEastAsia"/>
          <w:sz w:val="24"/>
          <w:szCs w:val="24"/>
          <w:lang w:eastAsia="en-IE"/>
        </w:rPr>
        <w:t xml:space="preserve"> Q1</w:t>
      </w:r>
      <w:r>
        <w:rPr>
          <w:rFonts w:eastAsiaTheme="minorEastAsia"/>
          <w:sz w:val="24"/>
          <w:szCs w:val="24"/>
          <w:lang w:eastAsia="en-IE"/>
        </w:rPr>
        <w:t xml:space="preserve"> 2017 </w:t>
      </w:r>
      <w:r w:rsidR="00E373EF">
        <w:rPr>
          <w:rFonts w:eastAsiaTheme="minorEastAsia"/>
          <w:sz w:val="24"/>
          <w:szCs w:val="24"/>
          <w:lang w:eastAsia="en-IE"/>
        </w:rPr>
        <w:t xml:space="preserve">in order </w:t>
      </w:r>
      <w:r>
        <w:rPr>
          <w:rFonts w:eastAsiaTheme="minorEastAsia"/>
          <w:sz w:val="24"/>
          <w:szCs w:val="24"/>
          <w:lang w:eastAsia="en-IE"/>
        </w:rPr>
        <w:t xml:space="preserve">to establish the strengths, weaknesses, opportunities and threats </w:t>
      </w:r>
      <w:r w:rsidR="00E373EF">
        <w:rPr>
          <w:rFonts w:eastAsiaTheme="minorEastAsia"/>
          <w:sz w:val="24"/>
          <w:szCs w:val="24"/>
          <w:lang w:eastAsia="en-IE"/>
        </w:rPr>
        <w:t>associated wi</w:t>
      </w:r>
      <w:r w:rsidR="00843422">
        <w:rPr>
          <w:rFonts w:eastAsiaTheme="minorEastAsia"/>
          <w:sz w:val="24"/>
          <w:szCs w:val="24"/>
          <w:lang w:eastAsia="en-IE"/>
        </w:rPr>
        <w:t>th this service</w:t>
      </w:r>
      <w:r w:rsidR="00F56906">
        <w:rPr>
          <w:rFonts w:eastAsiaTheme="minorEastAsia"/>
          <w:sz w:val="24"/>
          <w:szCs w:val="24"/>
          <w:lang w:eastAsia="en-IE"/>
        </w:rPr>
        <w:t xml:space="preserve"> and to inform the development of a sustainable strategy for the delivery of </w:t>
      </w:r>
      <w:r w:rsidR="00752741">
        <w:rPr>
          <w:rFonts w:eastAsiaTheme="minorEastAsia"/>
          <w:sz w:val="24"/>
          <w:szCs w:val="24"/>
          <w:lang w:eastAsia="en-IE"/>
        </w:rPr>
        <w:t xml:space="preserve">the Council’s </w:t>
      </w:r>
      <w:r w:rsidR="00F56906">
        <w:rPr>
          <w:rFonts w:eastAsiaTheme="minorEastAsia"/>
          <w:sz w:val="24"/>
          <w:szCs w:val="24"/>
          <w:lang w:eastAsia="en-IE"/>
        </w:rPr>
        <w:t>burial ground services</w:t>
      </w:r>
      <w:r w:rsidR="00843422">
        <w:rPr>
          <w:rFonts w:eastAsiaTheme="minorEastAsia"/>
          <w:sz w:val="24"/>
          <w:szCs w:val="24"/>
          <w:lang w:eastAsia="en-IE"/>
        </w:rPr>
        <w:t>.</w:t>
      </w:r>
      <w:r w:rsidR="00E373EF">
        <w:rPr>
          <w:rFonts w:eastAsiaTheme="minorEastAsia"/>
          <w:sz w:val="24"/>
          <w:szCs w:val="24"/>
          <w:lang w:eastAsia="en-IE"/>
        </w:rPr>
        <w:t xml:space="preserve"> </w:t>
      </w:r>
      <w:r w:rsidR="004C2ECB">
        <w:rPr>
          <w:rFonts w:eastAsiaTheme="minorEastAsia"/>
          <w:sz w:val="24"/>
          <w:szCs w:val="24"/>
          <w:lang w:eastAsia="en-IE"/>
        </w:rPr>
        <w:t xml:space="preserve"> </w:t>
      </w:r>
    </w:p>
    <w:p w:rsidR="005D1549" w:rsidRDefault="004C2ECB" w:rsidP="00E373EF">
      <w:pPr>
        <w:rPr>
          <w:rFonts w:eastAsiaTheme="minorEastAsia"/>
          <w:sz w:val="24"/>
          <w:szCs w:val="24"/>
          <w:lang w:eastAsia="en-IE"/>
        </w:rPr>
      </w:pPr>
      <w:r>
        <w:rPr>
          <w:rFonts w:eastAsiaTheme="minorEastAsia"/>
          <w:sz w:val="24"/>
          <w:szCs w:val="24"/>
          <w:lang w:eastAsia="en-IE"/>
        </w:rPr>
        <w:t xml:space="preserve">This review examined capacity, </w:t>
      </w:r>
      <w:r w:rsidR="00F56906">
        <w:rPr>
          <w:rFonts w:eastAsiaTheme="minorEastAsia"/>
          <w:sz w:val="24"/>
          <w:szCs w:val="24"/>
          <w:lang w:eastAsia="en-IE"/>
        </w:rPr>
        <w:t>costs</w:t>
      </w:r>
      <w:r w:rsidR="00752741">
        <w:rPr>
          <w:rFonts w:eastAsiaTheme="minorEastAsia"/>
          <w:sz w:val="24"/>
          <w:szCs w:val="24"/>
          <w:lang w:eastAsia="en-IE"/>
        </w:rPr>
        <w:t>,</w:t>
      </w:r>
      <w:r w:rsidR="00F56906">
        <w:rPr>
          <w:rFonts w:eastAsiaTheme="minorEastAsia"/>
          <w:sz w:val="24"/>
          <w:szCs w:val="24"/>
          <w:lang w:eastAsia="en-IE"/>
        </w:rPr>
        <w:t xml:space="preserve"> </w:t>
      </w:r>
      <w:r>
        <w:rPr>
          <w:rFonts w:eastAsiaTheme="minorEastAsia"/>
          <w:sz w:val="24"/>
          <w:szCs w:val="24"/>
          <w:lang w:eastAsia="en-IE"/>
        </w:rPr>
        <w:t>policies</w:t>
      </w:r>
      <w:r w:rsidR="00F56906">
        <w:rPr>
          <w:rFonts w:eastAsiaTheme="minorEastAsia"/>
          <w:sz w:val="24"/>
          <w:szCs w:val="24"/>
          <w:lang w:eastAsia="en-IE"/>
        </w:rPr>
        <w:t xml:space="preserve"> and </w:t>
      </w:r>
      <w:r>
        <w:rPr>
          <w:rFonts w:eastAsiaTheme="minorEastAsia"/>
          <w:sz w:val="24"/>
          <w:szCs w:val="24"/>
          <w:lang w:eastAsia="en-IE"/>
        </w:rPr>
        <w:t>procedures associated with the administration, operations and maintenance</w:t>
      </w:r>
      <w:r w:rsidR="00752741">
        <w:rPr>
          <w:rFonts w:eastAsiaTheme="minorEastAsia"/>
          <w:sz w:val="24"/>
          <w:szCs w:val="24"/>
          <w:lang w:eastAsia="en-IE"/>
        </w:rPr>
        <w:t xml:space="preserve"> of the service</w:t>
      </w:r>
      <w:r>
        <w:rPr>
          <w:rFonts w:eastAsiaTheme="minorEastAsia"/>
          <w:sz w:val="24"/>
          <w:szCs w:val="24"/>
          <w:lang w:eastAsia="en-IE"/>
        </w:rPr>
        <w:t>.</w:t>
      </w:r>
    </w:p>
    <w:p w:rsidR="00235029" w:rsidRDefault="004E4150" w:rsidP="00FD48EF">
      <w:pPr>
        <w:spacing w:after="0"/>
        <w:rPr>
          <w:rFonts w:eastAsia="Times New Roman" w:cs="Times New Roman"/>
          <w:sz w:val="24"/>
          <w:szCs w:val="24"/>
          <w:lang w:eastAsia="en-GB"/>
        </w:rPr>
      </w:pPr>
      <w:r>
        <w:rPr>
          <w:rFonts w:eastAsiaTheme="minorEastAsia"/>
          <w:sz w:val="24"/>
          <w:szCs w:val="24"/>
          <w:lang w:eastAsia="en-IE"/>
        </w:rPr>
        <w:t xml:space="preserve">A comprehensive suite of protocols and procedures </w:t>
      </w:r>
      <w:r w:rsidR="00443B69">
        <w:rPr>
          <w:rFonts w:eastAsiaTheme="minorEastAsia"/>
          <w:sz w:val="24"/>
          <w:szCs w:val="24"/>
          <w:lang w:eastAsia="en-IE"/>
        </w:rPr>
        <w:t xml:space="preserve">exist </w:t>
      </w:r>
      <w:r>
        <w:rPr>
          <w:rFonts w:eastAsiaTheme="minorEastAsia"/>
          <w:sz w:val="24"/>
          <w:szCs w:val="24"/>
          <w:lang w:eastAsia="en-IE"/>
        </w:rPr>
        <w:t>to ensure that this service</w:t>
      </w:r>
      <w:r w:rsidR="00235029">
        <w:rPr>
          <w:rFonts w:eastAsiaTheme="minorEastAsia"/>
          <w:sz w:val="24"/>
          <w:szCs w:val="24"/>
          <w:lang w:eastAsia="en-IE"/>
        </w:rPr>
        <w:t xml:space="preserve"> is </w:t>
      </w:r>
      <w:r w:rsidR="00235029" w:rsidRPr="00235029">
        <w:rPr>
          <w:rFonts w:eastAsia="Times New Roman" w:cs="Times New Roman"/>
          <w:sz w:val="24"/>
          <w:szCs w:val="24"/>
          <w:lang w:eastAsia="en-GB"/>
        </w:rPr>
        <w:t xml:space="preserve">managed and maintained to the standard befitting the memory of all those loved ones buried in </w:t>
      </w:r>
      <w:r w:rsidR="00235029">
        <w:rPr>
          <w:rFonts w:eastAsia="Times New Roman" w:cs="Times New Roman"/>
          <w:sz w:val="24"/>
          <w:szCs w:val="24"/>
          <w:lang w:eastAsia="en-GB"/>
        </w:rPr>
        <w:t>the Council’s cemeteries.</w:t>
      </w:r>
    </w:p>
    <w:p w:rsidR="00EA0DB8" w:rsidRDefault="00EA0DB8" w:rsidP="00FD48EF">
      <w:pPr>
        <w:spacing w:after="0"/>
        <w:rPr>
          <w:rFonts w:eastAsia="Times New Roman" w:cs="Times New Roman"/>
          <w:sz w:val="24"/>
          <w:szCs w:val="24"/>
          <w:lang w:eastAsia="en-GB"/>
        </w:rPr>
      </w:pPr>
    </w:p>
    <w:p w:rsidR="005D1549" w:rsidRDefault="00317259" w:rsidP="00FD48EF">
      <w:pPr>
        <w:spacing w:after="0"/>
        <w:rPr>
          <w:rFonts w:eastAsiaTheme="minorEastAsia"/>
          <w:b/>
          <w:color w:val="1F4E79" w:themeColor="accent1" w:themeShade="80"/>
          <w:sz w:val="24"/>
          <w:szCs w:val="24"/>
          <w:lang w:eastAsia="en-IE"/>
        </w:rPr>
      </w:pPr>
      <w:r>
        <w:rPr>
          <w:rFonts w:eastAsiaTheme="minorEastAsia"/>
          <w:b/>
          <w:color w:val="1F4E79" w:themeColor="accent1" w:themeShade="80"/>
          <w:sz w:val="24"/>
          <w:szCs w:val="24"/>
          <w:lang w:eastAsia="en-IE"/>
        </w:rPr>
        <w:t>4</w:t>
      </w:r>
      <w:r w:rsidR="00843422">
        <w:rPr>
          <w:rFonts w:eastAsiaTheme="minorEastAsia"/>
          <w:b/>
          <w:color w:val="1F4E79" w:themeColor="accent1" w:themeShade="80"/>
          <w:sz w:val="24"/>
          <w:szCs w:val="24"/>
          <w:lang w:eastAsia="en-IE"/>
        </w:rPr>
        <w:t xml:space="preserve">. </w:t>
      </w:r>
      <w:r w:rsidR="00843422">
        <w:rPr>
          <w:rFonts w:eastAsiaTheme="minorEastAsia"/>
          <w:b/>
          <w:color w:val="1F4E79" w:themeColor="accent1" w:themeShade="80"/>
          <w:sz w:val="24"/>
          <w:szCs w:val="24"/>
          <w:lang w:eastAsia="en-IE"/>
        </w:rPr>
        <w:tab/>
      </w:r>
      <w:r w:rsidR="007F1A4A">
        <w:rPr>
          <w:rFonts w:eastAsiaTheme="minorEastAsia"/>
          <w:b/>
          <w:color w:val="1F4E79" w:themeColor="accent1" w:themeShade="80"/>
          <w:sz w:val="24"/>
          <w:szCs w:val="24"/>
          <w:lang w:eastAsia="en-IE"/>
        </w:rPr>
        <w:t>Objective</w:t>
      </w:r>
    </w:p>
    <w:p w:rsidR="00EA0DB8" w:rsidRPr="007F1A4A" w:rsidRDefault="00EA0DB8" w:rsidP="00FD48EF">
      <w:pPr>
        <w:spacing w:after="0"/>
        <w:rPr>
          <w:rFonts w:eastAsiaTheme="minorEastAsia"/>
          <w:b/>
          <w:color w:val="1F4E79" w:themeColor="accent1" w:themeShade="80"/>
          <w:sz w:val="24"/>
          <w:szCs w:val="24"/>
          <w:lang w:eastAsia="en-IE"/>
        </w:rPr>
      </w:pPr>
    </w:p>
    <w:p w:rsidR="007F1A4A" w:rsidRDefault="007F1A4A" w:rsidP="007F1A4A">
      <w:pPr>
        <w:rPr>
          <w:rFonts w:eastAsiaTheme="minorEastAsia"/>
          <w:sz w:val="24"/>
          <w:szCs w:val="24"/>
          <w:lang w:eastAsia="en-IE"/>
        </w:rPr>
      </w:pPr>
      <w:r w:rsidRPr="00CF61A7">
        <w:rPr>
          <w:rFonts w:ascii="Calibri" w:eastAsia="Calibri" w:hAnsi="Calibri" w:cs="Calibri"/>
          <w:sz w:val="24"/>
          <w:lang w:eastAsia="en-IE"/>
        </w:rPr>
        <w:t xml:space="preserve">The </w:t>
      </w:r>
      <w:r>
        <w:rPr>
          <w:rFonts w:ascii="Calibri" w:eastAsia="Calibri" w:hAnsi="Calibri" w:cs="Calibri"/>
          <w:sz w:val="24"/>
          <w:lang w:eastAsia="en-IE"/>
        </w:rPr>
        <w:t>obj</w:t>
      </w:r>
      <w:r w:rsidRPr="00CF61A7">
        <w:rPr>
          <w:rFonts w:ascii="Calibri" w:eastAsia="Calibri" w:hAnsi="Calibri" w:cs="Calibri"/>
          <w:sz w:val="24"/>
          <w:lang w:eastAsia="en-IE"/>
        </w:rPr>
        <w:t xml:space="preserve">ective of this Burial Grounds </w:t>
      </w:r>
      <w:r>
        <w:rPr>
          <w:rFonts w:ascii="Calibri" w:eastAsia="Calibri" w:hAnsi="Calibri" w:cs="Calibri"/>
          <w:sz w:val="24"/>
          <w:lang w:eastAsia="en-IE"/>
        </w:rPr>
        <w:t xml:space="preserve">Strategy is to clearly set out the Council’s </w:t>
      </w:r>
      <w:r w:rsidRPr="00CF61A7">
        <w:rPr>
          <w:rFonts w:ascii="Calibri" w:eastAsia="Calibri" w:hAnsi="Calibri" w:cs="Calibri"/>
          <w:sz w:val="24"/>
          <w:lang w:eastAsia="en-IE"/>
        </w:rPr>
        <w:t xml:space="preserve">capacity, </w:t>
      </w:r>
      <w:r>
        <w:rPr>
          <w:rFonts w:ascii="Calibri" w:eastAsia="Calibri" w:hAnsi="Calibri" w:cs="Calibri"/>
          <w:sz w:val="24"/>
          <w:lang w:eastAsia="en-IE"/>
        </w:rPr>
        <w:t xml:space="preserve">costs, </w:t>
      </w:r>
      <w:r w:rsidRPr="00CF61A7">
        <w:rPr>
          <w:rFonts w:ascii="Calibri" w:eastAsia="Calibri" w:hAnsi="Calibri" w:cs="Calibri"/>
          <w:sz w:val="24"/>
          <w:lang w:eastAsia="en-IE"/>
        </w:rPr>
        <w:t>policies</w:t>
      </w:r>
      <w:r>
        <w:rPr>
          <w:rFonts w:ascii="Calibri" w:eastAsia="Calibri" w:hAnsi="Calibri" w:cs="Calibri"/>
          <w:sz w:val="24"/>
          <w:lang w:eastAsia="en-IE"/>
        </w:rPr>
        <w:t xml:space="preserve"> and </w:t>
      </w:r>
      <w:r w:rsidRPr="00CF61A7">
        <w:rPr>
          <w:rFonts w:ascii="Calibri" w:eastAsia="Calibri" w:hAnsi="Calibri" w:cs="Calibri"/>
          <w:sz w:val="24"/>
          <w:lang w:eastAsia="en-IE"/>
        </w:rPr>
        <w:t xml:space="preserve">practices pertaining to </w:t>
      </w:r>
      <w:r>
        <w:rPr>
          <w:rFonts w:ascii="Calibri" w:eastAsia="Calibri" w:hAnsi="Calibri" w:cs="Calibri"/>
          <w:sz w:val="24"/>
          <w:lang w:eastAsia="en-IE"/>
        </w:rPr>
        <w:t xml:space="preserve">the </w:t>
      </w:r>
      <w:r w:rsidRPr="00CF61A7">
        <w:rPr>
          <w:rFonts w:ascii="Calibri" w:eastAsia="Calibri" w:hAnsi="Calibri" w:cs="Calibri"/>
          <w:sz w:val="24"/>
          <w:lang w:eastAsia="en-IE"/>
        </w:rPr>
        <w:t xml:space="preserve">management (administration, operation, and maintenance) of </w:t>
      </w:r>
      <w:r>
        <w:rPr>
          <w:rFonts w:ascii="Calibri" w:eastAsia="Calibri" w:hAnsi="Calibri" w:cs="Calibri"/>
          <w:sz w:val="24"/>
          <w:lang w:eastAsia="en-IE"/>
        </w:rPr>
        <w:t xml:space="preserve">its Burial Grounds, to ensure the </w:t>
      </w:r>
      <w:r w:rsidRPr="00CF61A7">
        <w:rPr>
          <w:rFonts w:ascii="Calibri" w:eastAsia="Calibri" w:hAnsi="Calibri" w:cs="Calibri"/>
          <w:sz w:val="24"/>
          <w:lang w:eastAsia="en-IE"/>
        </w:rPr>
        <w:t xml:space="preserve">effective </w:t>
      </w:r>
      <w:r>
        <w:rPr>
          <w:rFonts w:ascii="Calibri" w:eastAsia="Calibri" w:hAnsi="Calibri" w:cs="Calibri"/>
          <w:sz w:val="24"/>
          <w:lang w:eastAsia="en-IE"/>
        </w:rPr>
        <w:t xml:space="preserve">and efficient </w:t>
      </w:r>
      <w:r w:rsidRPr="00CF61A7">
        <w:rPr>
          <w:rFonts w:ascii="Calibri" w:eastAsia="Calibri" w:hAnsi="Calibri" w:cs="Calibri"/>
          <w:sz w:val="24"/>
          <w:lang w:eastAsia="en-IE"/>
        </w:rPr>
        <w:t>delivery of this service</w:t>
      </w:r>
      <w:r>
        <w:rPr>
          <w:rFonts w:ascii="Calibri" w:eastAsia="Calibri" w:hAnsi="Calibri" w:cs="Calibri"/>
          <w:sz w:val="24"/>
          <w:lang w:eastAsia="en-IE"/>
        </w:rPr>
        <w:t xml:space="preserve"> within South Dublin County,</w:t>
      </w:r>
      <w:r w:rsidRPr="007F1A4A">
        <w:rPr>
          <w:rFonts w:eastAsiaTheme="minorEastAsia"/>
          <w:sz w:val="24"/>
          <w:szCs w:val="24"/>
          <w:lang w:eastAsia="en-IE"/>
        </w:rPr>
        <w:t xml:space="preserve"> </w:t>
      </w:r>
      <w:r>
        <w:rPr>
          <w:rFonts w:eastAsiaTheme="minorEastAsia"/>
          <w:sz w:val="24"/>
          <w:szCs w:val="24"/>
          <w:lang w:eastAsia="en-IE"/>
        </w:rPr>
        <w:t xml:space="preserve">and to determine the way this service should be developed and improved over the next five (5) years.  </w:t>
      </w:r>
    </w:p>
    <w:p w:rsidR="00843422" w:rsidRPr="00BC0770" w:rsidRDefault="00317259" w:rsidP="007F1A4A">
      <w:pPr>
        <w:rPr>
          <w:rFonts w:eastAsia="Times New Roman" w:cs="Times New Roman"/>
          <w:b/>
          <w:color w:val="1F4E79" w:themeColor="accent1" w:themeShade="80"/>
          <w:sz w:val="24"/>
          <w:szCs w:val="24"/>
          <w:lang w:eastAsia="en-IE"/>
        </w:rPr>
      </w:pPr>
      <w:r>
        <w:rPr>
          <w:rFonts w:eastAsiaTheme="minorEastAsia"/>
          <w:b/>
          <w:color w:val="1F4E79" w:themeColor="accent1" w:themeShade="80"/>
          <w:sz w:val="24"/>
          <w:szCs w:val="24"/>
          <w:lang w:eastAsia="en-IE"/>
        </w:rPr>
        <w:t>5</w:t>
      </w:r>
      <w:r w:rsidR="00843422" w:rsidRPr="00BC0770">
        <w:rPr>
          <w:rFonts w:eastAsiaTheme="minorEastAsia"/>
          <w:b/>
          <w:color w:val="1F4E79" w:themeColor="accent1" w:themeShade="80"/>
          <w:sz w:val="24"/>
          <w:szCs w:val="24"/>
          <w:lang w:eastAsia="en-IE"/>
        </w:rPr>
        <w:t xml:space="preserve">. </w:t>
      </w:r>
      <w:r w:rsidR="00843422" w:rsidRPr="00BC0770">
        <w:rPr>
          <w:rFonts w:eastAsiaTheme="minorEastAsia"/>
          <w:b/>
          <w:color w:val="1F4E79" w:themeColor="accent1" w:themeShade="80"/>
          <w:sz w:val="24"/>
          <w:szCs w:val="24"/>
          <w:lang w:eastAsia="en-IE"/>
        </w:rPr>
        <w:tab/>
      </w:r>
      <w:r w:rsidR="00EF4A58" w:rsidRPr="00BC0770">
        <w:rPr>
          <w:rFonts w:eastAsiaTheme="minorEastAsia"/>
          <w:b/>
          <w:color w:val="1F4E79" w:themeColor="accent1" w:themeShade="80"/>
          <w:sz w:val="24"/>
          <w:szCs w:val="24"/>
          <w:lang w:eastAsia="en-IE"/>
        </w:rPr>
        <w:t>Overheads</w:t>
      </w:r>
    </w:p>
    <w:p w:rsidR="004E4150" w:rsidRPr="004E4150" w:rsidRDefault="00843422" w:rsidP="007F1A4A">
      <w:pPr>
        <w:rPr>
          <w:rFonts w:eastAsiaTheme="minorEastAsia"/>
          <w:sz w:val="24"/>
          <w:szCs w:val="24"/>
          <w:lang w:eastAsia="en-IE"/>
        </w:rPr>
      </w:pPr>
      <w:r w:rsidRPr="00BC0770">
        <w:rPr>
          <w:rFonts w:eastAsiaTheme="minorEastAsia"/>
          <w:sz w:val="24"/>
          <w:szCs w:val="24"/>
          <w:lang w:eastAsia="en-IE"/>
        </w:rPr>
        <w:t xml:space="preserve">The </w:t>
      </w:r>
      <w:r w:rsidR="00547E18" w:rsidRPr="00BC0770">
        <w:rPr>
          <w:rFonts w:eastAsiaTheme="minorEastAsia"/>
          <w:sz w:val="24"/>
          <w:szCs w:val="24"/>
          <w:lang w:eastAsia="en-IE"/>
        </w:rPr>
        <w:t xml:space="preserve">Council incurs considerable expense annually in the administration and operation of the </w:t>
      </w:r>
      <w:r w:rsidR="00547E18" w:rsidRPr="004E4150">
        <w:rPr>
          <w:rFonts w:eastAsiaTheme="minorEastAsia"/>
          <w:sz w:val="24"/>
          <w:szCs w:val="24"/>
          <w:lang w:eastAsia="en-IE"/>
        </w:rPr>
        <w:t>service, w</w:t>
      </w:r>
      <w:r w:rsidR="00EF4A58" w:rsidRPr="004E4150">
        <w:rPr>
          <w:rFonts w:eastAsiaTheme="minorEastAsia"/>
          <w:sz w:val="24"/>
          <w:szCs w:val="24"/>
          <w:lang w:eastAsia="en-IE"/>
        </w:rPr>
        <w:t xml:space="preserve">hich </w:t>
      </w:r>
      <w:r w:rsidR="00EA0DB8">
        <w:rPr>
          <w:rFonts w:eastAsiaTheme="minorEastAsia"/>
          <w:sz w:val="24"/>
          <w:szCs w:val="24"/>
          <w:lang w:eastAsia="en-IE"/>
        </w:rPr>
        <w:t>is</w:t>
      </w:r>
      <w:r w:rsidR="00EF4A58" w:rsidRPr="004E4150">
        <w:rPr>
          <w:rFonts w:eastAsiaTheme="minorEastAsia"/>
          <w:sz w:val="24"/>
          <w:szCs w:val="24"/>
          <w:lang w:eastAsia="en-IE"/>
        </w:rPr>
        <w:t xml:space="preserve"> offset </w:t>
      </w:r>
      <w:r w:rsidR="004C2ECB" w:rsidRPr="004E4150">
        <w:rPr>
          <w:rFonts w:eastAsiaTheme="minorEastAsia"/>
          <w:sz w:val="24"/>
          <w:szCs w:val="24"/>
          <w:lang w:eastAsia="en-IE"/>
        </w:rPr>
        <w:t xml:space="preserve">from income earned through </w:t>
      </w:r>
      <w:r w:rsidR="00EF4A58" w:rsidRPr="004E4150">
        <w:rPr>
          <w:rFonts w:eastAsiaTheme="minorEastAsia"/>
          <w:sz w:val="24"/>
          <w:szCs w:val="24"/>
          <w:lang w:eastAsia="en-IE"/>
        </w:rPr>
        <w:t xml:space="preserve">charges levied for services provided.  </w:t>
      </w:r>
    </w:p>
    <w:p w:rsidR="004E4150" w:rsidRPr="004E4150" w:rsidRDefault="00CF7D6F" w:rsidP="004E4150">
      <w:pPr>
        <w:autoSpaceDE w:val="0"/>
        <w:autoSpaceDN w:val="0"/>
        <w:adjustRightInd w:val="0"/>
        <w:spacing w:after="0" w:line="240" w:lineRule="auto"/>
        <w:rPr>
          <w:rFonts w:eastAsiaTheme="minorEastAsia"/>
          <w:sz w:val="24"/>
          <w:szCs w:val="24"/>
          <w:lang w:eastAsia="en-IE"/>
        </w:rPr>
      </w:pPr>
      <w:r w:rsidRPr="004E4150">
        <w:rPr>
          <w:rFonts w:eastAsiaTheme="minorEastAsia"/>
          <w:sz w:val="24"/>
          <w:szCs w:val="24"/>
          <w:lang w:eastAsia="en-IE"/>
        </w:rPr>
        <w:t xml:space="preserve">In the interest of transparency and in line with </w:t>
      </w:r>
      <w:r w:rsidR="00752741" w:rsidRPr="004E4150">
        <w:rPr>
          <w:rFonts w:eastAsiaTheme="minorEastAsia"/>
          <w:sz w:val="24"/>
          <w:szCs w:val="24"/>
          <w:lang w:eastAsia="en-IE"/>
        </w:rPr>
        <w:t xml:space="preserve">best </w:t>
      </w:r>
      <w:r w:rsidRPr="004E4150">
        <w:rPr>
          <w:rFonts w:eastAsiaTheme="minorEastAsia"/>
          <w:sz w:val="24"/>
          <w:szCs w:val="24"/>
          <w:lang w:eastAsia="en-IE"/>
        </w:rPr>
        <w:t xml:space="preserve">practice, charges will be </w:t>
      </w:r>
      <w:r w:rsidR="00857C41">
        <w:rPr>
          <w:rFonts w:eastAsiaTheme="minorEastAsia"/>
          <w:sz w:val="24"/>
          <w:szCs w:val="24"/>
          <w:lang w:eastAsia="en-IE"/>
        </w:rPr>
        <w:t xml:space="preserve">regularly </w:t>
      </w:r>
      <w:r w:rsidRPr="004E4150">
        <w:rPr>
          <w:rFonts w:eastAsiaTheme="minorEastAsia"/>
          <w:sz w:val="24"/>
          <w:szCs w:val="24"/>
          <w:lang w:eastAsia="en-IE"/>
        </w:rPr>
        <w:t xml:space="preserve">reviewed </w:t>
      </w:r>
      <w:r w:rsidR="004E4150" w:rsidRPr="004E4150">
        <w:rPr>
          <w:rFonts w:eastAsiaTheme="minorEastAsia"/>
          <w:sz w:val="24"/>
          <w:szCs w:val="24"/>
          <w:lang w:eastAsia="en-IE"/>
        </w:rPr>
        <w:t xml:space="preserve">to ensure that </w:t>
      </w:r>
      <w:r w:rsidR="004E4150" w:rsidRPr="004E4150">
        <w:rPr>
          <w:rFonts w:cs="Helvetica"/>
          <w:sz w:val="24"/>
          <w:szCs w:val="24"/>
        </w:rPr>
        <w:t xml:space="preserve">charges and maintenance </w:t>
      </w:r>
      <w:r w:rsidR="004E4150">
        <w:rPr>
          <w:rFonts w:cs="Helvetica"/>
          <w:sz w:val="24"/>
          <w:szCs w:val="24"/>
        </w:rPr>
        <w:t xml:space="preserve">costs </w:t>
      </w:r>
      <w:r w:rsidR="004E4150" w:rsidRPr="004E4150">
        <w:rPr>
          <w:rFonts w:cs="Helvetica"/>
          <w:sz w:val="24"/>
          <w:szCs w:val="24"/>
        </w:rPr>
        <w:t>are comparable to the current market, are yielding Value for Money</w:t>
      </w:r>
      <w:r w:rsidR="004E4150">
        <w:rPr>
          <w:rFonts w:cs="Helvetica"/>
          <w:sz w:val="24"/>
          <w:szCs w:val="24"/>
        </w:rPr>
        <w:t>,</w:t>
      </w:r>
      <w:r w:rsidR="004E4150" w:rsidRPr="004E4150">
        <w:rPr>
          <w:rFonts w:cs="Helvetica"/>
          <w:sz w:val="24"/>
          <w:szCs w:val="24"/>
        </w:rPr>
        <w:t xml:space="preserve"> and cover costs as far as possible.</w:t>
      </w:r>
    </w:p>
    <w:p w:rsidR="004E4150" w:rsidRDefault="004E4150" w:rsidP="004E4150">
      <w:pPr>
        <w:autoSpaceDE w:val="0"/>
        <w:autoSpaceDN w:val="0"/>
        <w:adjustRightInd w:val="0"/>
        <w:spacing w:after="0" w:line="240" w:lineRule="auto"/>
        <w:rPr>
          <w:rFonts w:eastAsiaTheme="minorEastAsia"/>
          <w:sz w:val="24"/>
          <w:szCs w:val="24"/>
          <w:lang w:eastAsia="en-IE"/>
        </w:rPr>
      </w:pPr>
    </w:p>
    <w:p w:rsidR="00280437" w:rsidRPr="00BC0770" w:rsidRDefault="00317259" w:rsidP="00280437">
      <w:pPr>
        <w:rPr>
          <w:rFonts w:eastAsia="Times New Roman" w:cs="Times New Roman"/>
          <w:b/>
          <w:color w:val="1F4E79" w:themeColor="accent1" w:themeShade="80"/>
          <w:sz w:val="24"/>
          <w:szCs w:val="24"/>
          <w:lang w:eastAsia="en-IE"/>
        </w:rPr>
      </w:pPr>
      <w:r>
        <w:rPr>
          <w:rFonts w:eastAsiaTheme="minorEastAsia"/>
          <w:b/>
          <w:color w:val="1F4E79" w:themeColor="accent1" w:themeShade="80"/>
          <w:sz w:val="24"/>
          <w:szCs w:val="24"/>
          <w:lang w:eastAsia="en-IE"/>
        </w:rPr>
        <w:t>6</w:t>
      </w:r>
      <w:r w:rsidR="00280437" w:rsidRPr="00BC0770">
        <w:rPr>
          <w:rFonts w:eastAsiaTheme="minorEastAsia"/>
          <w:b/>
          <w:color w:val="1F4E79" w:themeColor="accent1" w:themeShade="80"/>
          <w:sz w:val="24"/>
          <w:szCs w:val="24"/>
          <w:lang w:eastAsia="en-IE"/>
        </w:rPr>
        <w:t xml:space="preserve">. </w:t>
      </w:r>
      <w:r w:rsidR="00280437" w:rsidRPr="00BC0770">
        <w:rPr>
          <w:rFonts w:eastAsiaTheme="minorEastAsia"/>
          <w:b/>
          <w:color w:val="1F4E79" w:themeColor="accent1" w:themeShade="80"/>
          <w:sz w:val="24"/>
          <w:szCs w:val="24"/>
          <w:lang w:eastAsia="en-IE"/>
        </w:rPr>
        <w:tab/>
      </w:r>
      <w:r w:rsidR="00280437">
        <w:rPr>
          <w:rFonts w:eastAsiaTheme="minorEastAsia"/>
          <w:b/>
          <w:color w:val="1F4E79" w:themeColor="accent1" w:themeShade="80"/>
          <w:sz w:val="24"/>
          <w:szCs w:val="24"/>
          <w:lang w:eastAsia="en-IE"/>
        </w:rPr>
        <w:t>Competitive Analysis</w:t>
      </w:r>
      <w:r w:rsidR="004F768D">
        <w:rPr>
          <w:rFonts w:eastAsiaTheme="minorEastAsia"/>
          <w:b/>
          <w:color w:val="1F4E79" w:themeColor="accent1" w:themeShade="80"/>
          <w:sz w:val="24"/>
          <w:szCs w:val="24"/>
          <w:lang w:eastAsia="en-IE"/>
        </w:rPr>
        <w:t xml:space="preserve"> / Future Development </w:t>
      </w:r>
    </w:p>
    <w:p w:rsidR="00280437" w:rsidRDefault="00280437" w:rsidP="007F1A4A">
      <w:pPr>
        <w:rPr>
          <w:rFonts w:eastAsiaTheme="minorEastAsia"/>
          <w:sz w:val="24"/>
          <w:szCs w:val="24"/>
          <w:lang w:eastAsia="en-IE"/>
        </w:rPr>
      </w:pPr>
      <w:r>
        <w:rPr>
          <w:rFonts w:eastAsiaTheme="minorEastAsia"/>
          <w:sz w:val="24"/>
          <w:szCs w:val="24"/>
          <w:lang w:eastAsia="en-IE"/>
        </w:rPr>
        <w:t>The Council is not exclusive in the provision of Burial Ground</w:t>
      </w:r>
      <w:r w:rsidR="004F768D">
        <w:rPr>
          <w:rFonts w:eastAsiaTheme="minorEastAsia"/>
          <w:sz w:val="24"/>
          <w:szCs w:val="24"/>
          <w:lang w:eastAsia="en-IE"/>
        </w:rPr>
        <w:t xml:space="preserve"> services</w:t>
      </w:r>
      <w:r>
        <w:rPr>
          <w:rFonts w:eastAsiaTheme="minorEastAsia"/>
          <w:sz w:val="24"/>
          <w:szCs w:val="24"/>
          <w:lang w:eastAsia="en-IE"/>
        </w:rPr>
        <w:t xml:space="preserve"> within South Dublin County</w:t>
      </w:r>
      <w:r w:rsidR="004F768D">
        <w:rPr>
          <w:rFonts w:eastAsiaTheme="minorEastAsia"/>
          <w:sz w:val="24"/>
          <w:szCs w:val="24"/>
          <w:lang w:eastAsia="en-IE"/>
        </w:rPr>
        <w:t xml:space="preserve">, with a number of private facilities </w:t>
      </w:r>
      <w:r w:rsidR="008375CB">
        <w:rPr>
          <w:rFonts w:eastAsiaTheme="minorEastAsia"/>
          <w:sz w:val="24"/>
          <w:szCs w:val="24"/>
          <w:lang w:eastAsia="en-IE"/>
        </w:rPr>
        <w:t xml:space="preserve">having been </w:t>
      </w:r>
      <w:r w:rsidR="004F768D">
        <w:rPr>
          <w:rFonts w:eastAsiaTheme="minorEastAsia"/>
          <w:sz w:val="24"/>
          <w:szCs w:val="24"/>
          <w:lang w:eastAsia="en-IE"/>
        </w:rPr>
        <w:t xml:space="preserve">developed </w:t>
      </w:r>
      <w:r w:rsidR="008375CB">
        <w:rPr>
          <w:rFonts w:eastAsiaTheme="minorEastAsia"/>
          <w:sz w:val="24"/>
          <w:szCs w:val="24"/>
          <w:lang w:eastAsia="en-IE"/>
        </w:rPr>
        <w:t xml:space="preserve">/ </w:t>
      </w:r>
      <w:r w:rsidR="004F768D">
        <w:rPr>
          <w:rFonts w:eastAsiaTheme="minorEastAsia"/>
          <w:sz w:val="24"/>
          <w:szCs w:val="24"/>
          <w:lang w:eastAsia="en-IE"/>
        </w:rPr>
        <w:t>in development in recent years</w:t>
      </w:r>
      <w:r>
        <w:rPr>
          <w:rFonts w:eastAsiaTheme="minorEastAsia"/>
          <w:sz w:val="24"/>
          <w:szCs w:val="24"/>
          <w:lang w:eastAsia="en-IE"/>
        </w:rPr>
        <w:t>.</w:t>
      </w:r>
    </w:p>
    <w:p w:rsidR="00BC0770" w:rsidRDefault="00BC0770" w:rsidP="00AE3D4B">
      <w:pPr>
        <w:rPr>
          <w:rFonts w:eastAsiaTheme="minorEastAsia"/>
          <w:sz w:val="24"/>
          <w:szCs w:val="24"/>
          <w:lang w:eastAsia="en-IE"/>
        </w:rPr>
      </w:pPr>
      <w:r w:rsidRPr="00752741">
        <w:rPr>
          <w:rFonts w:eastAsiaTheme="minorEastAsia"/>
          <w:sz w:val="24"/>
          <w:szCs w:val="24"/>
          <w:lang w:eastAsia="en-IE"/>
        </w:rPr>
        <w:t xml:space="preserve">Given the capacity already identified </w:t>
      </w:r>
      <w:r w:rsidR="004F768D" w:rsidRPr="00752741">
        <w:rPr>
          <w:rFonts w:eastAsiaTheme="minorEastAsia"/>
          <w:sz w:val="24"/>
          <w:szCs w:val="24"/>
          <w:lang w:eastAsia="en-IE"/>
        </w:rPr>
        <w:t xml:space="preserve">at </w:t>
      </w:r>
      <w:r w:rsidR="00F56906" w:rsidRPr="00752741">
        <w:rPr>
          <w:rFonts w:eastAsiaTheme="minorEastAsia"/>
          <w:sz w:val="24"/>
          <w:szCs w:val="24"/>
          <w:lang w:eastAsia="en-IE"/>
        </w:rPr>
        <w:t xml:space="preserve">the four operational </w:t>
      </w:r>
      <w:r w:rsidR="004F768D" w:rsidRPr="00752741">
        <w:rPr>
          <w:rFonts w:eastAsiaTheme="minorEastAsia"/>
          <w:sz w:val="24"/>
          <w:szCs w:val="24"/>
          <w:lang w:eastAsia="en-IE"/>
        </w:rPr>
        <w:t xml:space="preserve">publicly owned </w:t>
      </w:r>
      <w:r w:rsidR="00F56906" w:rsidRPr="00752741">
        <w:rPr>
          <w:rFonts w:eastAsiaTheme="minorEastAsia"/>
          <w:sz w:val="24"/>
          <w:szCs w:val="24"/>
          <w:lang w:eastAsia="en-IE"/>
        </w:rPr>
        <w:t xml:space="preserve">burial </w:t>
      </w:r>
      <w:r w:rsidR="004F768D" w:rsidRPr="00752741">
        <w:rPr>
          <w:rFonts w:eastAsiaTheme="minorEastAsia"/>
          <w:sz w:val="24"/>
          <w:szCs w:val="24"/>
          <w:lang w:eastAsia="en-IE"/>
        </w:rPr>
        <w:t xml:space="preserve">grounds, </w:t>
      </w:r>
      <w:r w:rsidR="00F56906" w:rsidRPr="00752741">
        <w:rPr>
          <w:rFonts w:eastAsiaTheme="minorEastAsia"/>
          <w:sz w:val="24"/>
          <w:szCs w:val="24"/>
          <w:lang w:eastAsia="en-IE"/>
        </w:rPr>
        <w:t xml:space="preserve">and the extent of </w:t>
      </w:r>
      <w:r w:rsidR="00752741">
        <w:rPr>
          <w:rFonts w:eastAsiaTheme="minorEastAsia"/>
          <w:sz w:val="24"/>
          <w:szCs w:val="24"/>
          <w:lang w:eastAsia="en-IE"/>
        </w:rPr>
        <w:t xml:space="preserve">existing and proposed </w:t>
      </w:r>
      <w:r w:rsidR="00F56906" w:rsidRPr="00752741">
        <w:rPr>
          <w:rFonts w:eastAsiaTheme="minorEastAsia"/>
          <w:sz w:val="24"/>
          <w:szCs w:val="24"/>
          <w:lang w:eastAsia="en-IE"/>
        </w:rPr>
        <w:t>development by the private sector</w:t>
      </w:r>
      <w:r w:rsidR="00752741">
        <w:rPr>
          <w:rFonts w:eastAsiaTheme="minorEastAsia"/>
          <w:sz w:val="24"/>
          <w:szCs w:val="24"/>
          <w:lang w:eastAsia="en-IE"/>
        </w:rPr>
        <w:t>,</w:t>
      </w:r>
      <w:r w:rsidR="00F56906" w:rsidRPr="00752741">
        <w:rPr>
          <w:rFonts w:eastAsiaTheme="minorEastAsia"/>
          <w:sz w:val="24"/>
          <w:szCs w:val="24"/>
          <w:lang w:eastAsia="en-IE"/>
        </w:rPr>
        <w:t xml:space="preserve"> it </w:t>
      </w:r>
      <w:r w:rsidR="00280437" w:rsidRPr="00752741">
        <w:rPr>
          <w:rFonts w:eastAsiaTheme="minorEastAsia"/>
          <w:sz w:val="24"/>
          <w:szCs w:val="24"/>
          <w:lang w:eastAsia="en-IE"/>
        </w:rPr>
        <w:t xml:space="preserve">is not </w:t>
      </w:r>
      <w:r w:rsidR="00B64405">
        <w:rPr>
          <w:rFonts w:eastAsiaTheme="minorEastAsia"/>
          <w:sz w:val="24"/>
          <w:szCs w:val="24"/>
          <w:lang w:eastAsia="en-IE"/>
        </w:rPr>
        <w:t xml:space="preserve">presently </w:t>
      </w:r>
      <w:bookmarkStart w:id="0" w:name="_GoBack"/>
      <w:bookmarkEnd w:id="0"/>
      <w:r w:rsidR="00280437" w:rsidRPr="00752741">
        <w:rPr>
          <w:rFonts w:eastAsiaTheme="minorEastAsia"/>
          <w:sz w:val="24"/>
          <w:szCs w:val="24"/>
          <w:lang w:eastAsia="en-IE"/>
        </w:rPr>
        <w:t xml:space="preserve">envisaged that </w:t>
      </w:r>
      <w:r w:rsidR="00F56906" w:rsidRPr="00752741">
        <w:rPr>
          <w:rFonts w:eastAsiaTheme="minorEastAsia"/>
          <w:sz w:val="24"/>
          <w:szCs w:val="24"/>
          <w:lang w:eastAsia="en-IE"/>
        </w:rPr>
        <w:t xml:space="preserve">further </w:t>
      </w:r>
      <w:r w:rsidR="00280437" w:rsidRPr="00752741">
        <w:rPr>
          <w:rFonts w:eastAsiaTheme="minorEastAsia"/>
          <w:sz w:val="24"/>
          <w:szCs w:val="24"/>
          <w:lang w:eastAsia="en-IE"/>
        </w:rPr>
        <w:t xml:space="preserve">lands will be acquired </w:t>
      </w:r>
      <w:r w:rsidR="00752741">
        <w:rPr>
          <w:rFonts w:eastAsiaTheme="minorEastAsia"/>
          <w:sz w:val="24"/>
          <w:szCs w:val="24"/>
          <w:lang w:eastAsia="en-IE"/>
        </w:rPr>
        <w:t xml:space="preserve">by the Council </w:t>
      </w:r>
      <w:r w:rsidR="00280437" w:rsidRPr="00752741">
        <w:rPr>
          <w:rFonts w:eastAsiaTheme="minorEastAsia"/>
          <w:sz w:val="24"/>
          <w:szCs w:val="24"/>
          <w:lang w:eastAsia="en-IE"/>
        </w:rPr>
        <w:t xml:space="preserve">to </w:t>
      </w:r>
      <w:r w:rsidR="00752741">
        <w:rPr>
          <w:rFonts w:eastAsiaTheme="minorEastAsia"/>
          <w:sz w:val="24"/>
          <w:szCs w:val="24"/>
          <w:lang w:eastAsia="en-IE"/>
        </w:rPr>
        <w:t xml:space="preserve">further </w:t>
      </w:r>
      <w:r w:rsidR="00280437" w:rsidRPr="00752741">
        <w:rPr>
          <w:rFonts w:eastAsiaTheme="minorEastAsia"/>
          <w:sz w:val="24"/>
          <w:szCs w:val="24"/>
          <w:lang w:eastAsia="en-IE"/>
        </w:rPr>
        <w:t xml:space="preserve">extend the capacity of the </w:t>
      </w:r>
      <w:r w:rsidR="00752741">
        <w:rPr>
          <w:rFonts w:eastAsiaTheme="minorEastAsia"/>
          <w:sz w:val="24"/>
          <w:szCs w:val="24"/>
          <w:lang w:eastAsia="en-IE"/>
        </w:rPr>
        <w:t xml:space="preserve">its </w:t>
      </w:r>
      <w:r w:rsidR="00F56906" w:rsidRPr="00752741">
        <w:rPr>
          <w:rFonts w:eastAsiaTheme="minorEastAsia"/>
          <w:sz w:val="24"/>
          <w:szCs w:val="24"/>
          <w:lang w:eastAsia="en-IE"/>
        </w:rPr>
        <w:t xml:space="preserve">public </w:t>
      </w:r>
      <w:r w:rsidR="00280437" w:rsidRPr="00752741">
        <w:rPr>
          <w:rFonts w:eastAsiaTheme="minorEastAsia"/>
          <w:sz w:val="24"/>
          <w:szCs w:val="24"/>
          <w:lang w:eastAsia="en-IE"/>
        </w:rPr>
        <w:t xml:space="preserve">burial grounds </w:t>
      </w:r>
      <w:r w:rsidR="00752741">
        <w:rPr>
          <w:rFonts w:eastAsiaTheme="minorEastAsia"/>
          <w:sz w:val="24"/>
          <w:szCs w:val="24"/>
          <w:lang w:eastAsia="en-IE"/>
        </w:rPr>
        <w:t xml:space="preserve">when existing available undeveloped land has been exhausted. </w:t>
      </w:r>
      <w:r w:rsidR="001B6758">
        <w:rPr>
          <w:rFonts w:eastAsiaTheme="minorEastAsia"/>
          <w:sz w:val="24"/>
          <w:szCs w:val="24"/>
          <w:lang w:eastAsia="en-IE"/>
        </w:rPr>
        <w:t xml:space="preserve">  This will be subject to review.</w:t>
      </w:r>
    </w:p>
    <w:p w:rsidR="00FD48EF" w:rsidRDefault="00752741" w:rsidP="00AE3D4B">
      <w:pPr>
        <w:rPr>
          <w:rFonts w:eastAsiaTheme="minorEastAsia"/>
          <w:sz w:val="24"/>
          <w:szCs w:val="24"/>
          <w:lang w:eastAsia="en-IE"/>
        </w:rPr>
      </w:pPr>
      <w:r>
        <w:rPr>
          <w:rFonts w:eastAsiaTheme="minorEastAsia"/>
          <w:sz w:val="24"/>
          <w:szCs w:val="24"/>
          <w:lang w:eastAsia="en-IE"/>
        </w:rPr>
        <w:t>I</w:t>
      </w:r>
      <w:r w:rsidR="00280437" w:rsidRPr="00BC0770">
        <w:rPr>
          <w:rFonts w:eastAsiaTheme="minorEastAsia"/>
          <w:sz w:val="24"/>
          <w:szCs w:val="24"/>
          <w:lang w:eastAsia="en-IE"/>
        </w:rPr>
        <w:t xml:space="preserve">ncome earned in excess of expenditure incurred </w:t>
      </w:r>
      <w:r w:rsidR="00F56906">
        <w:rPr>
          <w:rFonts w:eastAsiaTheme="minorEastAsia"/>
          <w:sz w:val="24"/>
          <w:szCs w:val="24"/>
          <w:lang w:eastAsia="en-IE"/>
        </w:rPr>
        <w:t xml:space="preserve">in the delivery of the service </w:t>
      </w:r>
      <w:r w:rsidR="00280437" w:rsidRPr="00BC0770">
        <w:rPr>
          <w:rFonts w:eastAsiaTheme="minorEastAsia"/>
          <w:sz w:val="24"/>
          <w:szCs w:val="24"/>
          <w:lang w:eastAsia="en-IE"/>
        </w:rPr>
        <w:t xml:space="preserve">will be transferred to </w:t>
      </w:r>
      <w:r>
        <w:rPr>
          <w:rFonts w:eastAsiaTheme="minorEastAsia"/>
          <w:sz w:val="24"/>
          <w:szCs w:val="24"/>
          <w:lang w:eastAsia="en-IE"/>
        </w:rPr>
        <w:t xml:space="preserve">a </w:t>
      </w:r>
      <w:r w:rsidR="00280437" w:rsidRPr="00BC0770">
        <w:rPr>
          <w:rFonts w:eastAsiaTheme="minorEastAsia"/>
          <w:sz w:val="24"/>
          <w:szCs w:val="24"/>
          <w:lang w:eastAsia="en-IE"/>
        </w:rPr>
        <w:t>Development</w:t>
      </w:r>
      <w:r w:rsidR="00280437">
        <w:rPr>
          <w:rFonts w:eastAsiaTheme="minorEastAsia"/>
          <w:sz w:val="24"/>
          <w:szCs w:val="24"/>
          <w:lang w:eastAsia="en-IE"/>
        </w:rPr>
        <w:t xml:space="preserve"> Fund</w:t>
      </w:r>
      <w:r w:rsidR="004F768D">
        <w:rPr>
          <w:rFonts w:eastAsiaTheme="minorEastAsia"/>
          <w:sz w:val="24"/>
          <w:szCs w:val="24"/>
          <w:lang w:eastAsia="en-IE"/>
        </w:rPr>
        <w:t xml:space="preserve"> to finance future </w:t>
      </w:r>
      <w:r w:rsidR="00F56906">
        <w:rPr>
          <w:rFonts w:eastAsiaTheme="minorEastAsia"/>
          <w:sz w:val="24"/>
          <w:szCs w:val="24"/>
          <w:lang w:eastAsia="en-IE"/>
        </w:rPr>
        <w:t xml:space="preserve">enhancement and </w:t>
      </w:r>
      <w:r w:rsidR="004F768D">
        <w:rPr>
          <w:rFonts w:eastAsiaTheme="minorEastAsia"/>
          <w:sz w:val="24"/>
          <w:szCs w:val="24"/>
          <w:lang w:eastAsia="en-IE"/>
        </w:rPr>
        <w:t>requirement</w:t>
      </w:r>
      <w:r w:rsidR="00F56906">
        <w:rPr>
          <w:rFonts w:eastAsiaTheme="minorEastAsia"/>
          <w:sz w:val="24"/>
          <w:szCs w:val="24"/>
          <w:lang w:eastAsia="en-IE"/>
        </w:rPr>
        <w:t>s.</w:t>
      </w:r>
    </w:p>
    <w:p w:rsidR="00FD48EF" w:rsidRDefault="00FD48EF" w:rsidP="00AE3D4B">
      <w:pPr>
        <w:rPr>
          <w:rFonts w:eastAsiaTheme="minorEastAsia"/>
          <w:b/>
          <w:color w:val="1F4E79" w:themeColor="accent1" w:themeShade="80"/>
          <w:sz w:val="24"/>
          <w:szCs w:val="24"/>
          <w:lang w:eastAsia="en-IE"/>
        </w:rPr>
      </w:pPr>
    </w:p>
    <w:p w:rsidR="00FD48EF" w:rsidRDefault="00FD48EF" w:rsidP="00AE3D4B">
      <w:pPr>
        <w:rPr>
          <w:rFonts w:eastAsiaTheme="minorEastAsia"/>
          <w:b/>
          <w:color w:val="1F4E79" w:themeColor="accent1" w:themeShade="80"/>
          <w:sz w:val="24"/>
          <w:szCs w:val="24"/>
          <w:lang w:eastAsia="en-IE"/>
        </w:rPr>
      </w:pPr>
    </w:p>
    <w:p w:rsidR="00FD48EF" w:rsidRDefault="00FD48EF" w:rsidP="00AE3D4B">
      <w:pPr>
        <w:rPr>
          <w:rFonts w:eastAsiaTheme="minorEastAsia"/>
          <w:b/>
          <w:color w:val="1F4E79" w:themeColor="accent1" w:themeShade="80"/>
          <w:sz w:val="24"/>
          <w:szCs w:val="24"/>
          <w:lang w:eastAsia="en-IE"/>
        </w:rPr>
      </w:pPr>
    </w:p>
    <w:p w:rsidR="00AE3D4B" w:rsidRPr="00BC0770" w:rsidRDefault="00317259" w:rsidP="00AE3D4B">
      <w:pPr>
        <w:rPr>
          <w:rFonts w:eastAsiaTheme="minorEastAsia"/>
          <w:b/>
          <w:color w:val="1F4E79" w:themeColor="accent1" w:themeShade="80"/>
          <w:sz w:val="24"/>
          <w:szCs w:val="24"/>
          <w:lang w:eastAsia="en-IE"/>
        </w:rPr>
      </w:pPr>
      <w:r>
        <w:rPr>
          <w:rFonts w:eastAsiaTheme="minorEastAsia"/>
          <w:b/>
          <w:color w:val="1F4E79" w:themeColor="accent1" w:themeShade="80"/>
          <w:sz w:val="24"/>
          <w:szCs w:val="24"/>
          <w:lang w:eastAsia="en-IE"/>
        </w:rPr>
        <w:t>7</w:t>
      </w:r>
      <w:r w:rsidR="00BC0770">
        <w:rPr>
          <w:rFonts w:eastAsiaTheme="minorEastAsia"/>
          <w:b/>
          <w:color w:val="1F4E79" w:themeColor="accent1" w:themeShade="80"/>
          <w:sz w:val="24"/>
          <w:szCs w:val="24"/>
          <w:lang w:eastAsia="en-IE"/>
        </w:rPr>
        <w:t xml:space="preserve">. </w:t>
      </w:r>
      <w:r w:rsidR="00BC0770">
        <w:rPr>
          <w:rFonts w:eastAsiaTheme="minorEastAsia"/>
          <w:b/>
          <w:color w:val="1F4E79" w:themeColor="accent1" w:themeShade="80"/>
          <w:sz w:val="24"/>
          <w:szCs w:val="24"/>
          <w:lang w:eastAsia="en-IE"/>
        </w:rPr>
        <w:tab/>
      </w:r>
      <w:r w:rsidR="00BC0770" w:rsidRPr="00BC0770">
        <w:rPr>
          <w:rFonts w:eastAsiaTheme="minorEastAsia"/>
          <w:b/>
          <w:color w:val="1F4E79" w:themeColor="accent1" w:themeShade="80"/>
          <w:sz w:val="24"/>
          <w:szCs w:val="24"/>
          <w:lang w:eastAsia="en-IE"/>
        </w:rPr>
        <w:t xml:space="preserve">Evaluation / </w:t>
      </w:r>
      <w:r w:rsidR="00AE3D4B" w:rsidRPr="00BC0770">
        <w:rPr>
          <w:rFonts w:eastAsiaTheme="minorEastAsia"/>
          <w:b/>
          <w:color w:val="1F4E79" w:themeColor="accent1" w:themeShade="80"/>
          <w:sz w:val="24"/>
          <w:szCs w:val="24"/>
          <w:lang w:eastAsia="en-IE"/>
        </w:rPr>
        <w:t>Key Performance Indicators</w:t>
      </w:r>
    </w:p>
    <w:p w:rsidR="00AE3D4B" w:rsidRPr="00BC0770" w:rsidRDefault="00AE3D4B" w:rsidP="007F1A4A">
      <w:pPr>
        <w:rPr>
          <w:rFonts w:eastAsia="Times New Roman" w:cs="Times New Roman"/>
          <w:sz w:val="24"/>
          <w:szCs w:val="24"/>
          <w:lang w:eastAsia="en-IE"/>
        </w:rPr>
      </w:pPr>
      <w:r w:rsidRPr="00F56906">
        <w:rPr>
          <w:rFonts w:eastAsia="Times New Roman" w:cs="Times New Roman"/>
          <w:sz w:val="24"/>
          <w:szCs w:val="24"/>
          <w:lang w:eastAsia="en-IE"/>
        </w:rPr>
        <w:t>The following</w:t>
      </w:r>
      <w:r w:rsidRPr="00F56906">
        <w:rPr>
          <w:rFonts w:eastAsia="Times New Roman" w:cs="Times New Roman"/>
          <w:b/>
          <w:sz w:val="24"/>
          <w:szCs w:val="24"/>
          <w:lang w:eastAsia="en-IE"/>
        </w:rPr>
        <w:t xml:space="preserve"> </w:t>
      </w:r>
      <w:r w:rsidRPr="00F56906">
        <w:rPr>
          <w:rFonts w:eastAsia="Times New Roman" w:cs="Times New Roman"/>
          <w:sz w:val="24"/>
          <w:szCs w:val="24"/>
          <w:lang w:eastAsia="en-IE"/>
        </w:rPr>
        <w:t xml:space="preserve">KPIs </w:t>
      </w:r>
      <w:r w:rsidRPr="00BC0770">
        <w:rPr>
          <w:rFonts w:eastAsia="Times New Roman" w:cs="Times New Roman"/>
          <w:sz w:val="24"/>
          <w:szCs w:val="24"/>
          <w:lang w:eastAsia="en-IE"/>
        </w:rPr>
        <w:t>which underpin the service provided will be reported annually.</w:t>
      </w:r>
    </w:p>
    <w:p w:rsidR="00B0453D" w:rsidRDefault="00AE3D4B" w:rsidP="00901C6D">
      <w:pPr>
        <w:pStyle w:val="ListParagraph"/>
        <w:numPr>
          <w:ilvl w:val="0"/>
          <w:numId w:val="6"/>
        </w:numPr>
        <w:rPr>
          <w:rFonts w:eastAsia="Times New Roman" w:cs="Times New Roman"/>
          <w:sz w:val="24"/>
          <w:szCs w:val="24"/>
          <w:lang w:eastAsia="en-IE"/>
        </w:rPr>
      </w:pPr>
      <w:r w:rsidRPr="00B0453D">
        <w:rPr>
          <w:rFonts w:eastAsia="Times New Roman" w:cs="Times New Roman"/>
          <w:sz w:val="24"/>
          <w:szCs w:val="24"/>
          <w:lang w:eastAsia="en-IE"/>
        </w:rPr>
        <w:t>N</w:t>
      </w:r>
      <w:r w:rsidR="00B0453D">
        <w:rPr>
          <w:rFonts w:eastAsia="Times New Roman" w:cs="Times New Roman"/>
          <w:sz w:val="24"/>
          <w:szCs w:val="24"/>
          <w:lang w:eastAsia="en-IE"/>
        </w:rPr>
        <w:t>umber</w:t>
      </w:r>
      <w:r w:rsidRPr="00B0453D">
        <w:rPr>
          <w:rFonts w:eastAsia="Times New Roman" w:cs="Times New Roman"/>
          <w:sz w:val="24"/>
          <w:szCs w:val="24"/>
          <w:lang w:eastAsia="en-IE"/>
        </w:rPr>
        <w:t xml:space="preserve"> </w:t>
      </w:r>
      <w:r w:rsidR="00B0453D">
        <w:rPr>
          <w:rFonts w:eastAsia="Times New Roman" w:cs="Times New Roman"/>
          <w:sz w:val="24"/>
          <w:szCs w:val="24"/>
          <w:lang w:eastAsia="en-IE"/>
        </w:rPr>
        <w:t xml:space="preserve">of burials </w:t>
      </w:r>
    </w:p>
    <w:p w:rsidR="00AE3D4B" w:rsidRPr="00B0453D" w:rsidRDefault="00B0453D" w:rsidP="00901C6D">
      <w:pPr>
        <w:pStyle w:val="ListParagraph"/>
        <w:numPr>
          <w:ilvl w:val="0"/>
          <w:numId w:val="6"/>
        </w:numPr>
        <w:rPr>
          <w:rFonts w:eastAsia="Times New Roman" w:cs="Times New Roman"/>
          <w:sz w:val="24"/>
          <w:szCs w:val="24"/>
          <w:lang w:eastAsia="en-IE"/>
        </w:rPr>
      </w:pPr>
      <w:r>
        <w:rPr>
          <w:rFonts w:eastAsia="Times New Roman" w:cs="Times New Roman"/>
          <w:sz w:val="24"/>
          <w:szCs w:val="24"/>
          <w:lang w:eastAsia="en-IE"/>
        </w:rPr>
        <w:t xml:space="preserve">Number </w:t>
      </w:r>
      <w:r w:rsidR="00AE3D4B" w:rsidRPr="00B0453D">
        <w:rPr>
          <w:rFonts w:eastAsia="Times New Roman" w:cs="Times New Roman"/>
          <w:sz w:val="24"/>
          <w:szCs w:val="24"/>
          <w:lang w:eastAsia="en-IE"/>
        </w:rPr>
        <w:t>of plots purchased</w:t>
      </w:r>
      <w:r>
        <w:rPr>
          <w:rFonts w:eastAsia="Times New Roman" w:cs="Times New Roman"/>
          <w:sz w:val="24"/>
          <w:szCs w:val="24"/>
          <w:lang w:eastAsia="en-IE"/>
        </w:rPr>
        <w:t xml:space="preserve"> (</w:t>
      </w:r>
      <w:r w:rsidR="00AE3D4B" w:rsidRPr="00B0453D">
        <w:rPr>
          <w:rFonts w:eastAsia="Times New Roman" w:cs="Times New Roman"/>
          <w:sz w:val="24"/>
          <w:szCs w:val="24"/>
          <w:lang w:eastAsia="en-IE"/>
        </w:rPr>
        <w:t xml:space="preserve">single / double / Angel / Islamic </w:t>
      </w:r>
      <w:r>
        <w:rPr>
          <w:rFonts w:eastAsia="Times New Roman" w:cs="Times New Roman"/>
          <w:sz w:val="24"/>
          <w:szCs w:val="24"/>
          <w:lang w:eastAsia="en-IE"/>
        </w:rPr>
        <w:t>/ Cremation)</w:t>
      </w:r>
    </w:p>
    <w:p w:rsidR="00AE3D4B" w:rsidRPr="00BC0770" w:rsidRDefault="00AE3D4B" w:rsidP="00AE3D4B">
      <w:pPr>
        <w:pStyle w:val="ListParagraph"/>
        <w:numPr>
          <w:ilvl w:val="0"/>
          <w:numId w:val="6"/>
        </w:numPr>
        <w:rPr>
          <w:rFonts w:eastAsia="Times New Roman" w:cs="Times New Roman"/>
          <w:sz w:val="24"/>
          <w:szCs w:val="24"/>
          <w:lang w:eastAsia="en-IE"/>
        </w:rPr>
      </w:pPr>
      <w:r w:rsidRPr="00BC0770">
        <w:rPr>
          <w:rFonts w:eastAsia="Times New Roman" w:cs="Times New Roman"/>
          <w:sz w:val="24"/>
          <w:szCs w:val="24"/>
          <w:lang w:eastAsia="en-IE"/>
        </w:rPr>
        <w:t>N</w:t>
      </w:r>
      <w:r w:rsidR="00B0453D">
        <w:rPr>
          <w:rFonts w:eastAsia="Times New Roman" w:cs="Times New Roman"/>
          <w:sz w:val="24"/>
          <w:szCs w:val="24"/>
          <w:lang w:eastAsia="en-IE"/>
        </w:rPr>
        <w:t xml:space="preserve">umber </w:t>
      </w:r>
      <w:r w:rsidRPr="00BC0770">
        <w:rPr>
          <w:rFonts w:eastAsia="Times New Roman" w:cs="Times New Roman"/>
          <w:sz w:val="24"/>
          <w:szCs w:val="24"/>
          <w:lang w:eastAsia="en-IE"/>
        </w:rPr>
        <w:t>of 1</w:t>
      </w:r>
      <w:r w:rsidRPr="00BC0770">
        <w:rPr>
          <w:rFonts w:eastAsia="Times New Roman" w:cs="Times New Roman"/>
          <w:sz w:val="24"/>
          <w:szCs w:val="24"/>
          <w:vertAlign w:val="superscript"/>
          <w:lang w:eastAsia="en-IE"/>
        </w:rPr>
        <w:t>st</w:t>
      </w:r>
      <w:r w:rsidRPr="00BC0770">
        <w:rPr>
          <w:rFonts w:eastAsia="Times New Roman" w:cs="Times New Roman"/>
          <w:sz w:val="24"/>
          <w:szCs w:val="24"/>
          <w:lang w:eastAsia="en-IE"/>
        </w:rPr>
        <w:t xml:space="preserve"> Openings</w:t>
      </w:r>
    </w:p>
    <w:p w:rsidR="00AE3D4B" w:rsidRPr="00BC0770" w:rsidRDefault="00AE3D4B" w:rsidP="00AE3D4B">
      <w:pPr>
        <w:pStyle w:val="ListParagraph"/>
        <w:numPr>
          <w:ilvl w:val="0"/>
          <w:numId w:val="6"/>
        </w:numPr>
        <w:rPr>
          <w:rFonts w:eastAsia="Times New Roman" w:cs="Times New Roman"/>
          <w:sz w:val="24"/>
          <w:szCs w:val="24"/>
          <w:lang w:eastAsia="en-IE"/>
        </w:rPr>
      </w:pPr>
      <w:r w:rsidRPr="00BC0770">
        <w:rPr>
          <w:rFonts w:eastAsia="Times New Roman" w:cs="Times New Roman"/>
          <w:sz w:val="24"/>
          <w:szCs w:val="24"/>
          <w:lang w:eastAsia="en-IE"/>
        </w:rPr>
        <w:t>N</w:t>
      </w:r>
      <w:r w:rsidR="00B0453D">
        <w:rPr>
          <w:rFonts w:eastAsia="Times New Roman" w:cs="Times New Roman"/>
          <w:sz w:val="24"/>
          <w:szCs w:val="24"/>
          <w:lang w:eastAsia="en-IE"/>
        </w:rPr>
        <w:t xml:space="preserve">umber </w:t>
      </w:r>
      <w:r w:rsidRPr="00BC0770">
        <w:rPr>
          <w:rFonts w:eastAsia="Times New Roman" w:cs="Times New Roman"/>
          <w:sz w:val="24"/>
          <w:szCs w:val="24"/>
          <w:lang w:eastAsia="en-IE"/>
        </w:rPr>
        <w:t>of re-opening</w:t>
      </w:r>
    </w:p>
    <w:p w:rsidR="00EF4A58" w:rsidRDefault="00AE3D4B" w:rsidP="00B002BC">
      <w:pPr>
        <w:pStyle w:val="ListParagraph"/>
        <w:numPr>
          <w:ilvl w:val="0"/>
          <w:numId w:val="6"/>
        </w:numPr>
        <w:spacing w:after="0" w:line="240" w:lineRule="auto"/>
      </w:pPr>
      <w:r w:rsidRPr="00752741">
        <w:rPr>
          <w:rFonts w:eastAsia="Times New Roman" w:cs="Times New Roman"/>
          <w:sz w:val="24"/>
          <w:szCs w:val="24"/>
          <w:lang w:eastAsia="en-IE"/>
        </w:rPr>
        <w:t>N</w:t>
      </w:r>
      <w:r w:rsidR="00B0453D" w:rsidRPr="00752741">
        <w:rPr>
          <w:rFonts w:eastAsia="Times New Roman" w:cs="Times New Roman"/>
          <w:sz w:val="24"/>
          <w:szCs w:val="24"/>
          <w:lang w:eastAsia="en-IE"/>
        </w:rPr>
        <w:t xml:space="preserve">umber </w:t>
      </w:r>
      <w:r w:rsidRPr="00752741">
        <w:rPr>
          <w:rFonts w:eastAsia="Times New Roman" w:cs="Times New Roman"/>
          <w:sz w:val="24"/>
          <w:szCs w:val="24"/>
          <w:lang w:eastAsia="en-IE"/>
        </w:rPr>
        <w:t>of exhumations</w:t>
      </w:r>
    </w:p>
    <w:sectPr w:rsidR="00EF4A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A66DF"/>
    <w:multiLevelType w:val="hybridMultilevel"/>
    <w:tmpl w:val="6B52BA2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19A45523"/>
    <w:multiLevelType w:val="hybridMultilevel"/>
    <w:tmpl w:val="C602B5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E425779"/>
    <w:multiLevelType w:val="hybridMultilevel"/>
    <w:tmpl w:val="5B32090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55A159C0"/>
    <w:multiLevelType w:val="hybridMultilevel"/>
    <w:tmpl w:val="AE741BE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678E1121"/>
    <w:multiLevelType w:val="multilevel"/>
    <w:tmpl w:val="9C82D6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C150CAF"/>
    <w:multiLevelType w:val="hybridMultilevel"/>
    <w:tmpl w:val="6976565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DA5"/>
    <w:rsid w:val="000F48D2"/>
    <w:rsid w:val="00197852"/>
    <w:rsid w:val="001B6758"/>
    <w:rsid w:val="00235029"/>
    <w:rsid w:val="00280437"/>
    <w:rsid w:val="002A17D4"/>
    <w:rsid w:val="002F178A"/>
    <w:rsid w:val="00317259"/>
    <w:rsid w:val="00366B10"/>
    <w:rsid w:val="00430D4A"/>
    <w:rsid w:val="00443B69"/>
    <w:rsid w:val="00476839"/>
    <w:rsid w:val="00494734"/>
    <w:rsid w:val="004C2ECB"/>
    <w:rsid w:val="004E4150"/>
    <w:rsid w:val="004F768D"/>
    <w:rsid w:val="00547E18"/>
    <w:rsid w:val="005D1549"/>
    <w:rsid w:val="00725245"/>
    <w:rsid w:val="00752741"/>
    <w:rsid w:val="007F1A4A"/>
    <w:rsid w:val="008375CB"/>
    <w:rsid w:val="00843422"/>
    <w:rsid w:val="00857C41"/>
    <w:rsid w:val="008D18E3"/>
    <w:rsid w:val="00906E6A"/>
    <w:rsid w:val="00926FF1"/>
    <w:rsid w:val="00960DA5"/>
    <w:rsid w:val="00990975"/>
    <w:rsid w:val="00AE3D4B"/>
    <w:rsid w:val="00B0453D"/>
    <w:rsid w:val="00B64405"/>
    <w:rsid w:val="00BC0770"/>
    <w:rsid w:val="00BE14D7"/>
    <w:rsid w:val="00CB75FE"/>
    <w:rsid w:val="00CF61A7"/>
    <w:rsid w:val="00CF7D6F"/>
    <w:rsid w:val="00D13212"/>
    <w:rsid w:val="00E373EF"/>
    <w:rsid w:val="00EA0DB8"/>
    <w:rsid w:val="00EE219E"/>
    <w:rsid w:val="00EF4A58"/>
    <w:rsid w:val="00F56906"/>
    <w:rsid w:val="00FD48E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D0B1D669-29F9-4186-A0CB-9B6327C68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60DA5"/>
    <w:rPr>
      <w:strike w:val="0"/>
      <w:dstrike w:val="0"/>
      <w:color w:val="0000FF"/>
      <w:u w:val="none"/>
      <w:effect w:val="none"/>
    </w:rPr>
  </w:style>
  <w:style w:type="character" w:styleId="Strong">
    <w:name w:val="Strong"/>
    <w:basedOn w:val="DefaultParagraphFont"/>
    <w:uiPriority w:val="22"/>
    <w:qFormat/>
    <w:rsid w:val="00960DA5"/>
    <w:rPr>
      <w:b/>
      <w:bCs/>
    </w:rPr>
  </w:style>
  <w:style w:type="paragraph" w:styleId="NormalWeb">
    <w:name w:val="Normal (Web)"/>
    <w:basedOn w:val="Normal"/>
    <w:uiPriority w:val="99"/>
    <w:semiHidden/>
    <w:unhideWhenUsed/>
    <w:rsid w:val="00960DA5"/>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843422"/>
    <w:pPr>
      <w:ind w:left="720"/>
      <w:contextualSpacing/>
    </w:pPr>
  </w:style>
  <w:style w:type="character" w:styleId="Emphasis">
    <w:name w:val="Emphasis"/>
    <w:basedOn w:val="DefaultParagraphFont"/>
    <w:uiPriority w:val="20"/>
    <w:qFormat/>
    <w:rsid w:val="00CF7D6F"/>
    <w:rPr>
      <w:b/>
      <w:bCs/>
      <w:i w:val="0"/>
      <w:iCs w:val="0"/>
    </w:rPr>
  </w:style>
  <w:style w:type="character" w:customStyle="1" w:styleId="st1">
    <w:name w:val="st1"/>
    <w:basedOn w:val="DefaultParagraphFont"/>
    <w:rsid w:val="00CF7D6F"/>
  </w:style>
  <w:style w:type="paragraph" w:styleId="BalloonText">
    <w:name w:val="Balloon Text"/>
    <w:basedOn w:val="Normal"/>
    <w:link w:val="BalloonTextChar"/>
    <w:uiPriority w:val="99"/>
    <w:semiHidden/>
    <w:unhideWhenUsed/>
    <w:rsid w:val="004768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68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18225">
      <w:bodyDiv w:val="1"/>
      <w:marLeft w:val="0"/>
      <w:marRight w:val="0"/>
      <w:marTop w:val="0"/>
      <w:marBottom w:val="0"/>
      <w:divBdr>
        <w:top w:val="none" w:sz="0" w:space="0" w:color="auto"/>
        <w:left w:val="none" w:sz="0" w:space="0" w:color="auto"/>
        <w:bottom w:val="none" w:sz="0" w:space="0" w:color="auto"/>
        <w:right w:val="none" w:sz="0" w:space="0" w:color="auto"/>
      </w:divBdr>
    </w:div>
    <w:div w:id="602111781">
      <w:bodyDiv w:val="1"/>
      <w:marLeft w:val="0"/>
      <w:marRight w:val="0"/>
      <w:marTop w:val="0"/>
      <w:marBottom w:val="0"/>
      <w:divBdr>
        <w:top w:val="none" w:sz="0" w:space="0" w:color="auto"/>
        <w:left w:val="none" w:sz="0" w:space="0" w:color="auto"/>
        <w:bottom w:val="none" w:sz="0" w:space="0" w:color="auto"/>
        <w:right w:val="none" w:sz="0" w:space="0" w:color="auto"/>
      </w:divBdr>
      <w:divsChild>
        <w:div w:id="868446740">
          <w:marLeft w:val="0"/>
          <w:marRight w:val="0"/>
          <w:marTop w:val="0"/>
          <w:marBottom w:val="0"/>
          <w:divBdr>
            <w:top w:val="none" w:sz="0" w:space="0" w:color="auto"/>
            <w:left w:val="none" w:sz="0" w:space="0" w:color="auto"/>
            <w:bottom w:val="none" w:sz="0" w:space="0" w:color="auto"/>
            <w:right w:val="none" w:sz="0" w:space="0" w:color="auto"/>
          </w:divBdr>
          <w:divsChild>
            <w:div w:id="1572690291">
              <w:marLeft w:val="0"/>
              <w:marRight w:val="0"/>
              <w:marTop w:val="0"/>
              <w:marBottom w:val="0"/>
              <w:divBdr>
                <w:top w:val="none" w:sz="0" w:space="0" w:color="auto"/>
                <w:left w:val="none" w:sz="0" w:space="0" w:color="auto"/>
                <w:bottom w:val="none" w:sz="0" w:space="0" w:color="auto"/>
                <w:right w:val="none" w:sz="0" w:space="0" w:color="auto"/>
              </w:divBdr>
              <w:divsChild>
                <w:div w:id="1987008287">
                  <w:marLeft w:val="0"/>
                  <w:marRight w:val="0"/>
                  <w:marTop w:val="0"/>
                  <w:marBottom w:val="0"/>
                  <w:divBdr>
                    <w:top w:val="none" w:sz="0" w:space="0" w:color="auto"/>
                    <w:left w:val="none" w:sz="0" w:space="0" w:color="auto"/>
                    <w:bottom w:val="none" w:sz="0" w:space="0" w:color="auto"/>
                    <w:right w:val="none" w:sz="0" w:space="0" w:color="auto"/>
                  </w:divBdr>
                  <w:divsChild>
                    <w:div w:id="1295872261">
                      <w:marLeft w:val="0"/>
                      <w:marRight w:val="0"/>
                      <w:marTop w:val="0"/>
                      <w:marBottom w:val="0"/>
                      <w:divBdr>
                        <w:top w:val="none" w:sz="0" w:space="0" w:color="auto"/>
                        <w:left w:val="none" w:sz="0" w:space="0" w:color="auto"/>
                        <w:bottom w:val="none" w:sz="0" w:space="0" w:color="auto"/>
                        <w:right w:val="none" w:sz="0" w:space="0" w:color="auto"/>
                      </w:divBdr>
                      <w:divsChild>
                        <w:div w:id="288319731">
                          <w:marLeft w:val="0"/>
                          <w:marRight w:val="0"/>
                          <w:marTop w:val="0"/>
                          <w:marBottom w:val="0"/>
                          <w:divBdr>
                            <w:top w:val="none" w:sz="0" w:space="0" w:color="auto"/>
                            <w:left w:val="none" w:sz="0" w:space="0" w:color="auto"/>
                            <w:bottom w:val="none" w:sz="0" w:space="0" w:color="auto"/>
                            <w:right w:val="none" w:sz="0" w:space="0" w:color="auto"/>
                          </w:divBdr>
                          <w:divsChild>
                            <w:div w:id="1184436212">
                              <w:marLeft w:val="0"/>
                              <w:marRight w:val="0"/>
                              <w:marTop w:val="0"/>
                              <w:marBottom w:val="0"/>
                              <w:divBdr>
                                <w:top w:val="none" w:sz="0" w:space="0" w:color="auto"/>
                                <w:left w:val="none" w:sz="0" w:space="0" w:color="auto"/>
                                <w:bottom w:val="none" w:sz="0" w:space="0" w:color="auto"/>
                                <w:right w:val="none" w:sz="0" w:space="0" w:color="auto"/>
                              </w:divBdr>
                              <w:divsChild>
                                <w:div w:id="136339274">
                                  <w:marLeft w:val="0"/>
                                  <w:marRight w:val="0"/>
                                  <w:marTop w:val="0"/>
                                  <w:marBottom w:val="0"/>
                                  <w:divBdr>
                                    <w:top w:val="none" w:sz="0" w:space="0" w:color="auto"/>
                                    <w:left w:val="none" w:sz="0" w:space="0" w:color="auto"/>
                                    <w:bottom w:val="none" w:sz="0" w:space="0" w:color="auto"/>
                                    <w:right w:val="none" w:sz="0" w:space="0" w:color="auto"/>
                                  </w:divBdr>
                                  <w:divsChild>
                                    <w:div w:id="1037047139">
                                      <w:marLeft w:val="0"/>
                                      <w:marRight w:val="0"/>
                                      <w:marTop w:val="0"/>
                                      <w:marBottom w:val="0"/>
                                      <w:divBdr>
                                        <w:top w:val="none" w:sz="0" w:space="0" w:color="auto"/>
                                        <w:left w:val="none" w:sz="0" w:space="0" w:color="auto"/>
                                        <w:bottom w:val="none" w:sz="0" w:space="0" w:color="auto"/>
                                        <w:right w:val="none" w:sz="0" w:space="0" w:color="auto"/>
                                      </w:divBdr>
                                      <w:divsChild>
                                        <w:div w:id="1697652580">
                                          <w:marLeft w:val="0"/>
                                          <w:marRight w:val="0"/>
                                          <w:marTop w:val="0"/>
                                          <w:marBottom w:val="0"/>
                                          <w:divBdr>
                                            <w:top w:val="none" w:sz="0" w:space="0" w:color="auto"/>
                                            <w:left w:val="none" w:sz="0" w:space="0" w:color="auto"/>
                                            <w:bottom w:val="none" w:sz="0" w:space="0" w:color="auto"/>
                                            <w:right w:val="none" w:sz="0" w:space="0" w:color="auto"/>
                                          </w:divBdr>
                                          <w:divsChild>
                                            <w:div w:id="1407457031">
                                              <w:marLeft w:val="0"/>
                                              <w:marRight w:val="0"/>
                                              <w:marTop w:val="0"/>
                                              <w:marBottom w:val="0"/>
                                              <w:divBdr>
                                                <w:top w:val="none" w:sz="0" w:space="0" w:color="auto"/>
                                                <w:left w:val="none" w:sz="0" w:space="0" w:color="auto"/>
                                                <w:bottom w:val="none" w:sz="0" w:space="0" w:color="auto"/>
                                                <w:right w:val="none" w:sz="0" w:space="0" w:color="auto"/>
                                              </w:divBdr>
                                              <w:divsChild>
                                                <w:div w:id="839394278">
                                                  <w:marLeft w:val="0"/>
                                                  <w:marRight w:val="0"/>
                                                  <w:marTop w:val="0"/>
                                                  <w:marBottom w:val="0"/>
                                                  <w:divBdr>
                                                    <w:top w:val="none" w:sz="0" w:space="0" w:color="auto"/>
                                                    <w:left w:val="none" w:sz="0" w:space="0" w:color="auto"/>
                                                    <w:bottom w:val="none" w:sz="0" w:space="0" w:color="auto"/>
                                                    <w:right w:val="none" w:sz="0" w:space="0" w:color="auto"/>
                                                  </w:divBdr>
                                                  <w:divsChild>
                                                    <w:div w:id="2147352701">
                                                      <w:marLeft w:val="0"/>
                                                      <w:marRight w:val="0"/>
                                                      <w:marTop w:val="0"/>
                                                      <w:marBottom w:val="0"/>
                                                      <w:divBdr>
                                                        <w:top w:val="none" w:sz="0" w:space="0" w:color="auto"/>
                                                        <w:left w:val="none" w:sz="0" w:space="0" w:color="auto"/>
                                                        <w:bottom w:val="none" w:sz="0" w:space="0" w:color="auto"/>
                                                        <w:right w:val="none" w:sz="0" w:space="0" w:color="auto"/>
                                                      </w:divBdr>
                                                      <w:divsChild>
                                                        <w:div w:id="2069180392">
                                                          <w:marLeft w:val="0"/>
                                                          <w:marRight w:val="0"/>
                                                          <w:marTop w:val="0"/>
                                                          <w:marBottom w:val="0"/>
                                                          <w:divBdr>
                                                            <w:top w:val="none" w:sz="0" w:space="0" w:color="auto"/>
                                                            <w:left w:val="none" w:sz="0" w:space="0" w:color="auto"/>
                                                            <w:bottom w:val="none" w:sz="0" w:space="0" w:color="auto"/>
                                                            <w:right w:val="none" w:sz="0" w:space="0" w:color="auto"/>
                                                          </w:divBdr>
                                                          <w:divsChild>
                                                            <w:div w:id="1613780424">
                                                              <w:marLeft w:val="0"/>
                                                              <w:marRight w:val="0"/>
                                                              <w:marTop w:val="300"/>
                                                              <w:marBottom w:val="300"/>
                                                              <w:divBdr>
                                                                <w:top w:val="single" w:sz="6" w:space="15" w:color="DDDDDD"/>
                                                                <w:left w:val="none" w:sz="0" w:space="0" w:color="auto"/>
                                                                <w:bottom w:val="single" w:sz="6" w:space="15" w:color="DDDDDD"/>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9410684">
      <w:bodyDiv w:val="1"/>
      <w:marLeft w:val="0"/>
      <w:marRight w:val="0"/>
      <w:marTop w:val="0"/>
      <w:marBottom w:val="0"/>
      <w:divBdr>
        <w:top w:val="none" w:sz="0" w:space="0" w:color="auto"/>
        <w:left w:val="none" w:sz="0" w:space="0" w:color="auto"/>
        <w:bottom w:val="none" w:sz="0" w:space="0" w:color="auto"/>
        <w:right w:val="none" w:sz="0" w:space="0" w:color="auto"/>
      </w:divBdr>
      <w:divsChild>
        <w:div w:id="1752777085">
          <w:marLeft w:val="0"/>
          <w:marRight w:val="0"/>
          <w:marTop w:val="0"/>
          <w:marBottom w:val="0"/>
          <w:divBdr>
            <w:top w:val="none" w:sz="0" w:space="0" w:color="auto"/>
            <w:left w:val="none" w:sz="0" w:space="0" w:color="auto"/>
            <w:bottom w:val="none" w:sz="0" w:space="0" w:color="auto"/>
            <w:right w:val="none" w:sz="0" w:space="0" w:color="auto"/>
          </w:divBdr>
          <w:divsChild>
            <w:div w:id="1452359066">
              <w:marLeft w:val="0"/>
              <w:marRight w:val="0"/>
              <w:marTop w:val="0"/>
              <w:marBottom w:val="0"/>
              <w:divBdr>
                <w:top w:val="none" w:sz="0" w:space="0" w:color="auto"/>
                <w:left w:val="none" w:sz="0" w:space="0" w:color="auto"/>
                <w:bottom w:val="none" w:sz="0" w:space="0" w:color="auto"/>
                <w:right w:val="none" w:sz="0" w:space="0" w:color="auto"/>
              </w:divBdr>
              <w:divsChild>
                <w:div w:id="1542283503">
                  <w:marLeft w:val="0"/>
                  <w:marRight w:val="0"/>
                  <w:marTop w:val="0"/>
                  <w:marBottom w:val="0"/>
                  <w:divBdr>
                    <w:top w:val="none" w:sz="0" w:space="0" w:color="auto"/>
                    <w:left w:val="none" w:sz="0" w:space="0" w:color="auto"/>
                    <w:bottom w:val="none" w:sz="0" w:space="0" w:color="auto"/>
                    <w:right w:val="none" w:sz="0" w:space="0" w:color="auto"/>
                  </w:divBdr>
                  <w:divsChild>
                    <w:div w:id="2025396865">
                      <w:marLeft w:val="0"/>
                      <w:marRight w:val="0"/>
                      <w:marTop w:val="0"/>
                      <w:marBottom w:val="0"/>
                      <w:divBdr>
                        <w:top w:val="none" w:sz="0" w:space="0" w:color="auto"/>
                        <w:left w:val="none" w:sz="0" w:space="0" w:color="auto"/>
                        <w:bottom w:val="none" w:sz="0" w:space="0" w:color="auto"/>
                        <w:right w:val="none" w:sz="0" w:space="0" w:color="auto"/>
                      </w:divBdr>
                      <w:divsChild>
                        <w:div w:id="419450692">
                          <w:marLeft w:val="0"/>
                          <w:marRight w:val="0"/>
                          <w:marTop w:val="0"/>
                          <w:marBottom w:val="0"/>
                          <w:divBdr>
                            <w:top w:val="none" w:sz="0" w:space="0" w:color="auto"/>
                            <w:left w:val="none" w:sz="0" w:space="0" w:color="auto"/>
                            <w:bottom w:val="none" w:sz="0" w:space="0" w:color="auto"/>
                            <w:right w:val="none" w:sz="0" w:space="0" w:color="auto"/>
                          </w:divBdr>
                          <w:divsChild>
                            <w:div w:id="748190816">
                              <w:marLeft w:val="0"/>
                              <w:marRight w:val="0"/>
                              <w:marTop w:val="0"/>
                              <w:marBottom w:val="0"/>
                              <w:divBdr>
                                <w:top w:val="none" w:sz="0" w:space="0" w:color="auto"/>
                                <w:left w:val="none" w:sz="0" w:space="0" w:color="auto"/>
                                <w:bottom w:val="none" w:sz="0" w:space="0" w:color="auto"/>
                                <w:right w:val="none" w:sz="0" w:space="0" w:color="auto"/>
                              </w:divBdr>
                              <w:divsChild>
                                <w:div w:id="1165171144">
                                  <w:marLeft w:val="0"/>
                                  <w:marRight w:val="0"/>
                                  <w:marTop w:val="0"/>
                                  <w:marBottom w:val="0"/>
                                  <w:divBdr>
                                    <w:top w:val="none" w:sz="0" w:space="0" w:color="auto"/>
                                    <w:left w:val="none" w:sz="0" w:space="0" w:color="auto"/>
                                    <w:bottom w:val="none" w:sz="0" w:space="0" w:color="auto"/>
                                    <w:right w:val="none" w:sz="0" w:space="0" w:color="auto"/>
                                  </w:divBdr>
                                  <w:divsChild>
                                    <w:div w:id="277882261">
                                      <w:marLeft w:val="0"/>
                                      <w:marRight w:val="0"/>
                                      <w:marTop w:val="0"/>
                                      <w:marBottom w:val="0"/>
                                      <w:divBdr>
                                        <w:top w:val="none" w:sz="0" w:space="0" w:color="auto"/>
                                        <w:left w:val="none" w:sz="0" w:space="0" w:color="auto"/>
                                        <w:bottom w:val="none" w:sz="0" w:space="0" w:color="auto"/>
                                        <w:right w:val="none" w:sz="0" w:space="0" w:color="auto"/>
                                      </w:divBdr>
                                      <w:divsChild>
                                        <w:div w:id="1831094794">
                                          <w:marLeft w:val="0"/>
                                          <w:marRight w:val="0"/>
                                          <w:marTop w:val="0"/>
                                          <w:marBottom w:val="0"/>
                                          <w:divBdr>
                                            <w:top w:val="none" w:sz="0" w:space="0" w:color="auto"/>
                                            <w:left w:val="none" w:sz="0" w:space="0" w:color="auto"/>
                                            <w:bottom w:val="none" w:sz="0" w:space="0" w:color="auto"/>
                                            <w:right w:val="none" w:sz="0" w:space="0" w:color="auto"/>
                                          </w:divBdr>
                                          <w:divsChild>
                                            <w:div w:id="783155950">
                                              <w:marLeft w:val="0"/>
                                              <w:marRight w:val="0"/>
                                              <w:marTop w:val="0"/>
                                              <w:marBottom w:val="0"/>
                                              <w:divBdr>
                                                <w:top w:val="none" w:sz="0" w:space="0" w:color="auto"/>
                                                <w:left w:val="none" w:sz="0" w:space="0" w:color="auto"/>
                                                <w:bottom w:val="none" w:sz="0" w:space="0" w:color="auto"/>
                                                <w:right w:val="none" w:sz="0" w:space="0" w:color="auto"/>
                                              </w:divBdr>
                                              <w:divsChild>
                                                <w:div w:id="2033067762">
                                                  <w:marLeft w:val="0"/>
                                                  <w:marRight w:val="0"/>
                                                  <w:marTop w:val="0"/>
                                                  <w:marBottom w:val="0"/>
                                                  <w:divBdr>
                                                    <w:top w:val="none" w:sz="0" w:space="0" w:color="auto"/>
                                                    <w:left w:val="none" w:sz="0" w:space="0" w:color="auto"/>
                                                    <w:bottom w:val="none" w:sz="0" w:space="0" w:color="auto"/>
                                                    <w:right w:val="none" w:sz="0" w:space="0" w:color="auto"/>
                                                  </w:divBdr>
                                                  <w:divsChild>
                                                    <w:div w:id="1113863715">
                                                      <w:marLeft w:val="0"/>
                                                      <w:marRight w:val="0"/>
                                                      <w:marTop w:val="0"/>
                                                      <w:marBottom w:val="0"/>
                                                      <w:divBdr>
                                                        <w:top w:val="none" w:sz="0" w:space="0" w:color="auto"/>
                                                        <w:left w:val="none" w:sz="0" w:space="0" w:color="auto"/>
                                                        <w:bottom w:val="none" w:sz="0" w:space="0" w:color="auto"/>
                                                        <w:right w:val="none" w:sz="0" w:space="0" w:color="auto"/>
                                                      </w:divBdr>
                                                      <w:divsChild>
                                                        <w:div w:id="175866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4.bin"/><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7</Pages>
  <Words>1059</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Maguire - Environment</dc:creator>
  <cp:keywords/>
  <dc:description/>
  <cp:lastModifiedBy>Mary Maguire - Environment</cp:lastModifiedBy>
  <cp:revision>32</cp:revision>
  <cp:lastPrinted>2017-05-09T15:00:00Z</cp:lastPrinted>
  <dcterms:created xsi:type="dcterms:W3CDTF">2017-05-01T17:38:00Z</dcterms:created>
  <dcterms:modified xsi:type="dcterms:W3CDTF">2017-05-16T18:34:00Z</dcterms:modified>
</cp:coreProperties>
</file>