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2A1" w:rsidRPr="00CA157E" w:rsidRDefault="00CA157E" w:rsidP="00CA157E">
      <w:pPr>
        <w:jc w:val="center"/>
        <w:rPr>
          <w:b/>
          <w:sz w:val="28"/>
          <w:szCs w:val="28"/>
          <w:u w:val="single"/>
        </w:rPr>
      </w:pPr>
      <w:r w:rsidRPr="00CA157E">
        <w:rPr>
          <w:b/>
          <w:sz w:val="28"/>
          <w:szCs w:val="28"/>
        </w:rPr>
        <w:t>Rathfarnham/Templeogue-</w:t>
      </w:r>
      <w:proofErr w:type="spellStart"/>
      <w:r w:rsidRPr="00CA157E">
        <w:rPr>
          <w:b/>
          <w:sz w:val="28"/>
          <w:szCs w:val="28"/>
        </w:rPr>
        <w:t>Terenure</w:t>
      </w:r>
      <w:proofErr w:type="spellEnd"/>
      <w:r w:rsidRPr="00CA157E">
        <w:rPr>
          <w:b/>
          <w:sz w:val="28"/>
          <w:szCs w:val="28"/>
        </w:rPr>
        <w:t xml:space="preserve"> ACM </w:t>
      </w:r>
      <w:r>
        <w:rPr>
          <w:b/>
          <w:sz w:val="28"/>
          <w:szCs w:val="28"/>
        </w:rPr>
        <w:br/>
      </w:r>
      <w:r w:rsidRPr="00CA157E">
        <w:rPr>
          <w:b/>
          <w:sz w:val="28"/>
          <w:szCs w:val="28"/>
        </w:rPr>
        <w:t>14</w:t>
      </w:r>
      <w:r w:rsidRPr="00CA157E">
        <w:rPr>
          <w:b/>
          <w:sz w:val="28"/>
          <w:szCs w:val="28"/>
          <w:vertAlign w:val="superscript"/>
        </w:rPr>
        <w:t>th</w:t>
      </w:r>
      <w:r w:rsidRPr="00CA157E">
        <w:rPr>
          <w:b/>
          <w:sz w:val="28"/>
          <w:szCs w:val="28"/>
        </w:rPr>
        <w:t xml:space="preserve"> March 2017</w:t>
      </w:r>
      <w:r>
        <w:rPr>
          <w:b/>
          <w:sz w:val="28"/>
          <w:szCs w:val="28"/>
        </w:rPr>
        <w:br/>
      </w:r>
      <w:bookmarkStart w:id="0" w:name="_GoBack"/>
      <w:bookmarkEnd w:id="0"/>
      <w:r w:rsidRPr="00CA157E">
        <w:rPr>
          <w:b/>
          <w:sz w:val="28"/>
          <w:szCs w:val="28"/>
          <w:u w:val="single"/>
        </w:rPr>
        <w:t>Headed Item 4</w:t>
      </w:r>
    </w:p>
    <w:p w:rsidR="00381A1B" w:rsidRPr="003E22A1" w:rsidRDefault="00381A1B" w:rsidP="00381A1B">
      <w:pPr>
        <w:rPr>
          <w:b/>
          <w:u w:val="single"/>
        </w:rPr>
      </w:pPr>
      <w:r w:rsidRPr="003E22A1">
        <w:rPr>
          <w:b/>
          <w:u w:val="single"/>
        </w:rPr>
        <w:t>P</w:t>
      </w:r>
      <w:r w:rsidR="003E22A1">
        <w:rPr>
          <w:b/>
          <w:u w:val="single"/>
        </w:rPr>
        <w:t>olicy</w:t>
      </w:r>
      <w:r w:rsidRPr="003E22A1">
        <w:rPr>
          <w:b/>
          <w:u w:val="single"/>
        </w:rPr>
        <w:t xml:space="preserve"> C</w:t>
      </w:r>
      <w:r w:rsidR="003E22A1">
        <w:rPr>
          <w:b/>
          <w:u w:val="single"/>
        </w:rPr>
        <w:t>ontext</w:t>
      </w:r>
    </w:p>
    <w:p w:rsidR="00A05CA2" w:rsidRDefault="00A05CA2" w:rsidP="00A05CA2">
      <w:r w:rsidRPr="00A05CA2">
        <w:t>Transport and mobility policy</w:t>
      </w:r>
      <w:r>
        <w:t xml:space="preserve"> in South Dublin is governed by a number of local, regional and national organisations, plans and strategies:</w:t>
      </w:r>
    </w:p>
    <w:p w:rsidR="00A05CA2" w:rsidRDefault="00A05CA2" w:rsidP="00A05CA2">
      <w:r>
        <w:t>SDCC Development Plan 2016 – 2022</w:t>
      </w:r>
    </w:p>
    <w:p w:rsidR="00A05CA2" w:rsidRDefault="00A05CA2" w:rsidP="00A05CA2">
      <w:r>
        <w:t>Transport Strategy for the Greater Dublin Area 2016 – 2035</w:t>
      </w:r>
    </w:p>
    <w:p w:rsidR="00A05CA2" w:rsidRDefault="00A05CA2" w:rsidP="00A05CA2">
      <w:r>
        <w:t>Transport 21 (or other government capital investment programme)</w:t>
      </w:r>
    </w:p>
    <w:p w:rsidR="00A05CA2" w:rsidRDefault="00A05CA2" w:rsidP="00A05CA2">
      <w:r>
        <w:t>South Dublin County Local Economic and Community Plan 2016 – 2021</w:t>
      </w:r>
    </w:p>
    <w:p w:rsidR="00A05CA2" w:rsidRDefault="00A05CA2" w:rsidP="00A05CA2">
      <w:r>
        <w:t xml:space="preserve">South Dublin County Public </w:t>
      </w:r>
      <w:r w:rsidR="0027154D">
        <w:t>T</w:t>
      </w:r>
      <w:r>
        <w:t>ransport Report</w:t>
      </w:r>
      <w:r w:rsidR="0027154D">
        <w:t xml:space="preserve"> (Dec 2016)</w:t>
      </w:r>
    </w:p>
    <w:p w:rsidR="0027154D" w:rsidRDefault="0027154D" w:rsidP="00A05CA2">
      <w:r>
        <w:t>Regional Planning Guidelines</w:t>
      </w:r>
    </w:p>
    <w:p w:rsidR="00381A1B" w:rsidRDefault="00381A1B" w:rsidP="00A05CA2">
      <w:pPr>
        <w:rPr>
          <w:u w:val="single"/>
        </w:rPr>
      </w:pPr>
    </w:p>
    <w:p w:rsidR="00381A1B" w:rsidRPr="003E22A1" w:rsidRDefault="003E22A1" w:rsidP="00A05CA2">
      <w:pPr>
        <w:rPr>
          <w:b/>
          <w:u w:val="single"/>
        </w:rPr>
      </w:pPr>
      <w:r w:rsidRPr="003E22A1">
        <w:rPr>
          <w:b/>
          <w:u w:val="single"/>
        </w:rPr>
        <w:t>South Dublin County Council</w:t>
      </w:r>
      <w:r w:rsidR="00381A1B" w:rsidRPr="003E22A1">
        <w:rPr>
          <w:b/>
          <w:u w:val="single"/>
        </w:rPr>
        <w:t xml:space="preserve"> P</w:t>
      </w:r>
      <w:r>
        <w:rPr>
          <w:b/>
          <w:u w:val="single"/>
        </w:rPr>
        <w:t>lans</w:t>
      </w:r>
    </w:p>
    <w:p w:rsidR="000B5D75" w:rsidRDefault="002E0381" w:rsidP="00915907">
      <w:pPr>
        <w:spacing w:after="120"/>
      </w:pPr>
      <w:r>
        <w:lastRenderedPageBreak/>
        <w:t xml:space="preserve">SDCC is committed to </w:t>
      </w:r>
      <w:r w:rsidR="00F77B7F">
        <w:t xml:space="preserve">maximising use </w:t>
      </w:r>
      <w:r w:rsidR="00845071">
        <w:t>of the</w:t>
      </w:r>
      <w:r>
        <w:t xml:space="preserve"> </w:t>
      </w:r>
      <w:r w:rsidR="00596A84">
        <w:t>traffic network from within its own resources and by seeking other sources of funding.</w:t>
      </w:r>
      <w:r w:rsidR="00E0747D">
        <w:t xml:space="preserve"> </w:t>
      </w:r>
    </w:p>
    <w:p w:rsidR="000B5D75" w:rsidRDefault="00E0747D" w:rsidP="00915907">
      <w:pPr>
        <w:spacing w:after="120"/>
      </w:pPr>
      <w:r>
        <w:t>In relation to traffic signals we will this year be undertaking re-furbishment works at the signals at</w:t>
      </w:r>
      <w:r w:rsidR="000B5D75">
        <w:t>:</w:t>
      </w:r>
    </w:p>
    <w:p w:rsidR="000B5D75" w:rsidRDefault="00E0747D" w:rsidP="00915907">
      <w:pPr>
        <w:spacing w:after="120"/>
      </w:pPr>
      <w:r>
        <w:t xml:space="preserve">Butterfield Ave/Rathfarnham Village </w:t>
      </w:r>
    </w:p>
    <w:p w:rsidR="000B5D75" w:rsidRDefault="00E0747D" w:rsidP="00915907">
      <w:pPr>
        <w:spacing w:after="120"/>
      </w:pPr>
      <w:r>
        <w:t>Butterfield Avenue/Rathfarnham By-Pass</w:t>
      </w:r>
    </w:p>
    <w:p w:rsidR="000B5D75" w:rsidRDefault="00E0747D" w:rsidP="00915907">
      <w:pPr>
        <w:spacing w:after="120"/>
      </w:pPr>
      <w:r>
        <w:t>Templeogue Road (Cheeverstown House)</w:t>
      </w:r>
    </w:p>
    <w:p w:rsidR="002E0381" w:rsidRDefault="000B5D75" w:rsidP="00915907">
      <w:pPr>
        <w:spacing w:after="120"/>
      </w:pPr>
      <w:r>
        <w:t>Up</w:t>
      </w:r>
      <w:r w:rsidR="00E0747D">
        <w:t>grading works</w:t>
      </w:r>
      <w:r>
        <w:t xml:space="preserve"> will be undertaken at the </w:t>
      </w:r>
      <w:r w:rsidR="00F96367">
        <w:t>signals at</w:t>
      </w:r>
      <w:r w:rsidR="00E0747D">
        <w:t xml:space="preserve"> the R838/M50 junction (Ballymount).</w:t>
      </w:r>
    </w:p>
    <w:p w:rsidR="00E0747D" w:rsidRDefault="00E0747D" w:rsidP="00915907">
      <w:pPr>
        <w:spacing w:after="0"/>
      </w:pPr>
      <w:r>
        <w:t>As part of the planning permission for the housing development on Scholarstown Road/Stocking Lane</w:t>
      </w:r>
      <w:r w:rsidR="00915907">
        <w:t xml:space="preserve"> new pedestrian/cycle facilities will be provided along Scholarstown Road and the traffic signals at Stocking Lane/Scholarstown Road and Scholarstown Road/Edmonstown Road will be linked to improve efficiency.</w:t>
      </w:r>
    </w:p>
    <w:p w:rsidR="00915907" w:rsidRDefault="00915907" w:rsidP="00915907">
      <w:pPr>
        <w:spacing w:after="0"/>
      </w:pPr>
    </w:p>
    <w:p w:rsidR="00596A84" w:rsidRDefault="00596A84" w:rsidP="00A05CA2">
      <w:r>
        <w:t xml:space="preserve">The NTA is a very important element in </w:t>
      </w:r>
      <w:r w:rsidR="00FE6018">
        <w:t xml:space="preserve">the overall </w:t>
      </w:r>
      <w:r w:rsidR="00E0747D">
        <w:t>context.</w:t>
      </w:r>
      <w:r w:rsidR="00FE6018">
        <w:rPr>
          <w:color w:val="FF0000"/>
        </w:rPr>
        <w:t xml:space="preserve"> </w:t>
      </w:r>
      <w:r w:rsidR="00FE6018" w:rsidRPr="00FE6018">
        <w:t>It is the statutory</w:t>
      </w:r>
      <w:r w:rsidR="00FE6018">
        <w:t xml:space="preserve"> body for undertaking strategic planning of transport and developing the effective management of traffic and public transport demand in the Greater Dublin Area.</w:t>
      </w:r>
      <w:r w:rsidR="00915907">
        <w:t xml:space="preserve"> It is responsible for </w:t>
      </w:r>
      <w:r w:rsidR="00F77B7F">
        <w:lastRenderedPageBreak/>
        <w:t>identifying and promoting pedestrian, cycle and bus infrastructure. In relation to the Rathfarnham/Templeogue-Terenure Committee District Area there are a number of ongoing projects in relation to walking/cycling:</w:t>
      </w:r>
    </w:p>
    <w:p w:rsidR="00F77B7F" w:rsidRPr="00082B64" w:rsidRDefault="00F77B7F" w:rsidP="00A05CA2">
      <w:pPr>
        <w:rPr>
          <w:b/>
        </w:rPr>
      </w:pPr>
      <w:r w:rsidRPr="00082B64">
        <w:rPr>
          <w:b/>
        </w:rPr>
        <w:t>Tallaght to Ballyboden</w:t>
      </w:r>
      <w:r w:rsidR="000B5D75" w:rsidRPr="00082B64">
        <w:rPr>
          <w:b/>
        </w:rPr>
        <w:t xml:space="preserve"> Cycle Route</w:t>
      </w:r>
    </w:p>
    <w:p w:rsidR="000B5D75" w:rsidRDefault="000B5D75" w:rsidP="000B5D75">
      <w:pPr>
        <w:ind w:left="720"/>
      </w:pPr>
      <w:r>
        <w:t xml:space="preserve">Funding is in place to improve pedestrian/cycle facilities </w:t>
      </w:r>
      <w:r w:rsidR="005E350A">
        <w:t xml:space="preserve">on Scholarstown Road </w:t>
      </w:r>
      <w:r>
        <w:t>from Knocklyon (Supervalu) to Orlagh Roundabout.</w:t>
      </w:r>
    </w:p>
    <w:p w:rsidR="00F77B7F" w:rsidRPr="00082B64" w:rsidRDefault="00F77B7F" w:rsidP="00A05CA2">
      <w:pPr>
        <w:rPr>
          <w:b/>
        </w:rPr>
      </w:pPr>
      <w:r w:rsidRPr="00082B64">
        <w:rPr>
          <w:b/>
        </w:rPr>
        <w:t>Tallaght to Templeogue</w:t>
      </w:r>
      <w:r w:rsidR="0043466F" w:rsidRPr="00082B64">
        <w:rPr>
          <w:b/>
        </w:rPr>
        <w:t xml:space="preserve"> Cycle Track Scheme</w:t>
      </w:r>
    </w:p>
    <w:p w:rsidR="000B5D75" w:rsidRDefault="000B5D75" w:rsidP="00A05CA2">
      <w:r>
        <w:tab/>
        <w:t>Funding is in place to continue this project across the M50.</w:t>
      </w:r>
    </w:p>
    <w:p w:rsidR="0043466F" w:rsidRPr="00082B64" w:rsidRDefault="0043466F" w:rsidP="00A05CA2">
      <w:pPr>
        <w:rPr>
          <w:b/>
        </w:rPr>
      </w:pPr>
      <w:r w:rsidRPr="00082B64">
        <w:rPr>
          <w:b/>
        </w:rPr>
        <w:t>Grange Road Walking and Cycling Route</w:t>
      </w:r>
    </w:p>
    <w:p w:rsidR="0043466F" w:rsidRDefault="0043466F" w:rsidP="00A05CA2">
      <w:r>
        <w:tab/>
        <w:t>This project is nearing completion.</w:t>
      </w:r>
    </w:p>
    <w:p w:rsidR="00F77B7F" w:rsidRPr="00082B64" w:rsidRDefault="00082B64" w:rsidP="00A05CA2">
      <w:pPr>
        <w:rPr>
          <w:b/>
        </w:rPr>
      </w:pPr>
      <w:r>
        <w:rPr>
          <w:b/>
        </w:rPr>
        <w:t xml:space="preserve">Green </w:t>
      </w:r>
      <w:r w:rsidR="00F77B7F" w:rsidRPr="00082B64">
        <w:rPr>
          <w:b/>
        </w:rPr>
        <w:t>Schools</w:t>
      </w:r>
      <w:r>
        <w:rPr>
          <w:b/>
        </w:rPr>
        <w:t xml:space="preserve"> Cluster</w:t>
      </w:r>
      <w:r w:rsidR="000B5D75" w:rsidRPr="00082B64">
        <w:rPr>
          <w:b/>
        </w:rPr>
        <w:t xml:space="preserve"> (Ballyroan Schools Project)</w:t>
      </w:r>
    </w:p>
    <w:p w:rsidR="00473C3C" w:rsidRDefault="00473C3C" w:rsidP="00473C3C">
      <w:pPr>
        <w:ind w:left="720"/>
      </w:pPr>
      <w:r>
        <w:t>Works are well advanced on items outside the school. The remaining works concern items within the school grounds. (completion Q3 this year).</w:t>
      </w:r>
    </w:p>
    <w:p w:rsidR="000B5D75" w:rsidRPr="003E22A1" w:rsidRDefault="000B5D75" w:rsidP="00A05CA2">
      <w:pPr>
        <w:rPr>
          <w:sz w:val="24"/>
          <w:szCs w:val="24"/>
          <w:u w:val="single"/>
        </w:rPr>
      </w:pPr>
    </w:p>
    <w:p w:rsidR="003E22A1" w:rsidRPr="003E22A1" w:rsidRDefault="003E22A1" w:rsidP="003E22A1">
      <w:pPr>
        <w:spacing w:after="0" w:line="216" w:lineRule="auto"/>
        <w:contextualSpacing/>
        <w:rPr>
          <w:rFonts w:eastAsiaTheme="minorEastAsia" w:hAnsi="Calibri"/>
          <w:b/>
          <w:color w:val="000000" w:themeColor="text1"/>
          <w:kern w:val="24"/>
          <w:sz w:val="24"/>
          <w:szCs w:val="24"/>
          <w:u w:val="single"/>
          <w:lang w:eastAsia="en-IE"/>
        </w:rPr>
      </w:pPr>
      <w:r w:rsidRPr="003E22A1">
        <w:rPr>
          <w:rFonts w:eastAsiaTheme="minorEastAsia" w:hAnsi="Calibri"/>
          <w:b/>
          <w:color w:val="000000" w:themeColor="text1"/>
          <w:kern w:val="24"/>
          <w:sz w:val="24"/>
          <w:szCs w:val="24"/>
          <w:u w:val="single"/>
          <w:lang w:eastAsia="en-IE"/>
        </w:rPr>
        <w:lastRenderedPageBreak/>
        <w:t xml:space="preserve">Area Based Transport Assessment </w:t>
      </w:r>
    </w:p>
    <w:p w:rsidR="003E22A1" w:rsidRDefault="003E22A1" w:rsidP="003E22A1">
      <w:pPr>
        <w:spacing w:after="0" w:line="216" w:lineRule="auto"/>
        <w:contextualSpacing/>
        <w:rPr>
          <w:rFonts w:eastAsiaTheme="minorEastAsia" w:hAnsi="Calibri"/>
          <w:color w:val="000000" w:themeColor="text1"/>
          <w:kern w:val="24"/>
          <w:lang w:eastAsia="en-IE"/>
        </w:rPr>
      </w:pPr>
    </w:p>
    <w:p w:rsidR="003E22A1" w:rsidRDefault="00CA157E" w:rsidP="003E22A1">
      <w:pPr>
        <w:spacing w:after="0" w:line="216" w:lineRule="auto"/>
        <w:contextualSpacing/>
        <w:rPr>
          <w:rFonts w:eastAsiaTheme="minorEastAsia" w:hAnsi="Calibri"/>
          <w:color w:val="000000" w:themeColor="text1"/>
          <w:kern w:val="24"/>
          <w:lang w:eastAsia="en-IE"/>
        </w:rPr>
      </w:pPr>
      <w:r w:rsidRPr="005307C5">
        <w:rPr>
          <w:rFonts w:eastAsiaTheme="minorEastAsia" w:hAnsi="Calibri"/>
          <w:color w:val="000000" w:themeColor="text1"/>
          <w:kern w:val="24"/>
          <w:lang w:eastAsia="en-IE"/>
        </w:rPr>
        <w:t>Area Based Transport Assessment</w:t>
      </w:r>
      <w:r w:rsidR="003E22A1">
        <w:rPr>
          <w:rFonts w:eastAsiaTheme="minorEastAsia" w:hAnsi="Calibri"/>
          <w:color w:val="000000" w:themeColor="text1"/>
          <w:kern w:val="24"/>
          <w:lang w:eastAsia="en-IE"/>
        </w:rPr>
        <w:t xml:space="preserve"> for Forward Planning has been raised by way of motion at this Area Committee and whilst it is accepted that it relates to LAP’s, it is worthwhile to set out some of the guiding principles which may have some relevance for the RTT area at this time.</w:t>
      </w:r>
    </w:p>
    <w:p w:rsidR="003E22A1" w:rsidRDefault="003E22A1" w:rsidP="003E22A1">
      <w:pPr>
        <w:spacing w:after="0" w:line="216" w:lineRule="auto"/>
        <w:contextualSpacing/>
        <w:rPr>
          <w:rFonts w:eastAsiaTheme="minorEastAsia" w:hAnsi="Calibri"/>
          <w:color w:val="000000" w:themeColor="text1"/>
          <w:kern w:val="24"/>
          <w:lang w:eastAsia="en-IE"/>
        </w:rPr>
      </w:pPr>
    </w:p>
    <w:p w:rsidR="003E22A1" w:rsidRDefault="003E22A1" w:rsidP="003E22A1">
      <w:pPr>
        <w:spacing w:after="0" w:line="216" w:lineRule="auto"/>
        <w:contextualSpacing/>
        <w:rPr>
          <w:rFonts w:eastAsiaTheme="minorEastAsia" w:hAnsi="Calibri"/>
          <w:color w:val="000000" w:themeColor="text1"/>
          <w:kern w:val="24"/>
          <w:lang w:eastAsia="en-IE"/>
        </w:rPr>
      </w:pPr>
      <w:r>
        <w:rPr>
          <w:rFonts w:eastAsiaTheme="minorEastAsia" w:hAnsi="Calibri"/>
          <w:color w:val="000000" w:themeColor="text1"/>
          <w:kern w:val="24"/>
          <w:lang w:eastAsia="en-IE"/>
        </w:rPr>
        <w:t xml:space="preserve">Area Based Transport Assessment </w:t>
      </w:r>
      <w:r w:rsidR="00CA157E" w:rsidRPr="005307C5">
        <w:rPr>
          <w:rFonts w:eastAsiaTheme="minorEastAsia" w:hAnsi="Calibri"/>
          <w:color w:val="000000" w:themeColor="text1"/>
          <w:kern w:val="24"/>
          <w:lang w:eastAsia="en-IE"/>
        </w:rPr>
        <w:t xml:space="preserve">can help to identify the strategic and local transport interventions required to support population growth in an area &amp; the surrounding areas. </w:t>
      </w:r>
    </w:p>
    <w:p w:rsidR="003E22A1" w:rsidRDefault="003E22A1" w:rsidP="003E22A1">
      <w:pPr>
        <w:spacing w:after="0" w:line="216" w:lineRule="auto"/>
        <w:contextualSpacing/>
        <w:rPr>
          <w:rFonts w:eastAsiaTheme="minorEastAsia" w:hAnsi="Calibri"/>
          <w:color w:val="000000" w:themeColor="text1"/>
          <w:kern w:val="24"/>
          <w:lang w:eastAsia="en-IE"/>
        </w:rPr>
      </w:pPr>
    </w:p>
    <w:p w:rsidR="003E22A1" w:rsidRDefault="003E22A1" w:rsidP="003E22A1">
      <w:pPr>
        <w:rPr>
          <w:rFonts w:eastAsiaTheme="minorEastAsia" w:hAnsi="Calibri"/>
          <w:color w:val="000000" w:themeColor="text1"/>
          <w:kern w:val="24"/>
          <w:lang w:eastAsia="en-IE"/>
        </w:rPr>
      </w:pPr>
      <w:r>
        <w:rPr>
          <w:rFonts w:eastAsiaTheme="minorEastAsia" w:hAnsi="Calibri"/>
          <w:color w:val="000000" w:themeColor="text1"/>
          <w:kern w:val="24"/>
          <w:lang w:eastAsia="en-IE"/>
        </w:rPr>
        <w:t xml:space="preserve">It </w:t>
      </w:r>
      <w:r w:rsidRPr="005307C5">
        <w:rPr>
          <w:rFonts w:eastAsiaTheme="minorEastAsia" w:hAnsi="Calibri"/>
          <w:color w:val="000000" w:themeColor="text1"/>
          <w:kern w:val="24"/>
          <w:lang w:eastAsia="en-IE"/>
        </w:rPr>
        <w:t>should identify and assess the deliverability of transport interventions that could fo</w:t>
      </w:r>
      <w:r>
        <w:rPr>
          <w:rFonts w:eastAsiaTheme="minorEastAsia" w:hAnsi="Calibri"/>
          <w:color w:val="000000" w:themeColor="text1"/>
          <w:kern w:val="24"/>
          <w:lang w:eastAsia="en-IE"/>
        </w:rPr>
        <w:t>rm the basis for an Action plan.</w:t>
      </w:r>
    </w:p>
    <w:p w:rsidR="003E22A1" w:rsidRDefault="003E22A1" w:rsidP="003E22A1">
      <w:pPr>
        <w:rPr>
          <w:rFonts w:eastAsiaTheme="minorEastAsia" w:hAnsi="Calibri"/>
          <w:color w:val="000000" w:themeColor="text1"/>
          <w:kern w:val="24"/>
          <w:lang w:eastAsia="en-IE"/>
        </w:rPr>
      </w:pPr>
      <w:r>
        <w:rPr>
          <w:rFonts w:eastAsiaTheme="minorEastAsia" w:hAnsi="Calibri"/>
          <w:color w:val="000000" w:themeColor="text1"/>
          <w:kern w:val="24"/>
          <w:lang w:eastAsia="en-IE"/>
        </w:rPr>
        <w:t xml:space="preserve">An Area Based Transport Assessment according to the </w:t>
      </w:r>
      <w:r w:rsidR="00082B64">
        <w:rPr>
          <w:rFonts w:eastAsiaTheme="minorEastAsia" w:hAnsi="Calibri"/>
          <w:color w:val="000000" w:themeColor="text1"/>
          <w:kern w:val="24"/>
          <w:lang w:eastAsia="en-IE"/>
        </w:rPr>
        <w:t>TII (NRA)</w:t>
      </w:r>
      <w:r>
        <w:rPr>
          <w:rFonts w:eastAsiaTheme="minorEastAsia" w:hAnsi="Calibri"/>
          <w:color w:val="000000" w:themeColor="text1"/>
          <w:kern w:val="24"/>
          <w:lang w:eastAsia="en-IE"/>
        </w:rPr>
        <w:t xml:space="preserve"> guidelines should include</w:t>
      </w:r>
      <w:r w:rsidR="00082B64">
        <w:rPr>
          <w:rFonts w:eastAsiaTheme="minorEastAsia" w:hAnsi="Calibri"/>
          <w:color w:val="000000" w:themeColor="text1"/>
          <w:kern w:val="24"/>
          <w:lang w:eastAsia="en-IE"/>
        </w:rPr>
        <w:t>:</w:t>
      </w:r>
    </w:p>
    <w:p w:rsidR="003E22A1" w:rsidRPr="005307C5" w:rsidRDefault="003E22A1" w:rsidP="003E22A1">
      <w:pPr>
        <w:numPr>
          <w:ilvl w:val="0"/>
          <w:numId w:val="1"/>
        </w:numPr>
        <w:rPr>
          <w:rFonts w:eastAsiaTheme="minorEastAsia" w:hAnsi="Calibri"/>
          <w:color w:val="000000" w:themeColor="text1"/>
          <w:kern w:val="24"/>
          <w:lang w:eastAsia="en-IE"/>
        </w:rPr>
      </w:pPr>
      <w:r w:rsidRPr="005307C5">
        <w:rPr>
          <w:rFonts w:eastAsiaTheme="minorEastAsia" w:hAnsi="Calibri"/>
          <w:color w:val="000000" w:themeColor="text1"/>
          <w:kern w:val="24"/>
          <w:lang w:eastAsia="en-IE"/>
        </w:rPr>
        <w:t xml:space="preserve">An </w:t>
      </w:r>
      <w:r w:rsidRPr="005307C5">
        <w:rPr>
          <w:rFonts w:eastAsiaTheme="minorEastAsia" w:hAnsi="Calibri"/>
          <w:color w:val="000000" w:themeColor="text1"/>
          <w:kern w:val="24"/>
          <w:u w:val="single"/>
          <w:lang w:eastAsia="en-IE"/>
        </w:rPr>
        <w:t>understanding of the local area</w:t>
      </w:r>
      <w:r w:rsidRPr="005307C5">
        <w:rPr>
          <w:rFonts w:eastAsiaTheme="minorEastAsia" w:hAnsi="Calibri"/>
          <w:color w:val="000000" w:themeColor="text1"/>
          <w:kern w:val="24"/>
          <w:lang w:eastAsia="en-IE"/>
        </w:rPr>
        <w:t>, the nature of transport activity (road, public transport, cycling, walking) that is likely to be generated as a result of the proposed development.  This would also include the existing public transport links available.</w:t>
      </w:r>
    </w:p>
    <w:p w:rsidR="003E22A1" w:rsidRPr="005307C5" w:rsidRDefault="003E22A1" w:rsidP="003E22A1">
      <w:pPr>
        <w:numPr>
          <w:ilvl w:val="0"/>
          <w:numId w:val="1"/>
        </w:numPr>
        <w:rPr>
          <w:rFonts w:eastAsiaTheme="minorEastAsia" w:hAnsi="Calibri"/>
          <w:color w:val="000000" w:themeColor="text1"/>
          <w:kern w:val="24"/>
          <w:lang w:eastAsia="en-IE"/>
        </w:rPr>
      </w:pPr>
      <w:r w:rsidRPr="005307C5">
        <w:rPr>
          <w:rFonts w:eastAsiaTheme="minorEastAsia" w:hAnsi="Calibri"/>
          <w:color w:val="000000" w:themeColor="text1"/>
          <w:kern w:val="24"/>
          <w:lang w:eastAsia="en-IE"/>
        </w:rPr>
        <w:lastRenderedPageBreak/>
        <w:t xml:space="preserve">A </w:t>
      </w:r>
      <w:r w:rsidRPr="005307C5">
        <w:rPr>
          <w:rFonts w:eastAsiaTheme="minorEastAsia" w:hAnsi="Calibri"/>
          <w:color w:val="000000" w:themeColor="text1"/>
          <w:kern w:val="24"/>
          <w:u w:val="single"/>
          <w:lang w:eastAsia="en-IE"/>
        </w:rPr>
        <w:t xml:space="preserve">quantification of the catchment of users and level of travel activity </w:t>
      </w:r>
      <w:r w:rsidRPr="005307C5">
        <w:rPr>
          <w:rFonts w:eastAsiaTheme="minorEastAsia" w:hAnsi="Calibri"/>
          <w:color w:val="000000" w:themeColor="text1"/>
          <w:kern w:val="24"/>
          <w:lang w:eastAsia="en-IE"/>
        </w:rPr>
        <w:t xml:space="preserve">that will take place, particularly during all relevant peak periods. </w:t>
      </w:r>
    </w:p>
    <w:p w:rsidR="003E22A1" w:rsidRPr="005307C5" w:rsidRDefault="003E22A1" w:rsidP="003E22A1">
      <w:pPr>
        <w:numPr>
          <w:ilvl w:val="0"/>
          <w:numId w:val="1"/>
        </w:numPr>
        <w:rPr>
          <w:rFonts w:eastAsiaTheme="minorEastAsia" w:hAnsi="Calibri"/>
          <w:color w:val="000000" w:themeColor="text1"/>
          <w:kern w:val="24"/>
          <w:lang w:eastAsia="en-IE"/>
        </w:rPr>
      </w:pPr>
      <w:r w:rsidRPr="005307C5">
        <w:rPr>
          <w:rFonts w:eastAsiaTheme="minorEastAsia" w:hAnsi="Calibri"/>
          <w:color w:val="000000" w:themeColor="text1"/>
          <w:kern w:val="24"/>
          <w:lang w:eastAsia="en-IE"/>
        </w:rPr>
        <w:t xml:space="preserve">An </w:t>
      </w:r>
      <w:r w:rsidRPr="005307C5">
        <w:rPr>
          <w:rFonts w:eastAsiaTheme="minorEastAsia" w:hAnsi="Calibri"/>
          <w:color w:val="000000" w:themeColor="text1"/>
          <w:kern w:val="24"/>
          <w:u w:val="single"/>
          <w:lang w:eastAsia="en-IE"/>
        </w:rPr>
        <w:t>estimate of total person trips</w:t>
      </w:r>
      <w:r w:rsidRPr="005307C5">
        <w:rPr>
          <w:rFonts w:eastAsiaTheme="minorEastAsia" w:hAnsi="Calibri"/>
          <w:color w:val="000000" w:themeColor="text1"/>
          <w:kern w:val="24"/>
          <w:lang w:eastAsia="en-IE"/>
        </w:rPr>
        <w:t xml:space="preserve">, and the nature of those trips at peak periods </w:t>
      </w:r>
    </w:p>
    <w:p w:rsidR="003E22A1" w:rsidRDefault="003E22A1" w:rsidP="003E22A1">
      <w:pPr>
        <w:numPr>
          <w:ilvl w:val="0"/>
          <w:numId w:val="1"/>
        </w:numPr>
        <w:rPr>
          <w:rFonts w:eastAsiaTheme="minorEastAsia" w:hAnsi="Calibri"/>
          <w:color w:val="000000" w:themeColor="text1"/>
          <w:kern w:val="24"/>
          <w:lang w:eastAsia="en-IE"/>
        </w:rPr>
      </w:pPr>
      <w:r w:rsidRPr="005307C5">
        <w:rPr>
          <w:rFonts w:eastAsiaTheme="minorEastAsia" w:hAnsi="Calibri"/>
          <w:color w:val="000000" w:themeColor="text1"/>
          <w:kern w:val="24"/>
          <w:lang w:eastAsia="en-IE"/>
        </w:rPr>
        <w:t xml:space="preserve">An </w:t>
      </w:r>
      <w:r w:rsidRPr="005307C5">
        <w:rPr>
          <w:rFonts w:eastAsiaTheme="minorEastAsia" w:hAnsi="Calibri"/>
          <w:color w:val="000000" w:themeColor="text1"/>
          <w:kern w:val="24"/>
          <w:u w:val="single"/>
          <w:lang w:eastAsia="en-IE"/>
        </w:rPr>
        <w:t xml:space="preserve">analysis of the current transport network </w:t>
      </w:r>
      <w:r w:rsidRPr="005307C5">
        <w:rPr>
          <w:rFonts w:eastAsiaTheme="minorEastAsia" w:hAnsi="Calibri"/>
          <w:color w:val="000000" w:themeColor="text1"/>
          <w:kern w:val="24"/>
          <w:lang w:eastAsia="en-IE"/>
        </w:rPr>
        <w:t xml:space="preserve">in the area and surrounding key junctions.  The analysis of the transport network should consider the full extent of the network where impacts are envisaged. </w:t>
      </w:r>
    </w:p>
    <w:p w:rsidR="003E22A1" w:rsidRPr="00D85CAD" w:rsidRDefault="003E22A1" w:rsidP="003E22A1">
      <w:pPr>
        <w:rPr>
          <w:b/>
        </w:rPr>
      </w:pPr>
      <w:r w:rsidRPr="00D85CAD">
        <w:rPr>
          <w:b/>
        </w:rPr>
        <w:t>Application for R</w:t>
      </w:r>
      <w:r>
        <w:rPr>
          <w:b/>
        </w:rPr>
        <w:t xml:space="preserve">athfarnham </w:t>
      </w:r>
      <w:r w:rsidRPr="00D85CAD">
        <w:rPr>
          <w:b/>
        </w:rPr>
        <w:t>T</w:t>
      </w:r>
      <w:r>
        <w:rPr>
          <w:b/>
        </w:rPr>
        <w:t xml:space="preserve">empleogue </w:t>
      </w:r>
      <w:r w:rsidRPr="00D85CAD">
        <w:rPr>
          <w:b/>
        </w:rPr>
        <w:t>T</w:t>
      </w:r>
      <w:r>
        <w:rPr>
          <w:b/>
        </w:rPr>
        <w:t>erenure Area</w:t>
      </w:r>
    </w:p>
    <w:p w:rsidR="003E22A1" w:rsidRDefault="003E22A1" w:rsidP="003E22A1">
      <w:pPr>
        <w:rPr>
          <w:rFonts w:eastAsiaTheme="minorEastAsia" w:hAnsi="Calibri"/>
          <w:color w:val="000000" w:themeColor="text1"/>
          <w:kern w:val="24"/>
        </w:rPr>
      </w:pPr>
      <w:r>
        <w:rPr>
          <w:rFonts w:eastAsiaTheme="minorEastAsia" w:hAnsi="Calibri"/>
          <w:color w:val="000000" w:themeColor="text1"/>
          <w:kern w:val="24"/>
          <w:lang w:eastAsia="en-IE"/>
        </w:rPr>
        <w:t xml:space="preserve">An assessment of existing infrastructure and how it will serve </w:t>
      </w:r>
      <w:r w:rsidRPr="005307C5">
        <w:rPr>
          <w:rFonts w:eastAsiaTheme="minorEastAsia" w:hAnsi="Calibri"/>
          <w:color w:val="000000" w:themeColor="text1"/>
          <w:kern w:val="24"/>
          <w:lang w:eastAsia="en-IE"/>
        </w:rPr>
        <w:t>new communities</w:t>
      </w:r>
      <w:r>
        <w:rPr>
          <w:rFonts w:eastAsiaTheme="minorEastAsia" w:hAnsi="Calibri"/>
          <w:color w:val="000000" w:themeColor="text1"/>
          <w:kern w:val="24"/>
          <w:lang w:eastAsia="en-IE"/>
        </w:rPr>
        <w:t xml:space="preserve"> in conjunction with determining t</w:t>
      </w:r>
      <w:r w:rsidRPr="00D85CAD">
        <w:rPr>
          <w:rFonts w:eastAsiaTheme="minorEastAsia" w:hAnsi="Calibri"/>
          <w:color w:val="000000" w:themeColor="text1"/>
          <w:kern w:val="24"/>
          <w:lang w:eastAsia="en-IE"/>
        </w:rPr>
        <w:t>he impact of development</w:t>
      </w:r>
      <w:r>
        <w:rPr>
          <w:rFonts w:eastAsiaTheme="minorEastAsia" w:hAnsi="Calibri"/>
          <w:color w:val="000000" w:themeColor="text1"/>
          <w:kern w:val="24"/>
          <w:lang w:eastAsia="en-IE"/>
        </w:rPr>
        <w:t xml:space="preserve"> at junctions</w:t>
      </w:r>
      <w:r w:rsidRPr="00D85CAD">
        <w:rPr>
          <w:rFonts w:eastAsiaTheme="minorEastAsia" w:hAnsi="Calibri"/>
          <w:color w:val="000000" w:themeColor="text1"/>
          <w:kern w:val="24"/>
          <w:lang w:eastAsia="en-IE"/>
        </w:rPr>
        <w:t xml:space="preserve"> </w:t>
      </w:r>
      <w:r>
        <w:rPr>
          <w:rFonts w:eastAsiaTheme="minorEastAsia" w:hAnsi="Calibri"/>
          <w:color w:val="000000" w:themeColor="text1"/>
          <w:kern w:val="24"/>
          <w:lang w:eastAsia="en-IE"/>
        </w:rPr>
        <w:t xml:space="preserve">beyond </w:t>
      </w:r>
      <w:r w:rsidRPr="00D85CAD">
        <w:rPr>
          <w:rFonts w:eastAsiaTheme="minorEastAsia" w:hAnsi="Calibri"/>
          <w:color w:val="000000" w:themeColor="text1"/>
          <w:kern w:val="24"/>
          <w:lang w:eastAsia="en-IE"/>
        </w:rPr>
        <w:t>the vicinity</w:t>
      </w:r>
      <w:r>
        <w:rPr>
          <w:rFonts w:eastAsiaTheme="minorEastAsia" w:hAnsi="Calibri"/>
          <w:color w:val="000000" w:themeColor="text1"/>
          <w:kern w:val="24"/>
          <w:lang w:eastAsia="en-IE"/>
        </w:rPr>
        <w:t xml:space="preserve"> </w:t>
      </w:r>
      <w:r w:rsidRPr="00D85CAD">
        <w:rPr>
          <w:rFonts w:eastAsiaTheme="minorEastAsia" w:hAnsi="Calibri"/>
          <w:color w:val="000000" w:themeColor="text1"/>
          <w:kern w:val="24"/>
          <w:lang w:eastAsia="en-IE"/>
        </w:rPr>
        <w:t>of the planned new communities</w:t>
      </w:r>
      <w:r>
        <w:rPr>
          <w:rFonts w:eastAsiaTheme="minorEastAsia" w:hAnsi="Calibri"/>
          <w:color w:val="000000" w:themeColor="text1"/>
          <w:kern w:val="24"/>
          <w:lang w:eastAsia="en-IE"/>
        </w:rPr>
        <w:t xml:space="preserve"> is desirable. It is the case that a</w:t>
      </w:r>
      <w:r w:rsidRPr="0092721F">
        <w:rPr>
          <w:rFonts w:eastAsiaTheme="minorEastAsia" w:hAnsi="Calibri"/>
          <w:color w:val="000000" w:themeColor="text1"/>
          <w:kern w:val="24"/>
        </w:rPr>
        <w:t>ll planning applications are assessed by Roads Forward Planning engineers who incorporate knowledg</w:t>
      </w:r>
      <w:r>
        <w:rPr>
          <w:rFonts w:eastAsiaTheme="minorEastAsia" w:hAnsi="Calibri"/>
          <w:color w:val="000000" w:themeColor="text1"/>
          <w:kern w:val="24"/>
        </w:rPr>
        <w:t>e available to them under the above h</w:t>
      </w:r>
      <w:r w:rsidRPr="0092721F">
        <w:rPr>
          <w:rFonts w:eastAsiaTheme="minorEastAsia" w:hAnsi="Calibri"/>
          <w:color w:val="000000" w:themeColor="text1"/>
          <w:kern w:val="24"/>
        </w:rPr>
        <w:t>eadings</w:t>
      </w:r>
      <w:r>
        <w:rPr>
          <w:rFonts w:eastAsiaTheme="minorEastAsia" w:hAnsi="Calibri"/>
          <w:color w:val="000000" w:themeColor="text1"/>
          <w:kern w:val="24"/>
        </w:rPr>
        <w:t xml:space="preserve"> and that this </w:t>
      </w:r>
      <w:r w:rsidRPr="0092721F">
        <w:rPr>
          <w:rFonts w:eastAsiaTheme="minorEastAsia" w:hAnsi="Calibri"/>
          <w:color w:val="000000" w:themeColor="text1"/>
          <w:kern w:val="24"/>
        </w:rPr>
        <w:t>inform</w:t>
      </w:r>
      <w:r>
        <w:rPr>
          <w:rFonts w:eastAsiaTheme="minorEastAsia" w:hAnsi="Calibri"/>
          <w:color w:val="000000" w:themeColor="text1"/>
          <w:kern w:val="24"/>
        </w:rPr>
        <w:t>s particular</w:t>
      </w:r>
      <w:r w:rsidRPr="0092721F">
        <w:rPr>
          <w:rFonts w:eastAsiaTheme="minorEastAsia" w:hAnsi="Calibri"/>
          <w:color w:val="000000" w:themeColor="text1"/>
          <w:kern w:val="24"/>
        </w:rPr>
        <w:t xml:space="preserve"> conditions applied to permission</w:t>
      </w:r>
      <w:r>
        <w:rPr>
          <w:rFonts w:eastAsiaTheme="minorEastAsia" w:hAnsi="Calibri"/>
          <w:color w:val="000000" w:themeColor="text1"/>
          <w:kern w:val="24"/>
        </w:rPr>
        <w:t xml:space="preserve">s </w:t>
      </w:r>
      <w:r w:rsidRPr="0092721F">
        <w:rPr>
          <w:rFonts w:eastAsiaTheme="minorEastAsia" w:hAnsi="Calibri"/>
          <w:color w:val="000000" w:themeColor="text1"/>
          <w:kern w:val="24"/>
        </w:rPr>
        <w:t>grant</w:t>
      </w:r>
      <w:r>
        <w:rPr>
          <w:rFonts w:eastAsiaTheme="minorEastAsia" w:hAnsi="Calibri"/>
          <w:color w:val="000000" w:themeColor="text1"/>
          <w:kern w:val="24"/>
        </w:rPr>
        <w:t>ed in many cases to supplement existing infrastructure</w:t>
      </w:r>
      <w:r w:rsidRPr="0092721F">
        <w:rPr>
          <w:rFonts w:eastAsiaTheme="minorEastAsia" w:hAnsi="Calibri"/>
          <w:color w:val="000000" w:themeColor="text1"/>
          <w:kern w:val="24"/>
        </w:rPr>
        <w:t>.</w:t>
      </w:r>
      <w:r>
        <w:rPr>
          <w:rFonts w:eastAsiaTheme="minorEastAsia" w:hAnsi="Calibri"/>
          <w:color w:val="000000" w:themeColor="text1"/>
          <w:kern w:val="24"/>
        </w:rPr>
        <w:t xml:space="preserve">  In addition factors such </w:t>
      </w:r>
      <w:r w:rsidRPr="00E6205B">
        <w:rPr>
          <w:rFonts w:eastAsiaTheme="minorEastAsia" w:hAnsi="Calibri"/>
          <w:color w:val="000000" w:themeColor="text1"/>
          <w:kern w:val="24"/>
        </w:rPr>
        <w:t xml:space="preserve">as </w:t>
      </w:r>
      <w:r w:rsidRPr="00E6205B">
        <w:rPr>
          <w:rFonts w:eastAsiaTheme="minorEastAsia" w:hAnsi="Calibri"/>
          <w:color w:val="000000" w:themeColor="text1"/>
          <w:kern w:val="24"/>
          <w:lang w:eastAsia="en-IE"/>
        </w:rPr>
        <w:t xml:space="preserve">the availability of </w:t>
      </w:r>
      <w:r>
        <w:rPr>
          <w:rFonts w:eastAsiaTheme="minorEastAsia" w:hAnsi="Calibri"/>
          <w:color w:val="000000" w:themeColor="text1"/>
          <w:kern w:val="24"/>
          <w:lang w:eastAsia="en-IE"/>
        </w:rPr>
        <w:t>p</w:t>
      </w:r>
      <w:r w:rsidRPr="00E6205B">
        <w:rPr>
          <w:rFonts w:eastAsiaTheme="minorEastAsia" w:hAnsi="Calibri"/>
          <w:color w:val="000000" w:themeColor="text1"/>
          <w:kern w:val="24"/>
          <w:lang w:eastAsia="en-IE"/>
        </w:rPr>
        <w:t>ublic transport</w:t>
      </w:r>
      <w:r>
        <w:rPr>
          <w:rFonts w:eastAsiaTheme="minorEastAsia" w:hAnsi="Calibri"/>
          <w:color w:val="000000" w:themeColor="text1"/>
          <w:kern w:val="24"/>
          <w:lang w:eastAsia="en-IE"/>
        </w:rPr>
        <w:t xml:space="preserve">, limitation on number of parking spaces and ensuring optimum traffic </w:t>
      </w:r>
      <w:r>
        <w:rPr>
          <w:rFonts w:eastAsiaTheme="minorEastAsia" w:hAnsi="Calibri"/>
          <w:color w:val="000000" w:themeColor="text1"/>
          <w:kern w:val="24"/>
          <w:lang w:eastAsia="en-IE"/>
        </w:rPr>
        <w:lastRenderedPageBreak/>
        <w:t xml:space="preserve">flow are incorporated into planning decisions. </w:t>
      </w:r>
      <w:r>
        <w:rPr>
          <w:rFonts w:eastAsiaTheme="minorEastAsia" w:hAnsi="Calibri"/>
          <w:color w:val="000000" w:themeColor="text1"/>
          <w:kern w:val="24"/>
        </w:rPr>
        <w:t>The County Development Plan underpins this process and is the guiding policy document.</w:t>
      </w:r>
    </w:p>
    <w:p w:rsidR="003E22A1" w:rsidRDefault="003E22A1" w:rsidP="003E22A1">
      <w:pPr>
        <w:rPr>
          <w:rFonts w:eastAsiaTheme="minorEastAsia" w:hAnsi="Calibri"/>
          <w:color w:val="000000" w:themeColor="text1"/>
          <w:kern w:val="24"/>
        </w:rPr>
      </w:pPr>
    </w:p>
    <w:p w:rsidR="003E22A1" w:rsidRDefault="003E22A1" w:rsidP="003E22A1">
      <w:pPr>
        <w:rPr>
          <w:rFonts w:eastAsiaTheme="minorEastAsia" w:hAnsi="Calibri"/>
          <w:color w:val="000000" w:themeColor="text1"/>
          <w:kern w:val="24"/>
        </w:rPr>
      </w:pPr>
      <w:r>
        <w:rPr>
          <w:rFonts w:eastAsiaTheme="minorEastAsia" w:hAnsi="Calibri"/>
          <w:color w:val="000000" w:themeColor="text1"/>
          <w:kern w:val="24"/>
        </w:rPr>
        <w:t>An Area Based assessment or components of it may be of value for the Rathfarnham Templeogue Terenure area in the following way:-</w:t>
      </w:r>
    </w:p>
    <w:p w:rsidR="003E22A1" w:rsidRDefault="003E22A1" w:rsidP="003E22A1">
      <w:pPr>
        <w:numPr>
          <w:ilvl w:val="0"/>
          <w:numId w:val="2"/>
        </w:numPr>
      </w:pPr>
      <w:r>
        <w:rPr>
          <w:rFonts w:eastAsiaTheme="minorEastAsia" w:hAnsi="Calibri"/>
          <w:color w:val="000000" w:themeColor="text1"/>
          <w:kern w:val="24"/>
          <w:lang w:eastAsia="en-IE"/>
        </w:rPr>
        <w:t>Development of an</w:t>
      </w:r>
      <w:r w:rsidRPr="005307C5">
        <w:rPr>
          <w:rFonts w:eastAsiaTheme="minorEastAsia" w:hAnsi="Calibri"/>
          <w:color w:val="000000" w:themeColor="text1"/>
          <w:kern w:val="24"/>
          <w:lang w:eastAsia="en-IE"/>
        </w:rPr>
        <w:t xml:space="preserve"> “action plan”</w:t>
      </w:r>
      <w:r>
        <w:rPr>
          <w:rFonts w:eastAsiaTheme="minorEastAsia" w:hAnsi="Calibri"/>
          <w:color w:val="000000" w:themeColor="text1"/>
          <w:kern w:val="24"/>
          <w:lang w:eastAsia="en-IE"/>
        </w:rPr>
        <w:t xml:space="preserve"> outlining suggested measures which will be assessed </w:t>
      </w:r>
      <w:r w:rsidRPr="005307C5">
        <w:rPr>
          <w:rFonts w:eastAsiaTheme="minorEastAsia" w:hAnsi="Calibri"/>
          <w:color w:val="000000" w:themeColor="text1"/>
          <w:kern w:val="24"/>
          <w:lang w:eastAsia="en-IE"/>
        </w:rPr>
        <w:t xml:space="preserve">before </w:t>
      </w:r>
      <w:r>
        <w:rPr>
          <w:rFonts w:eastAsiaTheme="minorEastAsia" w:hAnsi="Calibri"/>
          <w:color w:val="000000" w:themeColor="text1"/>
          <w:kern w:val="24"/>
          <w:lang w:eastAsia="en-IE"/>
        </w:rPr>
        <w:t>being included in an Implementation plan</w:t>
      </w:r>
    </w:p>
    <w:p w:rsidR="003E22A1" w:rsidRPr="00971D76" w:rsidRDefault="003E22A1" w:rsidP="003E22A1">
      <w:pPr>
        <w:ind w:left="720"/>
      </w:pPr>
      <w:r w:rsidRPr="00971D76">
        <w:t>What could be included</w:t>
      </w:r>
      <w:r>
        <w:t>/local knowledge from elected members and residents /community groups</w:t>
      </w:r>
      <w:r w:rsidR="00082B64">
        <w:t>?</w:t>
      </w:r>
      <w:r w:rsidRPr="00971D76">
        <w:t xml:space="preserve"> </w:t>
      </w:r>
    </w:p>
    <w:p w:rsidR="003E22A1" w:rsidRPr="00971D76" w:rsidRDefault="003E22A1" w:rsidP="003E22A1">
      <w:pPr>
        <w:numPr>
          <w:ilvl w:val="0"/>
          <w:numId w:val="3"/>
        </w:numPr>
      </w:pPr>
      <w:r w:rsidRPr="00971D76">
        <w:t xml:space="preserve">Junctions for consideration </w:t>
      </w:r>
      <w:r>
        <w:t>/improvement?</w:t>
      </w:r>
    </w:p>
    <w:p w:rsidR="003E22A1" w:rsidRPr="00971D76" w:rsidRDefault="00082B64" w:rsidP="003E22A1">
      <w:pPr>
        <w:numPr>
          <w:ilvl w:val="0"/>
          <w:numId w:val="3"/>
        </w:numPr>
      </w:pPr>
      <w:r>
        <w:t xml:space="preserve">Bus Routes &amp; </w:t>
      </w:r>
      <w:r w:rsidR="003E22A1" w:rsidRPr="00971D76">
        <w:t xml:space="preserve">Bus Stops for </w:t>
      </w:r>
      <w:r w:rsidRPr="00971D76">
        <w:t>assessment?</w:t>
      </w:r>
    </w:p>
    <w:p w:rsidR="003E22A1" w:rsidRDefault="003E22A1" w:rsidP="003E22A1">
      <w:pPr>
        <w:numPr>
          <w:ilvl w:val="0"/>
          <w:numId w:val="3"/>
        </w:numPr>
      </w:pPr>
      <w:r w:rsidRPr="00971D76">
        <w:t>Cycle lane and Pedestrian route improvements</w:t>
      </w:r>
      <w:r>
        <w:t>?</w:t>
      </w:r>
    </w:p>
    <w:p w:rsidR="003E22A1" w:rsidRPr="003E22A1" w:rsidRDefault="003E22A1" w:rsidP="003E22A1">
      <w:r>
        <w:t>Members are invited to submit suggestions in addition to the measures outlined in this report</w:t>
      </w:r>
      <w:r w:rsidR="00082B64">
        <w:t xml:space="preserve"> for consideration,</w:t>
      </w:r>
      <w:r>
        <w:t xml:space="preserve"> costing and formulation as appropriate into a works programme.</w:t>
      </w:r>
    </w:p>
    <w:p w:rsidR="003E22A1" w:rsidRDefault="003E22A1" w:rsidP="00A05CA2"/>
    <w:p w:rsidR="00F77B7F" w:rsidRPr="00FE6018" w:rsidRDefault="00F77B7F" w:rsidP="00A05CA2"/>
    <w:p w:rsidR="00FE6018" w:rsidRDefault="00FE6018" w:rsidP="00A05CA2"/>
    <w:p w:rsidR="000B3AF2" w:rsidRDefault="000B3AF2" w:rsidP="00A05CA2"/>
    <w:p w:rsidR="00A05CA2" w:rsidRPr="00A05CA2" w:rsidRDefault="00A05CA2" w:rsidP="00A05CA2"/>
    <w:p w:rsidR="00A05CA2" w:rsidRDefault="00A05CA2"/>
    <w:sectPr w:rsidR="00A05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557C7"/>
    <w:multiLevelType w:val="hybridMultilevel"/>
    <w:tmpl w:val="75CA6BAC"/>
    <w:lvl w:ilvl="0" w:tplc="3BF47EFA">
      <w:start w:val="1"/>
      <w:numFmt w:val="bullet"/>
      <w:lvlText w:val="•"/>
      <w:lvlJc w:val="left"/>
      <w:pPr>
        <w:tabs>
          <w:tab w:val="num" w:pos="720"/>
        </w:tabs>
        <w:ind w:left="720" w:hanging="360"/>
      </w:pPr>
      <w:rPr>
        <w:rFonts w:ascii="Arial" w:hAnsi="Arial" w:hint="default"/>
      </w:rPr>
    </w:lvl>
    <w:lvl w:ilvl="1" w:tplc="B14C4EA0" w:tentative="1">
      <w:start w:val="1"/>
      <w:numFmt w:val="bullet"/>
      <w:lvlText w:val="•"/>
      <w:lvlJc w:val="left"/>
      <w:pPr>
        <w:tabs>
          <w:tab w:val="num" w:pos="1440"/>
        </w:tabs>
        <w:ind w:left="1440" w:hanging="360"/>
      </w:pPr>
      <w:rPr>
        <w:rFonts w:ascii="Arial" w:hAnsi="Arial" w:hint="default"/>
      </w:rPr>
    </w:lvl>
    <w:lvl w:ilvl="2" w:tplc="BA48FA0E" w:tentative="1">
      <w:start w:val="1"/>
      <w:numFmt w:val="bullet"/>
      <w:lvlText w:val="•"/>
      <w:lvlJc w:val="left"/>
      <w:pPr>
        <w:tabs>
          <w:tab w:val="num" w:pos="2160"/>
        </w:tabs>
        <w:ind w:left="2160" w:hanging="360"/>
      </w:pPr>
      <w:rPr>
        <w:rFonts w:ascii="Arial" w:hAnsi="Arial" w:hint="default"/>
      </w:rPr>
    </w:lvl>
    <w:lvl w:ilvl="3" w:tplc="920AEFB4" w:tentative="1">
      <w:start w:val="1"/>
      <w:numFmt w:val="bullet"/>
      <w:lvlText w:val="•"/>
      <w:lvlJc w:val="left"/>
      <w:pPr>
        <w:tabs>
          <w:tab w:val="num" w:pos="2880"/>
        </w:tabs>
        <w:ind w:left="2880" w:hanging="360"/>
      </w:pPr>
      <w:rPr>
        <w:rFonts w:ascii="Arial" w:hAnsi="Arial" w:hint="default"/>
      </w:rPr>
    </w:lvl>
    <w:lvl w:ilvl="4" w:tplc="8B2C8104" w:tentative="1">
      <w:start w:val="1"/>
      <w:numFmt w:val="bullet"/>
      <w:lvlText w:val="•"/>
      <w:lvlJc w:val="left"/>
      <w:pPr>
        <w:tabs>
          <w:tab w:val="num" w:pos="3600"/>
        </w:tabs>
        <w:ind w:left="3600" w:hanging="360"/>
      </w:pPr>
      <w:rPr>
        <w:rFonts w:ascii="Arial" w:hAnsi="Arial" w:hint="default"/>
      </w:rPr>
    </w:lvl>
    <w:lvl w:ilvl="5" w:tplc="D554A10C" w:tentative="1">
      <w:start w:val="1"/>
      <w:numFmt w:val="bullet"/>
      <w:lvlText w:val="•"/>
      <w:lvlJc w:val="left"/>
      <w:pPr>
        <w:tabs>
          <w:tab w:val="num" w:pos="4320"/>
        </w:tabs>
        <w:ind w:left="4320" w:hanging="360"/>
      </w:pPr>
      <w:rPr>
        <w:rFonts w:ascii="Arial" w:hAnsi="Arial" w:hint="default"/>
      </w:rPr>
    </w:lvl>
    <w:lvl w:ilvl="6" w:tplc="D9564F06" w:tentative="1">
      <w:start w:val="1"/>
      <w:numFmt w:val="bullet"/>
      <w:lvlText w:val="•"/>
      <w:lvlJc w:val="left"/>
      <w:pPr>
        <w:tabs>
          <w:tab w:val="num" w:pos="5040"/>
        </w:tabs>
        <w:ind w:left="5040" w:hanging="360"/>
      </w:pPr>
      <w:rPr>
        <w:rFonts w:ascii="Arial" w:hAnsi="Arial" w:hint="default"/>
      </w:rPr>
    </w:lvl>
    <w:lvl w:ilvl="7" w:tplc="F2C89538" w:tentative="1">
      <w:start w:val="1"/>
      <w:numFmt w:val="bullet"/>
      <w:lvlText w:val="•"/>
      <w:lvlJc w:val="left"/>
      <w:pPr>
        <w:tabs>
          <w:tab w:val="num" w:pos="5760"/>
        </w:tabs>
        <w:ind w:left="5760" w:hanging="360"/>
      </w:pPr>
      <w:rPr>
        <w:rFonts w:ascii="Arial" w:hAnsi="Arial" w:hint="default"/>
      </w:rPr>
    </w:lvl>
    <w:lvl w:ilvl="8" w:tplc="261A10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B2A2E9A"/>
    <w:multiLevelType w:val="hybridMultilevel"/>
    <w:tmpl w:val="2382A9BC"/>
    <w:lvl w:ilvl="0" w:tplc="18E2DF26">
      <w:start w:val="1"/>
      <w:numFmt w:val="bullet"/>
      <w:lvlText w:val="•"/>
      <w:lvlJc w:val="left"/>
      <w:pPr>
        <w:tabs>
          <w:tab w:val="num" w:pos="720"/>
        </w:tabs>
        <w:ind w:left="720" w:hanging="360"/>
      </w:pPr>
      <w:rPr>
        <w:rFonts w:ascii="Arial" w:hAnsi="Arial" w:hint="default"/>
      </w:rPr>
    </w:lvl>
    <w:lvl w:ilvl="1" w:tplc="457858B4" w:tentative="1">
      <w:start w:val="1"/>
      <w:numFmt w:val="bullet"/>
      <w:lvlText w:val="•"/>
      <w:lvlJc w:val="left"/>
      <w:pPr>
        <w:tabs>
          <w:tab w:val="num" w:pos="1440"/>
        </w:tabs>
        <w:ind w:left="1440" w:hanging="360"/>
      </w:pPr>
      <w:rPr>
        <w:rFonts w:ascii="Arial" w:hAnsi="Arial" w:hint="default"/>
      </w:rPr>
    </w:lvl>
    <w:lvl w:ilvl="2" w:tplc="87C40570" w:tentative="1">
      <w:start w:val="1"/>
      <w:numFmt w:val="bullet"/>
      <w:lvlText w:val="•"/>
      <w:lvlJc w:val="left"/>
      <w:pPr>
        <w:tabs>
          <w:tab w:val="num" w:pos="2160"/>
        </w:tabs>
        <w:ind w:left="2160" w:hanging="360"/>
      </w:pPr>
      <w:rPr>
        <w:rFonts w:ascii="Arial" w:hAnsi="Arial" w:hint="default"/>
      </w:rPr>
    </w:lvl>
    <w:lvl w:ilvl="3" w:tplc="F7DEA520" w:tentative="1">
      <w:start w:val="1"/>
      <w:numFmt w:val="bullet"/>
      <w:lvlText w:val="•"/>
      <w:lvlJc w:val="left"/>
      <w:pPr>
        <w:tabs>
          <w:tab w:val="num" w:pos="2880"/>
        </w:tabs>
        <w:ind w:left="2880" w:hanging="360"/>
      </w:pPr>
      <w:rPr>
        <w:rFonts w:ascii="Arial" w:hAnsi="Arial" w:hint="default"/>
      </w:rPr>
    </w:lvl>
    <w:lvl w:ilvl="4" w:tplc="49244434" w:tentative="1">
      <w:start w:val="1"/>
      <w:numFmt w:val="bullet"/>
      <w:lvlText w:val="•"/>
      <w:lvlJc w:val="left"/>
      <w:pPr>
        <w:tabs>
          <w:tab w:val="num" w:pos="3600"/>
        </w:tabs>
        <w:ind w:left="3600" w:hanging="360"/>
      </w:pPr>
      <w:rPr>
        <w:rFonts w:ascii="Arial" w:hAnsi="Arial" w:hint="default"/>
      </w:rPr>
    </w:lvl>
    <w:lvl w:ilvl="5" w:tplc="CD6887F2" w:tentative="1">
      <w:start w:val="1"/>
      <w:numFmt w:val="bullet"/>
      <w:lvlText w:val="•"/>
      <w:lvlJc w:val="left"/>
      <w:pPr>
        <w:tabs>
          <w:tab w:val="num" w:pos="4320"/>
        </w:tabs>
        <w:ind w:left="4320" w:hanging="360"/>
      </w:pPr>
      <w:rPr>
        <w:rFonts w:ascii="Arial" w:hAnsi="Arial" w:hint="default"/>
      </w:rPr>
    </w:lvl>
    <w:lvl w:ilvl="6" w:tplc="C7AA5E2E" w:tentative="1">
      <w:start w:val="1"/>
      <w:numFmt w:val="bullet"/>
      <w:lvlText w:val="•"/>
      <w:lvlJc w:val="left"/>
      <w:pPr>
        <w:tabs>
          <w:tab w:val="num" w:pos="5040"/>
        </w:tabs>
        <w:ind w:left="5040" w:hanging="360"/>
      </w:pPr>
      <w:rPr>
        <w:rFonts w:ascii="Arial" w:hAnsi="Arial" w:hint="default"/>
      </w:rPr>
    </w:lvl>
    <w:lvl w:ilvl="7" w:tplc="99FE20AA" w:tentative="1">
      <w:start w:val="1"/>
      <w:numFmt w:val="bullet"/>
      <w:lvlText w:val="•"/>
      <w:lvlJc w:val="left"/>
      <w:pPr>
        <w:tabs>
          <w:tab w:val="num" w:pos="5760"/>
        </w:tabs>
        <w:ind w:left="5760" w:hanging="360"/>
      </w:pPr>
      <w:rPr>
        <w:rFonts w:ascii="Arial" w:hAnsi="Arial" w:hint="default"/>
      </w:rPr>
    </w:lvl>
    <w:lvl w:ilvl="8" w:tplc="8E9444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D20425B"/>
    <w:multiLevelType w:val="hybridMultilevel"/>
    <w:tmpl w:val="D30AA5BA"/>
    <w:lvl w:ilvl="0" w:tplc="81E003C4">
      <w:start w:val="1"/>
      <w:numFmt w:val="bullet"/>
      <w:lvlText w:val="•"/>
      <w:lvlJc w:val="left"/>
      <w:pPr>
        <w:tabs>
          <w:tab w:val="num" w:pos="720"/>
        </w:tabs>
        <w:ind w:left="720" w:hanging="360"/>
      </w:pPr>
      <w:rPr>
        <w:rFonts w:ascii="Arial" w:hAnsi="Arial" w:hint="default"/>
      </w:rPr>
    </w:lvl>
    <w:lvl w:ilvl="1" w:tplc="AE14A39A" w:tentative="1">
      <w:start w:val="1"/>
      <w:numFmt w:val="bullet"/>
      <w:lvlText w:val="•"/>
      <w:lvlJc w:val="left"/>
      <w:pPr>
        <w:tabs>
          <w:tab w:val="num" w:pos="1440"/>
        </w:tabs>
        <w:ind w:left="1440" w:hanging="360"/>
      </w:pPr>
      <w:rPr>
        <w:rFonts w:ascii="Arial" w:hAnsi="Arial" w:hint="default"/>
      </w:rPr>
    </w:lvl>
    <w:lvl w:ilvl="2" w:tplc="BE2C4644" w:tentative="1">
      <w:start w:val="1"/>
      <w:numFmt w:val="bullet"/>
      <w:lvlText w:val="•"/>
      <w:lvlJc w:val="left"/>
      <w:pPr>
        <w:tabs>
          <w:tab w:val="num" w:pos="2160"/>
        </w:tabs>
        <w:ind w:left="2160" w:hanging="360"/>
      </w:pPr>
      <w:rPr>
        <w:rFonts w:ascii="Arial" w:hAnsi="Arial" w:hint="default"/>
      </w:rPr>
    </w:lvl>
    <w:lvl w:ilvl="3" w:tplc="F9C6AC26" w:tentative="1">
      <w:start w:val="1"/>
      <w:numFmt w:val="bullet"/>
      <w:lvlText w:val="•"/>
      <w:lvlJc w:val="left"/>
      <w:pPr>
        <w:tabs>
          <w:tab w:val="num" w:pos="2880"/>
        </w:tabs>
        <w:ind w:left="2880" w:hanging="360"/>
      </w:pPr>
      <w:rPr>
        <w:rFonts w:ascii="Arial" w:hAnsi="Arial" w:hint="default"/>
      </w:rPr>
    </w:lvl>
    <w:lvl w:ilvl="4" w:tplc="E37E03CA" w:tentative="1">
      <w:start w:val="1"/>
      <w:numFmt w:val="bullet"/>
      <w:lvlText w:val="•"/>
      <w:lvlJc w:val="left"/>
      <w:pPr>
        <w:tabs>
          <w:tab w:val="num" w:pos="3600"/>
        </w:tabs>
        <w:ind w:left="3600" w:hanging="360"/>
      </w:pPr>
      <w:rPr>
        <w:rFonts w:ascii="Arial" w:hAnsi="Arial" w:hint="default"/>
      </w:rPr>
    </w:lvl>
    <w:lvl w:ilvl="5" w:tplc="CC44EFA2" w:tentative="1">
      <w:start w:val="1"/>
      <w:numFmt w:val="bullet"/>
      <w:lvlText w:val="•"/>
      <w:lvlJc w:val="left"/>
      <w:pPr>
        <w:tabs>
          <w:tab w:val="num" w:pos="4320"/>
        </w:tabs>
        <w:ind w:left="4320" w:hanging="360"/>
      </w:pPr>
      <w:rPr>
        <w:rFonts w:ascii="Arial" w:hAnsi="Arial" w:hint="default"/>
      </w:rPr>
    </w:lvl>
    <w:lvl w:ilvl="6" w:tplc="AC42139E" w:tentative="1">
      <w:start w:val="1"/>
      <w:numFmt w:val="bullet"/>
      <w:lvlText w:val="•"/>
      <w:lvlJc w:val="left"/>
      <w:pPr>
        <w:tabs>
          <w:tab w:val="num" w:pos="5040"/>
        </w:tabs>
        <w:ind w:left="5040" w:hanging="360"/>
      </w:pPr>
      <w:rPr>
        <w:rFonts w:ascii="Arial" w:hAnsi="Arial" w:hint="default"/>
      </w:rPr>
    </w:lvl>
    <w:lvl w:ilvl="7" w:tplc="19729F48" w:tentative="1">
      <w:start w:val="1"/>
      <w:numFmt w:val="bullet"/>
      <w:lvlText w:val="•"/>
      <w:lvlJc w:val="left"/>
      <w:pPr>
        <w:tabs>
          <w:tab w:val="num" w:pos="5760"/>
        </w:tabs>
        <w:ind w:left="5760" w:hanging="360"/>
      </w:pPr>
      <w:rPr>
        <w:rFonts w:ascii="Arial" w:hAnsi="Arial" w:hint="default"/>
      </w:rPr>
    </w:lvl>
    <w:lvl w:ilvl="8" w:tplc="F4981C9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AE568A3"/>
    <w:multiLevelType w:val="hybridMultilevel"/>
    <w:tmpl w:val="20D4AE48"/>
    <w:lvl w:ilvl="0" w:tplc="8D7403DC">
      <w:start w:val="1"/>
      <w:numFmt w:val="bullet"/>
      <w:lvlText w:val="•"/>
      <w:lvlJc w:val="left"/>
      <w:pPr>
        <w:tabs>
          <w:tab w:val="num" w:pos="720"/>
        </w:tabs>
        <w:ind w:left="720" w:hanging="360"/>
      </w:pPr>
      <w:rPr>
        <w:rFonts w:ascii="Arial" w:hAnsi="Arial" w:hint="default"/>
      </w:rPr>
    </w:lvl>
    <w:lvl w:ilvl="1" w:tplc="76263200">
      <w:start w:val="21"/>
      <w:numFmt w:val="bullet"/>
      <w:lvlText w:val="•"/>
      <w:lvlJc w:val="left"/>
      <w:pPr>
        <w:tabs>
          <w:tab w:val="num" w:pos="1440"/>
        </w:tabs>
        <w:ind w:left="1440" w:hanging="360"/>
      </w:pPr>
      <w:rPr>
        <w:rFonts w:ascii="Arial" w:hAnsi="Arial" w:hint="default"/>
      </w:rPr>
    </w:lvl>
    <w:lvl w:ilvl="2" w:tplc="A30C6F34" w:tentative="1">
      <w:start w:val="1"/>
      <w:numFmt w:val="bullet"/>
      <w:lvlText w:val="•"/>
      <w:lvlJc w:val="left"/>
      <w:pPr>
        <w:tabs>
          <w:tab w:val="num" w:pos="2160"/>
        </w:tabs>
        <w:ind w:left="2160" w:hanging="360"/>
      </w:pPr>
      <w:rPr>
        <w:rFonts w:ascii="Arial" w:hAnsi="Arial" w:hint="default"/>
      </w:rPr>
    </w:lvl>
    <w:lvl w:ilvl="3" w:tplc="786E90BE" w:tentative="1">
      <w:start w:val="1"/>
      <w:numFmt w:val="bullet"/>
      <w:lvlText w:val="•"/>
      <w:lvlJc w:val="left"/>
      <w:pPr>
        <w:tabs>
          <w:tab w:val="num" w:pos="2880"/>
        </w:tabs>
        <w:ind w:left="2880" w:hanging="360"/>
      </w:pPr>
      <w:rPr>
        <w:rFonts w:ascii="Arial" w:hAnsi="Arial" w:hint="default"/>
      </w:rPr>
    </w:lvl>
    <w:lvl w:ilvl="4" w:tplc="40C4265C" w:tentative="1">
      <w:start w:val="1"/>
      <w:numFmt w:val="bullet"/>
      <w:lvlText w:val="•"/>
      <w:lvlJc w:val="left"/>
      <w:pPr>
        <w:tabs>
          <w:tab w:val="num" w:pos="3600"/>
        </w:tabs>
        <w:ind w:left="3600" w:hanging="360"/>
      </w:pPr>
      <w:rPr>
        <w:rFonts w:ascii="Arial" w:hAnsi="Arial" w:hint="default"/>
      </w:rPr>
    </w:lvl>
    <w:lvl w:ilvl="5" w:tplc="FBB01B30" w:tentative="1">
      <w:start w:val="1"/>
      <w:numFmt w:val="bullet"/>
      <w:lvlText w:val="•"/>
      <w:lvlJc w:val="left"/>
      <w:pPr>
        <w:tabs>
          <w:tab w:val="num" w:pos="4320"/>
        </w:tabs>
        <w:ind w:left="4320" w:hanging="360"/>
      </w:pPr>
      <w:rPr>
        <w:rFonts w:ascii="Arial" w:hAnsi="Arial" w:hint="default"/>
      </w:rPr>
    </w:lvl>
    <w:lvl w:ilvl="6" w:tplc="418E32DA" w:tentative="1">
      <w:start w:val="1"/>
      <w:numFmt w:val="bullet"/>
      <w:lvlText w:val="•"/>
      <w:lvlJc w:val="left"/>
      <w:pPr>
        <w:tabs>
          <w:tab w:val="num" w:pos="5040"/>
        </w:tabs>
        <w:ind w:left="5040" w:hanging="360"/>
      </w:pPr>
      <w:rPr>
        <w:rFonts w:ascii="Arial" w:hAnsi="Arial" w:hint="default"/>
      </w:rPr>
    </w:lvl>
    <w:lvl w:ilvl="7" w:tplc="2B32A142" w:tentative="1">
      <w:start w:val="1"/>
      <w:numFmt w:val="bullet"/>
      <w:lvlText w:val="•"/>
      <w:lvlJc w:val="left"/>
      <w:pPr>
        <w:tabs>
          <w:tab w:val="num" w:pos="5760"/>
        </w:tabs>
        <w:ind w:left="5760" w:hanging="360"/>
      </w:pPr>
      <w:rPr>
        <w:rFonts w:ascii="Arial" w:hAnsi="Arial" w:hint="default"/>
      </w:rPr>
    </w:lvl>
    <w:lvl w:ilvl="8" w:tplc="00249C3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2E0"/>
    <w:rsid w:val="00082B64"/>
    <w:rsid w:val="000B3AF2"/>
    <w:rsid w:val="000B5D75"/>
    <w:rsid w:val="00250E90"/>
    <w:rsid w:val="0027154D"/>
    <w:rsid w:val="002E0381"/>
    <w:rsid w:val="00381A1B"/>
    <w:rsid w:val="003E22A1"/>
    <w:rsid w:val="0043466F"/>
    <w:rsid w:val="00473C3C"/>
    <w:rsid w:val="0057744C"/>
    <w:rsid w:val="00596A84"/>
    <w:rsid w:val="005E350A"/>
    <w:rsid w:val="00845071"/>
    <w:rsid w:val="00915907"/>
    <w:rsid w:val="00A05CA2"/>
    <w:rsid w:val="00AB42E0"/>
    <w:rsid w:val="00C91F89"/>
    <w:rsid w:val="00CA157E"/>
    <w:rsid w:val="00CF4363"/>
    <w:rsid w:val="00E0747D"/>
    <w:rsid w:val="00E6205B"/>
    <w:rsid w:val="00F34055"/>
    <w:rsid w:val="00F77B7F"/>
    <w:rsid w:val="00F96367"/>
    <w:rsid w:val="00FE60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6743D-7802-4D62-9C06-37A59D5D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Kennelly</dc:creator>
  <cp:keywords/>
  <dc:description/>
  <cp:lastModifiedBy>Anne Shaw</cp:lastModifiedBy>
  <cp:revision>2</cp:revision>
  <dcterms:created xsi:type="dcterms:W3CDTF">2017-03-13T15:24:00Z</dcterms:created>
  <dcterms:modified xsi:type="dcterms:W3CDTF">2017-03-13T15:24:00Z</dcterms:modified>
</cp:coreProperties>
</file>