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C6" w:rsidRDefault="00D03EC6" w:rsidP="00D03EC6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D03EC6" w:rsidRDefault="00D03EC6" w:rsidP="00D03EC6">
      <w:pPr>
        <w:pStyle w:val="replyimag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955040" cy="1158240"/>
            <wp:effectExtent l="0" t="0" r="0" b="3810"/>
            <wp:docPr id="2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EC6" w:rsidRDefault="00D03EC6" w:rsidP="00D03EC6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LAND USE PLANNING AND TRANSPORTATION SPC</w:t>
      </w:r>
    </w:p>
    <w:p w:rsidR="00D03EC6" w:rsidRDefault="00D03EC6" w:rsidP="00D03EC6">
      <w:pPr>
        <w:pStyle w:val="replymain"/>
        <w:rPr>
          <w:rFonts w:ascii="Verdana" w:hAnsi="Verdana"/>
        </w:rPr>
      </w:pPr>
      <w:r>
        <w:rPr>
          <w:rFonts w:ascii="Verdana" w:hAnsi="Verdana"/>
        </w:rPr>
        <w:t>Thursday, February 16, 2017</w:t>
      </w:r>
    </w:p>
    <w:p w:rsidR="00D03EC6" w:rsidRDefault="00D03EC6" w:rsidP="00D03EC6">
      <w:pPr>
        <w:pStyle w:val="replymain"/>
        <w:rPr>
          <w:rFonts w:ascii="Verdana" w:hAnsi="Verdana"/>
        </w:rPr>
      </w:pPr>
      <w:r>
        <w:rPr>
          <w:rFonts w:ascii="Verdana" w:hAnsi="Verdana"/>
        </w:rPr>
        <w:t>HEADED ITEM NO.</w:t>
      </w:r>
      <w:r>
        <w:rPr>
          <w:rFonts w:ascii="Verdana" w:hAnsi="Verdana"/>
        </w:rPr>
        <w:t xml:space="preserve"> </w:t>
      </w:r>
      <w:bookmarkStart w:id="0" w:name="_GoBack"/>
      <w:bookmarkEnd w:id="0"/>
      <w:r>
        <w:rPr>
          <w:rFonts w:ascii="Verdana" w:hAnsi="Verdana"/>
        </w:rPr>
        <w:t>4</w:t>
      </w:r>
    </w:p>
    <w:p w:rsidR="007C5B59" w:rsidRDefault="007C5B59" w:rsidP="007C5B59">
      <w:r w:rsidRPr="006667EF">
        <w:rPr>
          <w:b/>
        </w:rPr>
        <w:t>Planning Enforcement</w:t>
      </w:r>
      <w:r>
        <w:t xml:space="preserve"> is a statutory process </w:t>
      </w:r>
      <w:r w:rsidR="00C508BE">
        <w:t xml:space="preserve">under the Planning and Development legislation </w:t>
      </w:r>
      <w:r>
        <w:t>relating to unauthorised</w:t>
      </w:r>
      <w:r w:rsidRPr="007C5B59">
        <w:t xml:space="preserve"> </w:t>
      </w:r>
      <w:r>
        <w:t>development</w:t>
      </w:r>
      <w:r w:rsidR="00C508BE">
        <w:t>.</w:t>
      </w:r>
    </w:p>
    <w:p w:rsidR="00C508BE" w:rsidRDefault="00C508BE" w:rsidP="007C5B59">
      <w:r w:rsidRPr="006667EF">
        <w:rPr>
          <w:b/>
        </w:rPr>
        <w:t>Development</w:t>
      </w:r>
      <w:r>
        <w:t xml:space="preserve"> is defined in legislation as;</w:t>
      </w:r>
    </w:p>
    <w:p w:rsidR="006667EF" w:rsidRPr="006667EF" w:rsidRDefault="006667EF" w:rsidP="006667EF">
      <w:pPr>
        <w:ind w:left="851" w:right="1416"/>
        <w:rPr>
          <w:i/>
        </w:rPr>
      </w:pPr>
      <w:proofErr w:type="gramStart"/>
      <w:r w:rsidRPr="006667EF">
        <w:rPr>
          <w:i/>
        </w:rPr>
        <w:t>the</w:t>
      </w:r>
      <w:proofErr w:type="gramEnd"/>
      <w:r w:rsidRPr="006667EF">
        <w:rPr>
          <w:i/>
        </w:rPr>
        <w:t xml:space="preserve"> carrying out of any works on, in, over or under land or the making of any material change in the use of any structures or other land.</w:t>
      </w:r>
    </w:p>
    <w:p w:rsidR="006667EF" w:rsidRDefault="006667EF" w:rsidP="007C5B59">
      <w:r>
        <w:t>Planning permission is required to carry out development defined above, unless there is a provision in the legislation or regulations to exempt this requirement.</w:t>
      </w:r>
    </w:p>
    <w:p w:rsidR="007C5B59" w:rsidRDefault="007C5B59" w:rsidP="007C5B59">
      <w:r>
        <w:t xml:space="preserve">Development is </w:t>
      </w:r>
      <w:r w:rsidRPr="006667EF">
        <w:rPr>
          <w:b/>
        </w:rPr>
        <w:t>unauthorised</w:t>
      </w:r>
      <w:r>
        <w:t xml:space="preserve"> when:-</w:t>
      </w:r>
    </w:p>
    <w:p w:rsidR="007C5B59" w:rsidRDefault="007C5B59" w:rsidP="007C5B59">
      <w:pPr>
        <w:pStyle w:val="ListParagraph"/>
        <w:numPr>
          <w:ilvl w:val="0"/>
          <w:numId w:val="2"/>
        </w:numPr>
      </w:pPr>
      <w:r>
        <w:t>Planning Permission is required and has not been obtained</w:t>
      </w:r>
      <w:r w:rsidR="00C508BE">
        <w:t>.</w:t>
      </w:r>
    </w:p>
    <w:p w:rsidR="007C5B59" w:rsidRDefault="007C5B59" w:rsidP="007C5B59">
      <w:pPr>
        <w:pStyle w:val="ListParagraph"/>
        <w:numPr>
          <w:ilvl w:val="0"/>
          <w:numId w:val="2"/>
        </w:numPr>
      </w:pPr>
      <w:r>
        <w:t>Planning Permission has been obtained but the development has not been carried out in accordance with the approved plans and/or conditions attached to the Permission</w:t>
      </w:r>
      <w:r w:rsidR="00C508BE">
        <w:t>.</w:t>
      </w:r>
    </w:p>
    <w:p w:rsidR="007C5B59" w:rsidRDefault="007C5B59" w:rsidP="007C5B59">
      <w:pPr>
        <w:pStyle w:val="ListParagraph"/>
        <w:numPr>
          <w:ilvl w:val="0"/>
          <w:numId w:val="2"/>
        </w:numPr>
      </w:pPr>
      <w:r>
        <w:t>It does not comply with all of the conditions and limitations to qualify as exempt development</w:t>
      </w:r>
      <w:r w:rsidR="00C508BE">
        <w:t>.</w:t>
      </w:r>
    </w:p>
    <w:p w:rsidR="007C5B59" w:rsidRDefault="007C5B59" w:rsidP="007C5B59">
      <w:r w:rsidRPr="00D000DB">
        <w:rPr>
          <w:b/>
        </w:rPr>
        <w:t>Exempt</w:t>
      </w:r>
      <w:r w:rsidR="00D000DB" w:rsidRPr="00D000DB">
        <w:rPr>
          <w:b/>
        </w:rPr>
        <w:t>ed</w:t>
      </w:r>
      <w:r w:rsidRPr="00D000DB">
        <w:rPr>
          <w:b/>
        </w:rPr>
        <w:t xml:space="preserve"> development</w:t>
      </w:r>
      <w:r>
        <w:t xml:space="preserve"> is development for which </w:t>
      </w:r>
      <w:r w:rsidR="00C508BE">
        <w:t xml:space="preserve">the Planning Legislation or Regulations deem that </w:t>
      </w:r>
      <w:r>
        <w:t xml:space="preserve">Planning Permission is not required. </w:t>
      </w:r>
      <w:r w:rsidR="00C508BE">
        <w:t xml:space="preserve">  </w:t>
      </w:r>
      <w:r>
        <w:t>It generally relates to developments of a minor nature such as:-</w:t>
      </w:r>
    </w:p>
    <w:p w:rsidR="007C5B59" w:rsidRDefault="007C5B59" w:rsidP="007C5B59">
      <w:pPr>
        <w:pStyle w:val="ListParagraph"/>
        <w:numPr>
          <w:ilvl w:val="0"/>
          <w:numId w:val="2"/>
        </w:numPr>
      </w:pPr>
      <w:r>
        <w:t>Works of improvement, maintenance or other alterations that affect only the interior of a structure</w:t>
      </w:r>
    </w:p>
    <w:p w:rsidR="007C5B59" w:rsidRDefault="007C5B59" w:rsidP="007C5B59">
      <w:pPr>
        <w:pStyle w:val="ListParagraph"/>
        <w:numPr>
          <w:ilvl w:val="0"/>
          <w:numId w:val="2"/>
        </w:numPr>
      </w:pPr>
      <w:r>
        <w:t>Works that do not materially affect the external appearance of a structure</w:t>
      </w:r>
    </w:p>
    <w:p w:rsidR="007C5B59" w:rsidRDefault="007C5B59" w:rsidP="007C5B59">
      <w:pPr>
        <w:pStyle w:val="ListParagraph"/>
        <w:numPr>
          <w:ilvl w:val="0"/>
          <w:numId w:val="2"/>
        </w:numPr>
      </w:pPr>
      <w:r>
        <w:t xml:space="preserve">Building of an extension, shed, garage, </w:t>
      </w:r>
      <w:r w:rsidR="00D000DB">
        <w:t xml:space="preserve">boiler house, </w:t>
      </w:r>
      <w:r>
        <w:t>boundary walls, etc. within the curtilage of a house subject to conditions and limitations</w:t>
      </w:r>
    </w:p>
    <w:p w:rsidR="007C5B59" w:rsidRDefault="007C5B59" w:rsidP="007C5B59">
      <w:pPr>
        <w:pStyle w:val="ListParagraph"/>
        <w:numPr>
          <w:ilvl w:val="0"/>
          <w:numId w:val="2"/>
        </w:numPr>
      </w:pPr>
      <w:r>
        <w:t>Certain changes of use of commercial premises</w:t>
      </w:r>
    </w:p>
    <w:p w:rsidR="007C5B59" w:rsidRDefault="007C5B59" w:rsidP="007C5B59">
      <w:r>
        <w:t>Statutory provisions relating to exempted development may be found in Section 4 of the Planning &amp; Development Act 2000, Articles 6 – 10 and Schedule 2 of the Planning &amp; Development Regulations, 2001.</w:t>
      </w:r>
    </w:p>
    <w:p w:rsidR="007C5B59" w:rsidRDefault="007C5B59" w:rsidP="007C5B59">
      <w:r>
        <w:t xml:space="preserve">Most exemptions do not apply to structures that are included on the Council's </w:t>
      </w:r>
      <w:r w:rsidRPr="00D000DB">
        <w:rPr>
          <w:b/>
        </w:rPr>
        <w:t>Register of Protected Structures</w:t>
      </w:r>
      <w:r>
        <w:t xml:space="preserve">, or are situated in an </w:t>
      </w:r>
      <w:r w:rsidR="00D000DB">
        <w:rPr>
          <w:b/>
        </w:rPr>
        <w:t>A</w:t>
      </w:r>
      <w:r w:rsidRPr="00D000DB">
        <w:rPr>
          <w:b/>
        </w:rPr>
        <w:t xml:space="preserve">rchitectural </w:t>
      </w:r>
      <w:r w:rsidR="00D000DB">
        <w:rPr>
          <w:b/>
        </w:rPr>
        <w:t>C</w:t>
      </w:r>
      <w:r w:rsidRPr="00D000DB">
        <w:rPr>
          <w:b/>
        </w:rPr>
        <w:t xml:space="preserve">onservation </w:t>
      </w:r>
      <w:r w:rsidR="00D000DB">
        <w:rPr>
          <w:b/>
        </w:rPr>
        <w:t>A</w:t>
      </w:r>
      <w:r w:rsidRPr="00D000DB">
        <w:rPr>
          <w:b/>
        </w:rPr>
        <w:t>rea</w:t>
      </w:r>
      <w:r>
        <w:t xml:space="preserve">, or which would have a significant </w:t>
      </w:r>
      <w:proofErr w:type="gramStart"/>
      <w:r>
        <w:t>impact</w:t>
      </w:r>
      <w:proofErr w:type="gramEnd"/>
      <w:r>
        <w:t xml:space="preserve"> on a site designated under any EU Directive.</w:t>
      </w:r>
    </w:p>
    <w:p w:rsidR="007C5B59" w:rsidRDefault="007C5B59" w:rsidP="007C5B59">
      <w:r>
        <w:t xml:space="preserve">Planning Enforcement complaints must in writing (letter, fax or e-mail) to the Planning Enforcement Section and must include </w:t>
      </w:r>
      <w:r w:rsidR="005E64FD">
        <w:t>the complainant’s</w:t>
      </w:r>
      <w:r>
        <w:t xml:space="preserve"> </w:t>
      </w:r>
      <w:r w:rsidR="005E64FD">
        <w:t xml:space="preserve">name &amp; address.   The complaint should include </w:t>
      </w:r>
      <w:r>
        <w:t>the exact location of the site, details of the suspected breach, details (where known) of the property owner/occupier/developer,</w:t>
      </w:r>
      <w:r w:rsidR="005E64FD">
        <w:t xml:space="preserve"> the date the development began</w:t>
      </w:r>
      <w:r>
        <w:t xml:space="preserve">. </w:t>
      </w:r>
      <w:r w:rsidR="005E64FD">
        <w:t xml:space="preserve"> The</w:t>
      </w:r>
      <w:r>
        <w:t xml:space="preserve"> complainant’s details are treated with the greatest confidence</w:t>
      </w:r>
      <w:r w:rsidR="005E64FD">
        <w:t>,</w:t>
      </w:r>
      <w:r>
        <w:t xml:space="preserve"> </w:t>
      </w:r>
      <w:r w:rsidR="005E64FD">
        <w:t xml:space="preserve">are not included in the Council’s Planning Register </w:t>
      </w:r>
      <w:r>
        <w:t xml:space="preserve">and are not released to any third party </w:t>
      </w:r>
      <w:r w:rsidR="005E64FD">
        <w:t>unless the Council is required to do so under statutory requirements.</w:t>
      </w:r>
    </w:p>
    <w:p w:rsidR="005B2671" w:rsidRDefault="005B2671" w:rsidP="005B2671">
      <w:r>
        <w:t xml:space="preserve">Planning Enforcement </w:t>
      </w:r>
      <w:r w:rsidRPr="005B2671">
        <w:t xml:space="preserve">legislation sets time limits within which </w:t>
      </w:r>
      <w:r>
        <w:t>alleged unauthorised development</w:t>
      </w:r>
      <w:r w:rsidRPr="005B2671">
        <w:t xml:space="preserve"> must be investigated. </w:t>
      </w:r>
      <w:r>
        <w:t xml:space="preserve"> </w:t>
      </w:r>
      <w:r w:rsidRPr="005B2671">
        <w:t>It establishes a common procedure for all type of planning offence – issue of a Warning Letter, s</w:t>
      </w:r>
      <w:r>
        <w:t xml:space="preserve">ervice of an Enforcement Notice, </w:t>
      </w:r>
      <w:r w:rsidRPr="005B2671">
        <w:t>institution of legal proceedings</w:t>
      </w:r>
      <w:r>
        <w:t xml:space="preserve"> etc.</w:t>
      </w:r>
    </w:p>
    <w:p w:rsidR="005B2671" w:rsidRDefault="005B2671" w:rsidP="005B2671">
      <w:r>
        <w:t xml:space="preserve">Upon receipt of a complaint the Planning Authority endeavours to establish all owners, occupiers or other interests in the development before issuing a </w:t>
      </w:r>
      <w:r w:rsidRPr="005B2671">
        <w:t>Warning Letter</w:t>
      </w:r>
      <w:r>
        <w:t xml:space="preserve">.  It might be possible to </w:t>
      </w:r>
      <w:r w:rsidR="00C508BE">
        <w:t>establish</w:t>
      </w:r>
      <w:r>
        <w:t xml:space="preserve"> </w:t>
      </w:r>
      <w:r w:rsidR="00C508BE">
        <w:t xml:space="preserve">at this stage from evidence available to the Planning Authority </w:t>
      </w:r>
      <w:r>
        <w:t xml:space="preserve">that no action is possible </w:t>
      </w:r>
      <w:r w:rsidR="00C508BE">
        <w:t>e.g.</w:t>
      </w:r>
      <w:r>
        <w:t xml:space="preserve"> statute barred.</w:t>
      </w:r>
      <w:r w:rsidR="007400CC">
        <w:t xml:space="preserve">  The Planning Authority may also </w:t>
      </w:r>
      <w:r w:rsidR="00D000DB">
        <w:t>examine</w:t>
      </w:r>
      <w:r w:rsidR="007400CC">
        <w:t xml:space="preserve"> whether the complaint is trivial or vexatious.</w:t>
      </w:r>
    </w:p>
    <w:p w:rsidR="005B2671" w:rsidRDefault="005B2671" w:rsidP="005B2671">
      <w:r>
        <w:t xml:space="preserve">The </w:t>
      </w:r>
      <w:r w:rsidRPr="00D000DB">
        <w:rPr>
          <w:b/>
        </w:rPr>
        <w:t>Warning Letter</w:t>
      </w:r>
      <w:r>
        <w:t>, which must be served within six weeks of receiving the complaint, allows a</w:t>
      </w:r>
      <w:r w:rsidR="00D000DB">
        <w:t>n</w:t>
      </w:r>
      <w:r>
        <w:t xml:space="preserve"> </w:t>
      </w:r>
      <w:r w:rsidR="007400CC">
        <w:t xml:space="preserve">owner / occupier or </w:t>
      </w:r>
      <w:r>
        <w:t>developer up to four weeks to rectify the offence or to make a submission.</w:t>
      </w:r>
      <w:r w:rsidR="006667EF">
        <w:t xml:space="preserve">   A submission to the Planning Authority may include evidence that may preclude taking further action.</w:t>
      </w:r>
    </w:p>
    <w:p w:rsidR="005B2671" w:rsidRDefault="005B2671" w:rsidP="005B2671">
      <w:r>
        <w:t xml:space="preserve">Regard must be had to any submission received when deciding whether or not to serve an Enforcement Notice. </w:t>
      </w:r>
      <w:r w:rsidR="00C508BE">
        <w:t xml:space="preserve">  </w:t>
      </w:r>
      <w:r>
        <w:t xml:space="preserve">An </w:t>
      </w:r>
      <w:r w:rsidRPr="00D000DB">
        <w:rPr>
          <w:b/>
        </w:rPr>
        <w:t>Enforcement Notice</w:t>
      </w:r>
      <w:r>
        <w:t xml:space="preserve"> sets out the requirements of the Council to rectify the offence and also contains a timeframe within which the work must be completed. </w:t>
      </w:r>
      <w:r w:rsidR="006667EF">
        <w:t xml:space="preserve">  </w:t>
      </w:r>
      <w:r w:rsidR="00C508BE">
        <w:t>Non-compliance</w:t>
      </w:r>
      <w:r>
        <w:t xml:space="preserve"> with an Enforcement Notice is an offence.</w:t>
      </w:r>
    </w:p>
    <w:p w:rsidR="005B2671" w:rsidRDefault="005B2671" w:rsidP="005B2671">
      <w:r>
        <w:lastRenderedPageBreak/>
        <w:t xml:space="preserve">Should any person served with an Enforcement Notice fail to comply with its requirements, the Council may institute legal proceedings </w:t>
      </w:r>
      <w:r w:rsidR="00C508BE">
        <w:t xml:space="preserve">and prosecute the matter </w:t>
      </w:r>
      <w:r>
        <w:t>in the District Court.</w:t>
      </w:r>
      <w:r w:rsidR="00AD5294">
        <w:t xml:space="preserve">   This requires that all the necessary evidence is compiled </w:t>
      </w:r>
      <w:r w:rsidR="00C02915">
        <w:t xml:space="preserve">and </w:t>
      </w:r>
      <w:r w:rsidR="00AD5294">
        <w:t xml:space="preserve">that </w:t>
      </w:r>
      <w:r w:rsidR="00C02915">
        <w:t>such evidence can</w:t>
      </w:r>
      <w:r w:rsidR="00AD5294">
        <w:t xml:space="preserve"> withstand scrutiny and cross-examination in a criminal court of law.</w:t>
      </w:r>
    </w:p>
    <w:p w:rsidR="005E64FD" w:rsidRDefault="005B2671" w:rsidP="005B2671">
      <w:r>
        <w:t>In urgent cases, the Council may alternatively apply to the Circuit or High Court for an Order directing that particular actions take place or cease, as the case may be.</w:t>
      </w:r>
    </w:p>
    <w:p w:rsidR="00860517" w:rsidRDefault="007C5B59" w:rsidP="007C5B59">
      <w:r>
        <w:t xml:space="preserve">Even if the development is outside the time frame for </w:t>
      </w:r>
      <w:r w:rsidR="00D000DB">
        <w:t xml:space="preserve">prosecuting </w:t>
      </w:r>
      <w:r>
        <w:t xml:space="preserve">enforcement action, it remains unauthorised and could have a negative impact on the value of </w:t>
      </w:r>
      <w:r w:rsidR="00D000DB">
        <w:t>a</w:t>
      </w:r>
      <w:r>
        <w:t xml:space="preserve"> property. </w:t>
      </w:r>
      <w:r w:rsidR="007400CC">
        <w:t xml:space="preserve">  </w:t>
      </w:r>
      <w:r>
        <w:t xml:space="preserve">In addition, further works that may normally be considered exempt (such as alteration, repair or renewal) may not be carried out to an unauthorised structure or a structure whose use is unauthorised. </w:t>
      </w:r>
      <w:r w:rsidR="007400CC">
        <w:t xml:space="preserve">  </w:t>
      </w:r>
      <w:r>
        <w:t>It is in the interest of every property owner to ensure that any unauthorised development is regularised.</w:t>
      </w:r>
    </w:p>
    <w:p w:rsidR="006667EF" w:rsidRDefault="004123CE" w:rsidP="007C5B59">
      <w:r>
        <w:t>The Planning Enforcement process can be summarised as follows</w:t>
      </w:r>
    </w:p>
    <w:p w:rsidR="00443882" w:rsidRDefault="00443882" w:rsidP="007C5B59"/>
    <w:p w:rsidR="006667EF" w:rsidRDefault="00443882" w:rsidP="00443882">
      <w:pPr>
        <w:jc w:val="center"/>
      </w:pPr>
      <w:r>
        <w:rPr>
          <w:noProof/>
          <w:lang w:eastAsia="en-IE"/>
        </w:rPr>
        <w:drawing>
          <wp:inline distT="0" distB="0" distL="0" distR="0">
            <wp:extent cx="5798067" cy="3947532"/>
            <wp:effectExtent l="0" t="0" r="0" b="0"/>
            <wp:docPr id="1" name="Picture 1" descr="C:\Users\nobyrne\Desktop\Closing the Enforcement circle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byrne\Desktop\Closing the Enforcement circle.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902" cy="399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882" w:rsidRDefault="00443882" w:rsidP="00443882">
      <w:pPr>
        <w:jc w:val="center"/>
      </w:pPr>
    </w:p>
    <w:p w:rsidR="004123CE" w:rsidRDefault="004123CE" w:rsidP="007C5B59">
      <w:r>
        <w:t>The following is a summary of Planning Enforcement activity for 2016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647"/>
        <w:gridCol w:w="709"/>
      </w:tblGrid>
      <w:tr w:rsidR="004123CE" w:rsidRPr="004123CE" w:rsidTr="004123CE">
        <w:tc>
          <w:tcPr>
            <w:tcW w:w="8647" w:type="dxa"/>
          </w:tcPr>
          <w:p w:rsidR="004123CE" w:rsidRPr="004123CE" w:rsidRDefault="004123CE" w:rsidP="0094709E">
            <w:r w:rsidRPr="004123CE">
              <w:t>Total number of cases subject to complaints that were investigated</w:t>
            </w:r>
          </w:p>
        </w:tc>
        <w:tc>
          <w:tcPr>
            <w:tcW w:w="709" w:type="dxa"/>
          </w:tcPr>
          <w:p w:rsidR="004123CE" w:rsidRPr="004123CE" w:rsidRDefault="004123CE" w:rsidP="004123CE">
            <w:pPr>
              <w:jc w:val="center"/>
            </w:pPr>
            <w:r w:rsidRPr="004123CE">
              <w:t>92</w:t>
            </w:r>
          </w:p>
        </w:tc>
      </w:tr>
      <w:tr w:rsidR="004123CE" w:rsidRPr="004123CE" w:rsidTr="004123CE">
        <w:tc>
          <w:tcPr>
            <w:tcW w:w="8647" w:type="dxa"/>
          </w:tcPr>
          <w:p w:rsidR="004123CE" w:rsidRPr="004123CE" w:rsidRDefault="004123CE" w:rsidP="0094709E">
            <w:r w:rsidRPr="004123CE">
              <w:t>Total number of cases subject to complaints that were dismissed</w:t>
            </w:r>
          </w:p>
        </w:tc>
        <w:tc>
          <w:tcPr>
            <w:tcW w:w="709" w:type="dxa"/>
          </w:tcPr>
          <w:p w:rsidR="004123CE" w:rsidRPr="004123CE" w:rsidRDefault="004123CE" w:rsidP="004123CE">
            <w:pPr>
              <w:jc w:val="center"/>
            </w:pPr>
            <w:r w:rsidRPr="004123CE">
              <w:t>112</w:t>
            </w:r>
          </w:p>
        </w:tc>
      </w:tr>
      <w:tr w:rsidR="004123CE" w:rsidRPr="004123CE" w:rsidTr="004123CE">
        <w:tc>
          <w:tcPr>
            <w:tcW w:w="8647" w:type="dxa"/>
          </w:tcPr>
          <w:p w:rsidR="004123CE" w:rsidRPr="004123CE" w:rsidRDefault="004123CE" w:rsidP="0094709E">
            <w:r w:rsidRPr="004123CE">
              <w:t>Total number of cases subject to complaints that were resolved through negotiations</w:t>
            </w:r>
          </w:p>
        </w:tc>
        <w:tc>
          <w:tcPr>
            <w:tcW w:w="709" w:type="dxa"/>
          </w:tcPr>
          <w:p w:rsidR="004123CE" w:rsidRPr="004123CE" w:rsidRDefault="004123CE" w:rsidP="004123CE">
            <w:pPr>
              <w:jc w:val="center"/>
            </w:pPr>
            <w:r w:rsidRPr="004123CE">
              <w:t>58</w:t>
            </w:r>
          </w:p>
        </w:tc>
      </w:tr>
      <w:tr w:rsidR="004123CE" w:rsidRPr="004123CE" w:rsidTr="004123CE">
        <w:tc>
          <w:tcPr>
            <w:tcW w:w="8647" w:type="dxa"/>
          </w:tcPr>
          <w:p w:rsidR="004123CE" w:rsidRPr="004123CE" w:rsidRDefault="004123CE" w:rsidP="0094709E">
            <w:r w:rsidRPr="004123CE">
              <w:t>Number of enforcement procedures taken through warning letters</w:t>
            </w:r>
          </w:p>
        </w:tc>
        <w:tc>
          <w:tcPr>
            <w:tcW w:w="709" w:type="dxa"/>
          </w:tcPr>
          <w:p w:rsidR="004123CE" w:rsidRPr="004123CE" w:rsidRDefault="004123CE" w:rsidP="004123CE">
            <w:pPr>
              <w:jc w:val="center"/>
            </w:pPr>
            <w:r w:rsidRPr="004123CE">
              <w:t>94</w:t>
            </w:r>
          </w:p>
        </w:tc>
      </w:tr>
      <w:tr w:rsidR="004123CE" w:rsidRPr="004123CE" w:rsidTr="004123CE">
        <w:tc>
          <w:tcPr>
            <w:tcW w:w="8647" w:type="dxa"/>
          </w:tcPr>
          <w:p w:rsidR="004123CE" w:rsidRPr="004123CE" w:rsidRDefault="004123CE" w:rsidP="0094709E">
            <w:r w:rsidRPr="004123CE">
              <w:t>Number of enforcement procedures taken through enforcement notices</w:t>
            </w:r>
          </w:p>
        </w:tc>
        <w:tc>
          <w:tcPr>
            <w:tcW w:w="709" w:type="dxa"/>
          </w:tcPr>
          <w:p w:rsidR="004123CE" w:rsidRPr="004123CE" w:rsidRDefault="004123CE" w:rsidP="004123CE">
            <w:pPr>
              <w:jc w:val="center"/>
            </w:pPr>
            <w:r w:rsidRPr="004123CE">
              <w:t>40</w:t>
            </w:r>
          </w:p>
        </w:tc>
      </w:tr>
      <w:tr w:rsidR="004123CE" w:rsidTr="004123CE">
        <w:tc>
          <w:tcPr>
            <w:tcW w:w="8647" w:type="dxa"/>
          </w:tcPr>
          <w:p w:rsidR="004123CE" w:rsidRPr="004123CE" w:rsidRDefault="004123CE" w:rsidP="0094709E">
            <w:r w:rsidRPr="004123CE">
              <w:t xml:space="preserve">Number of prosecutions   </w:t>
            </w:r>
          </w:p>
        </w:tc>
        <w:tc>
          <w:tcPr>
            <w:tcW w:w="709" w:type="dxa"/>
          </w:tcPr>
          <w:p w:rsidR="004123CE" w:rsidRDefault="004123CE" w:rsidP="004123CE">
            <w:pPr>
              <w:jc w:val="center"/>
            </w:pPr>
            <w:r w:rsidRPr="004123CE">
              <w:t>9</w:t>
            </w:r>
          </w:p>
        </w:tc>
      </w:tr>
    </w:tbl>
    <w:p w:rsidR="004123CE" w:rsidRDefault="004123CE" w:rsidP="004123CE"/>
    <w:sectPr w:rsidR="004123CE" w:rsidSect="00C508BE">
      <w:pgSz w:w="11906" w:h="16838" w:code="9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4DE6"/>
    <w:multiLevelType w:val="hybridMultilevel"/>
    <w:tmpl w:val="56883120"/>
    <w:lvl w:ilvl="0" w:tplc="289AFD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23530"/>
    <w:multiLevelType w:val="hybridMultilevel"/>
    <w:tmpl w:val="83D059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1033"/>
    <w:multiLevelType w:val="hybridMultilevel"/>
    <w:tmpl w:val="31BEB28C"/>
    <w:lvl w:ilvl="0" w:tplc="289AFD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59"/>
    <w:rsid w:val="002F0899"/>
    <w:rsid w:val="004123CE"/>
    <w:rsid w:val="00443882"/>
    <w:rsid w:val="005B2671"/>
    <w:rsid w:val="005E64FD"/>
    <w:rsid w:val="006667EF"/>
    <w:rsid w:val="007400CC"/>
    <w:rsid w:val="007C5B59"/>
    <w:rsid w:val="00860517"/>
    <w:rsid w:val="0095212F"/>
    <w:rsid w:val="00AD5294"/>
    <w:rsid w:val="00B3092C"/>
    <w:rsid w:val="00C02915"/>
    <w:rsid w:val="00C508BE"/>
    <w:rsid w:val="00D000DB"/>
    <w:rsid w:val="00D0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8939F-626E-4EC7-A612-71E154AE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I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B59"/>
    <w:pPr>
      <w:ind w:left="720"/>
      <w:contextualSpacing/>
    </w:pPr>
  </w:style>
  <w:style w:type="table" w:styleId="TableGrid">
    <w:name w:val="Table Grid"/>
    <w:basedOn w:val="TableNormal"/>
    <w:uiPriority w:val="39"/>
    <w:rsid w:val="004123C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D03EC6"/>
    <w:pPr>
      <w:spacing w:before="100" w:beforeAutospacing="1" w:after="100" w:afterAutospacing="1"/>
      <w:jc w:val="center"/>
    </w:pPr>
    <w:rPr>
      <w:rFonts w:eastAsia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D03EC6"/>
    <w:pPr>
      <w:spacing w:before="300" w:after="300"/>
      <w:jc w:val="center"/>
    </w:pPr>
    <w:rPr>
      <w:rFonts w:eastAsia="Times New Roman"/>
      <w:lang w:eastAsia="en-IE"/>
    </w:rPr>
  </w:style>
  <w:style w:type="paragraph" w:customStyle="1" w:styleId="replymain">
    <w:name w:val="replymain"/>
    <w:basedOn w:val="Normal"/>
    <w:rsid w:val="00D03EC6"/>
    <w:pPr>
      <w:spacing w:before="100" w:beforeAutospacing="1" w:after="100" w:afterAutospacing="1"/>
      <w:jc w:val="center"/>
    </w:pPr>
    <w:rPr>
      <w:rFonts w:eastAsia="Times New Roman"/>
      <w:b/>
      <w:bCs/>
      <w:u w:val="single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O'Byrne</dc:creator>
  <cp:keywords/>
  <dc:description/>
  <cp:lastModifiedBy>Barbara Reilly</cp:lastModifiedBy>
  <cp:revision>3</cp:revision>
  <dcterms:created xsi:type="dcterms:W3CDTF">2017-02-07T12:22:00Z</dcterms:created>
  <dcterms:modified xsi:type="dcterms:W3CDTF">2017-02-07T12:25:00Z</dcterms:modified>
</cp:coreProperties>
</file>