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05" w:rsidRDefault="00861C05" w:rsidP="00861C0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861C05" w:rsidRDefault="00861C05" w:rsidP="00861C0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FB48970" wp14:editId="5C0973AA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05" w:rsidRDefault="00861C05" w:rsidP="00861C0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MEETING OF RATHFARNHAM/TEMPLEOGUE-TERENURE AREA </w:t>
      </w:r>
      <w:bookmarkStart w:id="0" w:name="_GoBack"/>
      <w:bookmarkEnd w:id="0"/>
      <w:r>
        <w:rPr>
          <w:rFonts w:ascii="Verdana" w:hAnsi="Verdana"/>
          <w:color w:val="000000"/>
        </w:rPr>
        <w:t>COMMITTEE</w:t>
      </w:r>
    </w:p>
    <w:p w:rsidR="00861C05" w:rsidRDefault="00861C05" w:rsidP="00861C0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Tuesday, December 13, 2016</w:t>
      </w:r>
    </w:p>
    <w:p w:rsidR="00762E8E" w:rsidRDefault="00861C05" w:rsidP="00C270A3">
      <w:pPr>
        <w:pStyle w:val="replymain"/>
      </w:pPr>
      <w:r>
        <w:rPr>
          <w:rFonts w:ascii="Verdana" w:hAnsi="Verdana"/>
          <w:color w:val="000000"/>
        </w:rPr>
        <w:t>HEADED ITEM NO. 3</w:t>
      </w:r>
    </w:p>
    <w:p w:rsidR="00762E8E" w:rsidRPr="00C270A3" w:rsidRDefault="00B90337" w:rsidP="00C270A3">
      <w:pPr>
        <w:rPr>
          <w:b/>
          <w:sz w:val="24"/>
          <w:szCs w:val="24"/>
        </w:rPr>
      </w:pPr>
      <w:r w:rsidRPr="00C270A3">
        <w:rPr>
          <w:b/>
          <w:sz w:val="24"/>
          <w:szCs w:val="24"/>
        </w:rPr>
        <w:t xml:space="preserve">Review of </w:t>
      </w:r>
      <w:proofErr w:type="spellStart"/>
      <w:r w:rsidRPr="00C270A3">
        <w:rPr>
          <w:b/>
          <w:sz w:val="24"/>
          <w:szCs w:val="24"/>
        </w:rPr>
        <w:t>Whitechurch</w:t>
      </w:r>
      <w:proofErr w:type="spellEnd"/>
      <w:r w:rsidR="00C270A3" w:rsidRPr="00C270A3">
        <w:rPr>
          <w:b/>
          <w:sz w:val="24"/>
          <w:szCs w:val="24"/>
        </w:rPr>
        <w:t xml:space="preserve"> Library</w:t>
      </w:r>
    </w:p>
    <w:p w:rsidR="00B307FD" w:rsidRPr="00B90337" w:rsidRDefault="00522798" w:rsidP="00B90337">
      <w:pPr>
        <w:jc w:val="both"/>
        <w:rPr>
          <w:sz w:val="24"/>
          <w:szCs w:val="24"/>
        </w:rPr>
      </w:pPr>
      <w:r>
        <w:rPr>
          <w:sz w:val="24"/>
          <w:szCs w:val="24"/>
        </w:rPr>
        <w:t>Whitechurch Library closed in August 2016 due to the retirement of the branch librarian. As outlined in the charts below there was a</w:t>
      </w:r>
      <w:r w:rsidR="00675706">
        <w:rPr>
          <w:sz w:val="24"/>
          <w:szCs w:val="24"/>
        </w:rPr>
        <w:t xml:space="preserve"> decrease</w:t>
      </w:r>
      <w:r w:rsidR="001D6F75">
        <w:rPr>
          <w:sz w:val="24"/>
          <w:szCs w:val="24"/>
        </w:rPr>
        <w:t xml:space="preserve"> in </w:t>
      </w:r>
      <w:r w:rsidR="00675706">
        <w:rPr>
          <w:sz w:val="24"/>
          <w:szCs w:val="24"/>
        </w:rPr>
        <w:t>books/</w:t>
      </w:r>
      <w:r w:rsidR="001D6F75">
        <w:rPr>
          <w:sz w:val="24"/>
          <w:szCs w:val="24"/>
        </w:rPr>
        <w:t xml:space="preserve">items loaned </w:t>
      </w:r>
      <w:r w:rsidR="009272DF">
        <w:rPr>
          <w:sz w:val="24"/>
          <w:szCs w:val="24"/>
        </w:rPr>
        <w:t xml:space="preserve">in Whitechurch Library </w:t>
      </w:r>
      <w:r w:rsidR="001D6F75">
        <w:rPr>
          <w:sz w:val="24"/>
          <w:szCs w:val="24"/>
        </w:rPr>
        <w:t>from 4,6</w:t>
      </w:r>
      <w:r>
        <w:rPr>
          <w:sz w:val="24"/>
          <w:szCs w:val="24"/>
        </w:rPr>
        <w:t>00 in January 2014</w:t>
      </w:r>
      <w:r w:rsidR="001D6F75">
        <w:rPr>
          <w:sz w:val="24"/>
          <w:szCs w:val="24"/>
        </w:rPr>
        <w:t xml:space="preserve"> to 300 items in July 2016.</w:t>
      </w:r>
      <w:r w:rsidR="00675706">
        <w:rPr>
          <w:sz w:val="24"/>
          <w:szCs w:val="24"/>
        </w:rPr>
        <w:t xml:space="preserve"> Visitors to Whitechurch Library has also decreased over the period</w:t>
      </w:r>
      <w:r w:rsidR="00F77CB5">
        <w:rPr>
          <w:sz w:val="24"/>
          <w:szCs w:val="24"/>
        </w:rPr>
        <w:t xml:space="preserve"> from 6,236 visitors in March 2014 to 2,064 in July 2016. Average monthly books/loans in Ballyroan Library is 30,000 per month with monthly visitors of 24,000.</w:t>
      </w:r>
    </w:p>
    <w:p w:rsidR="00675706" w:rsidRDefault="00B307FD" w:rsidP="00B90337">
      <w:pPr>
        <w:jc w:val="both"/>
      </w:pPr>
      <w:r>
        <w:t>The Mobile Library commenced serving the Whitechurch community on Wednesday</w:t>
      </w:r>
      <w:r w:rsidR="00675706">
        <w:t>s from</w:t>
      </w:r>
      <w:r>
        <w:t xml:space="preserve"> 5</w:t>
      </w:r>
      <w:r w:rsidRPr="00F7507F">
        <w:rPr>
          <w:vertAlign w:val="superscript"/>
        </w:rPr>
        <w:t>th</w:t>
      </w:r>
      <w:r w:rsidR="00675706">
        <w:t xml:space="preserve"> of October, visiting</w:t>
      </w:r>
      <w:r>
        <w:t xml:space="preserve"> Whitechurch Green from 2.30 to 3.30pm and Palmer Park from 3.40 to 4.40pm.  </w:t>
      </w:r>
      <w:r w:rsidR="0079421E">
        <w:t xml:space="preserve">Issues to date </w:t>
      </w:r>
      <w:r w:rsidR="00675706">
        <w:t>at both stops have been very poor. (37 items were issued over 3 weeks, i.e. 6 hours). In addition a scheduled service is operated to Scoil Mhuire NS on a four week rota on Wednesdays. Children from 2</w:t>
      </w:r>
      <w:r w:rsidR="00675706" w:rsidRPr="005C4542">
        <w:rPr>
          <w:vertAlign w:val="superscript"/>
        </w:rPr>
        <w:t>nd</w:t>
      </w:r>
      <w:r w:rsidR="00675706">
        <w:t>, 3</w:t>
      </w:r>
      <w:r w:rsidR="00675706" w:rsidRPr="005C4542">
        <w:rPr>
          <w:vertAlign w:val="superscript"/>
        </w:rPr>
        <w:t>rd</w:t>
      </w:r>
      <w:r w:rsidR="00675706">
        <w:t>, 4</w:t>
      </w:r>
      <w:r w:rsidR="00675706" w:rsidRPr="005C4542">
        <w:rPr>
          <w:vertAlign w:val="superscript"/>
        </w:rPr>
        <w:t>th</w:t>
      </w:r>
      <w:r w:rsidR="00675706">
        <w:t xml:space="preserve"> 5</w:t>
      </w:r>
      <w:r w:rsidR="00675706" w:rsidRPr="005C4542">
        <w:rPr>
          <w:vertAlign w:val="superscript"/>
        </w:rPr>
        <w:t>th</w:t>
      </w:r>
      <w:r w:rsidR="00675706">
        <w:t xml:space="preserve"> and 6</w:t>
      </w:r>
      <w:r w:rsidR="00675706" w:rsidRPr="005C4542">
        <w:rPr>
          <w:vertAlign w:val="superscript"/>
        </w:rPr>
        <w:t>th</w:t>
      </w:r>
      <w:r w:rsidR="00675706">
        <w:t xml:space="preserve"> classes use the mobile library; a total student population of 124.  At present there are 232 items on loan to the school. </w:t>
      </w:r>
    </w:p>
    <w:p w:rsidR="00611106" w:rsidRDefault="00611106" w:rsidP="00B90337">
      <w:pPr>
        <w:jc w:val="both"/>
      </w:pPr>
      <w:r>
        <w:t>The WEB Project is continuing to work out of the library building</w:t>
      </w:r>
      <w:r w:rsidR="00B90337">
        <w:t>. The project provides adult education classes and tailored holistic therapies for people with intellectual disabilities.</w:t>
      </w:r>
    </w:p>
    <w:p w:rsidR="00B90337" w:rsidRDefault="00B90337" w:rsidP="00B90337">
      <w:pPr>
        <w:jc w:val="both"/>
      </w:pPr>
      <w:r>
        <w:t xml:space="preserve">It is planned to continue to monitor the uptake of the mobile </w:t>
      </w:r>
      <w:r w:rsidR="002A746F">
        <w:t>service to the Whitechurch area so that an informed decision can be made on the library.</w:t>
      </w:r>
    </w:p>
    <w:p w:rsidR="00B90337" w:rsidRDefault="00B90337" w:rsidP="00675706"/>
    <w:p w:rsidR="00675706" w:rsidRDefault="00675706" w:rsidP="00675706"/>
    <w:p w:rsidR="00B307FD" w:rsidRDefault="00B307FD" w:rsidP="00B307FD"/>
    <w:p w:rsidR="00A83991" w:rsidRDefault="00E86975">
      <w:r>
        <w:rPr>
          <w:noProof/>
          <w:lang w:eastAsia="en-IE"/>
        </w:rPr>
        <w:lastRenderedPageBreak/>
        <w:drawing>
          <wp:inline distT="0" distB="0" distL="0" distR="0" wp14:anchorId="6B8975AC" wp14:editId="7BB4BFAF">
            <wp:extent cx="5731510" cy="2966085"/>
            <wp:effectExtent l="0" t="0" r="2540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7C493F">
        <w:rPr>
          <w:noProof/>
          <w:lang w:eastAsia="en-IE"/>
        </w:rPr>
        <w:drawing>
          <wp:inline distT="0" distB="0" distL="0" distR="0" wp14:anchorId="5E1931A1" wp14:editId="78D5658C">
            <wp:extent cx="5731510" cy="3141980"/>
            <wp:effectExtent l="0" t="0" r="2540" b="12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8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3F"/>
    <w:rsid w:val="001D6F75"/>
    <w:rsid w:val="002A746F"/>
    <w:rsid w:val="003D64C3"/>
    <w:rsid w:val="00481355"/>
    <w:rsid w:val="00522798"/>
    <w:rsid w:val="00611106"/>
    <w:rsid w:val="00675706"/>
    <w:rsid w:val="00762E8E"/>
    <w:rsid w:val="0079421E"/>
    <w:rsid w:val="007C493F"/>
    <w:rsid w:val="00861C05"/>
    <w:rsid w:val="009272DF"/>
    <w:rsid w:val="00A83991"/>
    <w:rsid w:val="00B307FD"/>
    <w:rsid w:val="00B90337"/>
    <w:rsid w:val="00C270A3"/>
    <w:rsid w:val="00C818A7"/>
    <w:rsid w:val="00E86975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F132F-41E3-40C0-9E30-561C212B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7FD"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861C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61C0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61C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E"/>
              <a:t>Whitechurch - loans 2014-2016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2014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Sheet2!$B$2:$B$13</c:f>
              <c:numCache>
                <c:formatCode>General</c:formatCode>
                <c:ptCount val="12"/>
                <c:pt idx="0">
                  <c:v>4582</c:v>
                </c:pt>
                <c:pt idx="1">
                  <c:v>3065</c:v>
                </c:pt>
                <c:pt idx="2">
                  <c:v>2966</c:v>
                </c:pt>
                <c:pt idx="3">
                  <c:v>3792</c:v>
                </c:pt>
                <c:pt idx="4">
                  <c:v>2621</c:v>
                </c:pt>
                <c:pt idx="5">
                  <c:v>2042</c:v>
                </c:pt>
                <c:pt idx="6">
                  <c:v>1749</c:v>
                </c:pt>
                <c:pt idx="7">
                  <c:v>0</c:v>
                </c:pt>
                <c:pt idx="8">
                  <c:v>2392</c:v>
                </c:pt>
                <c:pt idx="9">
                  <c:v>1902</c:v>
                </c:pt>
                <c:pt idx="10">
                  <c:v>1876</c:v>
                </c:pt>
                <c:pt idx="11">
                  <c:v>1829</c:v>
                </c:pt>
              </c:numCache>
            </c:numRef>
          </c:val>
          <c:smooth val="0"/>
        </c:ser>
        <c:ser>
          <c:idx val="1"/>
          <c:order val="1"/>
          <c:tx>
            <c:v>2015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Sheet2!$C$2:$C$13</c:f>
              <c:numCache>
                <c:formatCode>General</c:formatCode>
                <c:ptCount val="12"/>
                <c:pt idx="0">
                  <c:v>1693</c:v>
                </c:pt>
                <c:pt idx="1">
                  <c:v>1618</c:v>
                </c:pt>
                <c:pt idx="2">
                  <c:v>1677</c:v>
                </c:pt>
                <c:pt idx="3">
                  <c:v>1620</c:v>
                </c:pt>
                <c:pt idx="4">
                  <c:v>1389</c:v>
                </c:pt>
                <c:pt idx="5">
                  <c:v>1412</c:v>
                </c:pt>
                <c:pt idx="6">
                  <c:v>1387</c:v>
                </c:pt>
                <c:pt idx="7">
                  <c:v>19</c:v>
                </c:pt>
                <c:pt idx="8">
                  <c:v>1404</c:v>
                </c:pt>
                <c:pt idx="9">
                  <c:v>651</c:v>
                </c:pt>
                <c:pt idx="10">
                  <c:v>1084</c:v>
                </c:pt>
                <c:pt idx="11">
                  <c:v>819</c:v>
                </c:pt>
              </c:numCache>
            </c:numRef>
          </c:val>
          <c:smooth val="0"/>
        </c:ser>
        <c:ser>
          <c:idx val="2"/>
          <c:order val="2"/>
          <c:tx>
            <c:v>2016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Sheet2!$D$2:$D$13</c:f>
              <c:numCache>
                <c:formatCode>General</c:formatCode>
                <c:ptCount val="12"/>
                <c:pt idx="0">
                  <c:v>1091</c:v>
                </c:pt>
                <c:pt idx="1">
                  <c:v>906</c:v>
                </c:pt>
                <c:pt idx="2">
                  <c:v>893</c:v>
                </c:pt>
                <c:pt idx="3">
                  <c:v>832</c:v>
                </c:pt>
                <c:pt idx="4">
                  <c:v>978</c:v>
                </c:pt>
                <c:pt idx="5">
                  <c:v>776</c:v>
                </c:pt>
                <c:pt idx="6">
                  <c:v>316</c:v>
                </c:pt>
                <c:pt idx="7">
                  <c:v>54</c:v>
                </c:pt>
                <c:pt idx="8">
                  <c:v>6</c:v>
                </c:pt>
                <c:pt idx="9">
                  <c:v>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0459120"/>
        <c:axId val="140461552"/>
      </c:lineChart>
      <c:catAx>
        <c:axId val="14045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61552"/>
        <c:crosses val="autoZero"/>
        <c:auto val="1"/>
        <c:lblAlgn val="ctr"/>
        <c:lblOffset val="100"/>
        <c:noMultiLvlLbl val="0"/>
      </c:catAx>
      <c:valAx>
        <c:axId val="14046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5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E"/>
              <a:t>Whitechurch visitors  - 2014-2016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2014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Sheet2!$B$22:$B$33</c:f>
              <c:numCache>
                <c:formatCode>General</c:formatCode>
                <c:ptCount val="12"/>
                <c:pt idx="0">
                  <c:v>4749</c:v>
                </c:pt>
                <c:pt idx="1">
                  <c:v>4439</c:v>
                </c:pt>
                <c:pt idx="2">
                  <c:v>6236</c:v>
                </c:pt>
                <c:pt idx="3">
                  <c:v>4815</c:v>
                </c:pt>
                <c:pt idx="4">
                  <c:v>4660</c:v>
                </c:pt>
                <c:pt idx="5">
                  <c:v>3885</c:v>
                </c:pt>
                <c:pt idx="6">
                  <c:v>4020</c:v>
                </c:pt>
                <c:pt idx="7">
                  <c:v>0</c:v>
                </c:pt>
                <c:pt idx="8">
                  <c:v>4288</c:v>
                </c:pt>
                <c:pt idx="9">
                  <c:v>4820</c:v>
                </c:pt>
                <c:pt idx="10">
                  <c:v>4693</c:v>
                </c:pt>
                <c:pt idx="11">
                  <c:v>5410</c:v>
                </c:pt>
              </c:numCache>
            </c:numRef>
          </c:val>
        </c:ser>
        <c:ser>
          <c:idx val="1"/>
          <c:order val="1"/>
          <c:tx>
            <c:v>2015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Sheet2!$C$22:$C$33</c:f>
              <c:numCache>
                <c:formatCode>General</c:formatCode>
                <c:ptCount val="12"/>
                <c:pt idx="0">
                  <c:v>4655</c:v>
                </c:pt>
                <c:pt idx="1">
                  <c:v>4740</c:v>
                </c:pt>
                <c:pt idx="2">
                  <c:v>4922</c:v>
                </c:pt>
                <c:pt idx="3">
                  <c:v>4202</c:v>
                </c:pt>
                <c:pt idx="4">
                  <c:v>3716</c:v>
                </c:pt>
                <c:pt idx="5">
                  <c:v>3690</c:v>
                </c:pt>
                <c:pt idx="6">
                  <c:v>3666</c:v>
                </c:pt>
                <c:pt idx="7">
                  <c:v>0</c:v>
                </c:pt>
                <c:pt idx="8">
                  <c:v>3650</c:v>
                </c:pt>
                <c:pt idx="9">
                  <c:v>1402</c:v>
                </c:pt>
                <c:pt idx="10">
                  <c:v>3334</c:v>
                </c:pt>
                <c:pt idx="11">
                  <c:v>2201</c:v>
                </c:pt>
              </c:numCache>
            </c:numRef>
          </c:val>
        </c:ser>
        <c:ser>
          <c:idx val="2"/>
          <c:order val="2"/>
          <c:tx>
            <c:v>2016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Sheet2!$D$22:$D$33</c:f>
              <c:numCache>
                <c:formatCode>General</c:formatCode>
                <c:ptCount val="12"/>
                <c:pt idx="0">
                  <c:v>2435</c:v>
                </c:pt>
                <c:pt idx="1">
                  <c:v>2459</c:v>
                </c:pt>
                <c:pt idx="2">
                  <c:v>1927</c:v>
                </c:pt>
                <c:pt idx="3">
                  <c:v>2205</c:v>
                </c:pt>
                <c:pt idx="4">
                  <c:v>2357</c:v>
                </c:pt>
                <c:pt idx="5">
                  <c:v>2588</c:v>
                </c:pt>
                <c:pt idx="6">
                  <c:v>2064</c:v>
                </c:pt>
                <c:pt idx="7">
                  <c:v>681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23816"/>
        <c:axId val="141428296"/>
      </c:barChart>
      <c:catAx>
        <c:axId val="141423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28296"/>
        <c:crosses val="autoZero"/>
        <c:auto val="1"/>
        <c:lblAlgn val="ctr"/>
        <c:lblOffset val="100"/>
        <c:noMultiLvlLbl val="0"/>
      </c:catAx>
      <c:valAx>
        <c:axId val="141428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23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Veronica Weir</cp:lastModifiedBy>
  <cp:revision>4</cp:revision>
  <dcterms:created xsi:type="dcterms:W3CDTF">2016-12-07T14:40:00Z</dcterms:created>
  <dcterms:modified xsi:type="dcterms:W3CDTF">2016-12-12T17:37:00Z</dcterms:modified>
</cp:coreProperties>
</file>