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1440" w:firstLine="72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Implementation/ Action Plan Q1 2016</w:t>
      </w: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Report to  March ACM </w:t>
      </w:r>
    </w:p>
    <w:p>
      <w:pPr>
        <w:spacing w:before="0" w:after="255" w:line="240"/>
        <w:ind w:right="0" w:left="0" w:firstLine="0"/>
        <w:jc w:val="both"/>
        <w:rPr>
          <w:rFonts w:ascii="Verdana" w:hAnsi="Verdana" w:cs="Verdana" w:eastAsia="Verdana"/>
          <w:b/>
          <w:color w:val="000000"/>
          <w:spacing w:val="0"/>
          <w:position w:val="0"/>
          <w:sz w:val="24"/>
          <w:shd w:fill="auto" w:val="clear"/>
        </w:rPr>
      </w:pPr>
    </w:p>
    <w:tbl>
      <w:tblPr>
        <w:tblInd w:w="108" w:type="dxa"/>
      </w:tblPr>
      <w:tblGrid>
        <w:gridCol w:w="558"/>
        <w:gridCol w:w="2839"/>
        <w:gridCol w:w="2315"/>
        <w:gridCol w:w="3422"/>
      </w:tblGrid>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both"/>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both"/>
              <w:rPr>
                <w:spacing w:val="0"/>
                <w:position w:val="0"/>
                <w:shd w:fill="auto" w:val="clear"/>
              </w:rPr>
            </w:pPr>
            <w:r>
              <w:rPr>
                <w:rFonts w:ascii="Verdana" w:hAnsi="Verdana" w:cs="Verdana" w:eastAsia="Verdana"/>
                <w:b/>
                <w:color w:val="000000"/>
                <w:spacing w:val="0"/>
                <w:position w:val="0"/>
                <w:sz w:val="24"/>
                <w:shd w:fill="auto" w:val="clear"/>
              </w:rPr>
              <w:t xml:space="preserve">Actions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both"/>
              <w:rPr>
                <w:spacing w:val="0"/>
                <w:position w:val="0"/>
                <w:shd w:fill="auto" w:val="clear"/>
              </w:rPr>
            </w:pPr>
            <w:r>
              <w:rPr>
                <w:rFonts w:ascii="Verdana" w:hAnsi="Verdana" w:cs="Verdana" w:eastAsia="Verdana"/>
                <w:b/>
                <w:color w:val="000000"/>
                <w:spacing w:val="0"/>
                <w:position w:val="0"/>
                <w:sz w:val="24"/>
                <w:shd w:fill="auto" w:val="clear"/>
              </w:rPr>
              <w:t xml:space="preserve">Responsibility </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both"/>
              <w:rPr>
                <w:spacing w:val="0"/>
                <w:position w:val="0"/>
                <w:shd w:fill="auto" w:val="clear"/>
              </w:rPr>
            </w:pPr>
            <w:r>
              <w:rPr>
                <w:rFonts w:ascii="Verdana" w:hAnsi="Verdana" w:cs="Verdana" w:eastAsia="Verdana"/>
                <w:b/>
                <w:color w:val="000000"/>
                <w:spacing w:val="0"/>
                <w:position w:val="0"/>
                <w:sz w:val="24"/>
                <w:shd w:fill="auto" w:val="clear"/>
              </w:rPr>
              <w:t xml:space="preserve">Update </w:t>
            </w:r>
          </w:p>
        </w:tc>
      </w:tr>
      <w:tr>
        <w:trPr>
          <w:trHeight w:val="1" w:hRule="atLeast"/>
          <w:jc w:val="left"/>
        </w:trPr>
        <w:tc>
          <w:tcPr>
            <w:tcW w:w="9134"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Promote and encourage use of all relevant legislation, regulations and bye-laws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Continued active enforcement of all the provisions of the Litter Pollution Act 1997, as amended.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Continue to operate the Customer Relations Management Systems (MembersNet, FYS, Customer Contact System, Environmental Complaints System) to track complaints/reports from initial contact to resolution </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Q4 2015</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695 complaints received &amp; logged</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Jan &amp; Feb 2016 </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808</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complaints received &amp; logged</w:t>
            </w:r>
            <w:r>
              <w:rPr>
                <w:rFonts w:ascii="Calibri" w:hAnsi="Calibri" w:cs="Calibri" w:eastAsia="Calibri"/>
                <w:b/>
                <w:color w:val="auto"/>
                <w:spacing w:val="0"/>
                <w:position w:val="0"/>
                <w:sz w:val="22"/>
                <w:u w:val="single"/>
                <w:shd w:fill="auto" w:val="clear"/>
              </w:rPr>
              <w:br/>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Continue to investigate all complaints thoroughly </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u w:val="single"/>
                <w:shd w:fill="auto" w:val="clear"/>
              </w:rPr>
              <w:t xml:space="preserve">Q4 2015</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695 complaints investigated</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Jan &amp; Feb 2016 </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808</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complaints investigated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Provide a co-ordinated targeted warden service in known litter/dumping locations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Continued monitoring of acute dumping areas by Litter Warden service</w:t>
            </w:r>
          </w:p>
          <w:p>
            <w:pPr>
              <w:spacing w:before="0" w:after="255"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Carry out targeted foot patrols in towns and villages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Ongoing foot patrols by Litter Warden service, with particular emphasis on county towns and villages</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Issue Fixed Penalty Notices for breaches of environmental legislation, regulation and bye-laws, including littering, illegal dumping, dog fouling and unauthorised signage, where adequate evidence is available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Fixed Penalty Notices issued</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Q4 2015</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 illegal dumping/litter</w:t>
              <w:br/>
              <w:t xml:space="preserve">36 – unauthorised signage</w:t>
              <w:br/>
              <w:t xml:space="preserve">  3 – dog fouling</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114</w:t>
            </w:r>
            <w:r>
              <w:rPr>
                <w:rFonts w:ascii="Calibri" w:hAnsi="Calibri" w:cs="Calibri" w:eastAsia="Calibri"/>
                <w:color w:val="auto"/>
                <w:spacing w:val="0"/>
                <w:position w:val="0"/>
                <w:sz w:val="22"/>
                <w:shd w:fill="auto" w:val="clear"/>
              </w:rPr>
              <w:t xml:space="preserve"> Fixed Penalty Notices issued</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Jan &amp; Feb 2016 </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 illegal dumping/litter </w:t>
              <w:br/>
              <w:t xml:space="preserve">23 – unauthorised signage</w:t>
              <w:br/>
              <w:t xml:space="preserve">  2 – dog fouling</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95</w:t>
            </w:r>
            <w:r>
              <w:rPr>
                <w:rFonts w:ascii="Calibri" w:hAnsi="Calibri" w:cs="Calibri" w:eastAsia="Calibri"/>
                <w:color w:val="auto"/>
                <w:spacing w:val="0"/>
                <w:position w:val="0"/>
                <w:sz w:val="22"/>
                <w:shd w:fill="auto" w:val="clear"/>
              </w:rPr>
              <w:t xml:space="preserve"> Fixed Penalty Notices issued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Initiate legal proceedings for non-payment of Fixed Penalty Notices, where appropriate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Legal Proceedings </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Q4 2015</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new cases referred for prosecution</w:t>
              <w:br/>
              <w:t xml:space="preserve">13 cases listed for court hearing</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cases heard, of which 4 were successful.</w:t>
            </w:r>
          </w:p>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Jan &amp; Feb 2016</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new cases referred for prosecution</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case and </w:t>
            </w:r>
            <w:r>
              <w:rPr>
                <w:rFonts w:ascii="Calibri" w:hAnsi="Calibri" w:cs="Calibri" w:eastAsia="Calibri"/>
                <w:b/>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appeal listed for court hearing</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Initiate direct legal prosecution, where appropriate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Q4 2015 Direct Prosecutions</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cases referred for Direct Prosecution</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Examine potential branded vehicles for SDCC Warden Service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being examined. Discussion held with staff involved.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Review Warden Service uniform </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under review.  Discussion held with staff involved.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Use overt and covert CCTV cameras to monitor areas prone to illegal dumping and to support enforcement action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Enhanced CCTV installed at two acute dumping locations in an effort to counter the challenge of persistent illegal dumping. Two other locations currently being assessed for site suitability.</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Pilot emerging technologies to support enforcement</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Enforcement &amp; Licensing</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foot of analysis carried out as part of piloting of the Audio Messaging Devices in 2015, six further locations are currently being examined for suitability, with regard to dumping (2), graffitti (1) and dog fouling (3)</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Operation of village cleaning programme including weekend service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Public Realm</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Village cleansing programme ongoing in all town and village centres on a daily basis Monday to Friday and also on Sundays.  The structure of this service will be examined and reorganised once additional staff are in place.</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Planned and scheduled cleanups of identified litter blackspots in the county</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Public Realm</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Planned and scheduled clean-ups of blackspots is ongoing – 40 of these scheduled by Public Realm in January 2016, 43 in February.</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Servicing and maintenance of Bring Banks to ensure that they are litter free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Public Realm</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recycling/ bring centres.  Textiles  facilities serviced by three (3) service providers Regional contract in place for the servicing (emptying) of the glass/ can recycling banks.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The service at glass/ can recycling banks varies in accordance with the level of need. Most frequently used facilities are emptied every 3-5 days,</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Difficulties that arose over Christmas at certain bottle banks was due to a decision taken directly by the contractor not to provide additional servicing over the holiday period at some sites and has been resolved to ensure NON reoccurrence.</w:t>
            </w:r>
          </w:p>
          <w:p>
            <w:pPr>
              <w:spacing w:before="100" w:after="1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Clean ups at bring sites carried out by public realm staff as follows – 185 no in January 2016, 184 in February.</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Review litter bin provision in Public Realm having regard to Litter Bin Placement Protocol</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Public Realm</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Litter bin provision being reviewed in tandem with Dod Foul recepticles initiative</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Use of schedule management system to target and remove graffiti from public property</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Public Realm</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Graffiti reports logged and areas inspected to determine property status.</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Referrals for Utility companies logged.</w:t>
            </w:r>
          </w:p>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Pilot of protocol for removal from 3 private propery being considered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Advance additional Memorandums of Understanding with utility companies in relation to graffiti removal</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Public Realm</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MoUs in place with utility providers. 1st Quarterly review meeting scheduled with each provider for  end of March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Publicise and promote the Litter Management Plan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and Irish version of the LMP has been received . Planning of the NSC has commenced. The LMP and recycling centres will be included in the promotion.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Initiate graffiti and dog litter advertisement campaign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 dog fouling is currently promoted through a number of initiatives.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Examine potential for Street Art Graffiti Scheme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locations for the Street Gallery project are currently being reviewed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Administer Anti Litter And Anti Graffiti Awareness Grant</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ALAG grant has been advertised.    Deadline for applications 16</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March</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Anti Litter And Anti Graffiti poster and slogan competition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winners of the poster and slogan comp have been selected and the posters and ceremony are currently being organised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Tackle Litter cinema advertisement campaign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"Tackle Litter" and "Man in a van" adverts in the </w:t>
              </w:r>
              <w:r>
                <w:rPr>
                  <w:rFonts w:ascii="Calibri" w:hAnsi="Calibri" w:cs="Calibri" w:eastAsia="Calibri"/>
                  <w:vanish/>
                  <w:color w:val="0563C1"/>
                  <w:spacing w:val="0"/>
                  <w:position w:val="0"/>
                  <w:sz w:val="22"/>
                  <w:u w:val="single"/>
                  <w:shd w:fill="auto" w:val="clear"/>
                </w:rPr>
                <w:t xml:space="preserve">HYPERLINK "file:///C:/Users/sorchaobrien/AppData/Local/Microsoft/Windows/Litter%2525252520%2525252526%2525252520Graffiti/Anti%2525252520Litter%2525252520Grant/Anti-Litter%25252525202015/Applicants/1.%2525252520SDCC%2525252520Cinema%2525252520Campaign/Cinema%2525252520Campaign"</w:t>
              </w:r>
              <w:r>
                <w:rPr>
                  <w:rFonts w:ascii="Calibri" w:hAnsi="Calibri" w:cs="Calibri" w:eastAsia="Calibri"/>
                  <w:color w:val="0563C1"/>
                  <w:spacing w:val="0"/>
                  <w:position w:val="0"/>
                  <w:sz w:val="22"/>
                  <w:u w:val="single"/>
                  <w:shd w:fill="auto" w:val="clear"/>
                </w:rPr>
                <w:t xml:space="preserve">Vue</w:t>
              </w:r>
              <w:r>
                <w:rPr>
                  <w:rFonts w:ascii="Calibri" w:hAnsi="Calibri" w:cs="Calibri" w:eastAsia="Calibri"/>
                  <w:vanish/>
                  <w:color w:val="0563C1"/>
                  <w:spacing w:val="0"/>
                  <w:position w:val="0"/>
                  <w:sz w:val="22"/>
                  <w:u w:val="single"/>
                  <w:shd w:fill="auto" w:val="clear"/>
                </w:rPr>
                <w:t xml:space="preserve">HYPERLINK "file:///C:/Users/sorchaobrien/AppData/Local/Microsoft/Windows/Litter%2525252520%2525252526%2525252520Graffiti/Anti%2525252520Litter%2525252520Grant/Anti-Litter%25252525202015/Applicants/1.%2525252520SDCC%2525252520Cinema%2525252520Campaign/Cinema%2525252520Campaign"</w:t>
              </w:r>
              <w:r>
                <w:rPr>
                  <w:rFonts w:ascii="Calibri" w:hAnsi="Calibri" w:cs="Calibri" w:eastAsia="Calibri"/>
                  <w:color w:val="0563C1"/>
                  <w:spacing w:val="0"/>
                  <w:position w:val="0"/>
                  <w:sz w:val="22"/>
                  <w:u w:val="single"/>
                  <w:shd w:fill="auto" w:val="clear"/>
                </w:rPr>
                <w:t xml:space="preserve"> </w:t>
              </w:r>
              <w:r>
                <w:rPr>
                  <w:rFonts w:ascii="Calibri" w:hAnsi="Calibri" w:cs="Calibri" w:eastAsia="Calibri"/>
                  <w:vanish/>
                  <w:color w:val="0563C1"/>
                  <w:spacing w:val="0"/>
                  <w:position w:val="0"/>
                  <w:sz w:val="22"/>
                  <w:u w:val="single"/>
                  <w:shd w:fill="auto" w:val="clear"/>
                </w:rPr>
                <w:t xml:space="preserve">HYPERLINK "file:///C:/Users/sorchaobrien/AppData/Local/Microsoft/Windows/Litter%2525252520%2525252526%2525252520Graffiti/Anti%2525252520Litter%2525252520Grant/Anti-Litter%25252525202015/Applicants/1.%2525252520SDCC%2525252520Cinema%2525252520Campaign/Cinema%2525252520Campaign"</w:t>
              </w:r>
              <w:r>
                <w:rPr>
                  <w:rFonts w:ascii="Calibri" w:hAnsi="Calibri" w:cs="Calibri" w:eastAsia="Calibri"/>
                  <w:color w:val="0563C1"/>
                  <w:spacing w:val="0"/>
                  <w:position w:val="0"/>
                  <w:sz w:val="22"/>
                  <w:u w:val="single"/>
                  <w:shd w:fill="auto" w:val="clear"/>
                </w:rPr>
                <w:t xml:space="preserve">Liffey</w:t>
              </w:r>
              <w:r>
                <w:rPr>
                  <w:rFonts w:ascii="Calibri" w:hAnsi="Calibri" w:cs="Calibri" w:eastAsia="Calibri"/>
                  <w:vanish/>
                  <w:color w:val="0563C1"/>
                  <w:spacing w:val="0"/>
                  <w:position w:val="0"/>
                  <w:sz w:val="22"/>
                  <w:u w:val="single"/>
                  <w:shd w:fill="auto" w:val="clear"/>
                </w:rPr>
                <w:t xml:space="preserve">HYPERLINK "file:///C:/Users/sorchaobrien/AppData/Local/Microsoft/Windows/Litter%2525252520%2525252526%2525252520Graffiti/Anti%2525252520Litter%2525252520Grant/Anti-Litter%25252525202015/Applicants/1.%2525252520SDCC%2525252520Cinema%2525252520Campaign/Cinema%2525252520Campaign"</w:t>
              </w:r>
              <w:r>
                <w:rPr>
                  <w:rFonts w:ascii="Calibri" w:hAnsi="Calibri" w:cs="Calibri" w:eastAsia="Calibri"/>
                  <w:color w:val="0563C1"/>
                  <w:spacing w:val="0"/>
                  <w:position w:val="0"/>
                  <w:sz w:val="22"/>
                  <w:u w:val="single"/>
                  <w:shd w:fill="auto" w:val="clear"/>
                </w:rPr>
                <w:t xml:space="preserve"> Valley and IMC Tallaght from 11/09/15 to 19/02/2016</w:t>
              </w:r>
            </w:hyperlink>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the use of existing ‘off leash’ dog run areas in public parks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 leash times being considered for certain locations.  Details will be publicised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the Green Dog Walkers Initiative (responsible dog ownership) in conjunction with renewal and purchase of dog licences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Quotes for dog fouling bags have been received and the price comparison has begun fro issue with licences.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Initiate Anti Dog Litter Campaign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Quotes for dog fouling bags and dispensers have been received and the price comparison has begun.                                                                 </w:t>
            </w:r>
          </w:p>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and support National Spring Clean</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NSC materials have been ordered. The press release and photocall are being organised to include promotion of LMP and recycling centres.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and support the PURE Initiative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project was promoted though the Green Schools Newsletter.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and support Tidy Towns Initiative through grant schemes eg LA21, Anti Litter And Anti Graffiti Awareness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ALAG grant has been advertised.    Deadline for applications 16</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March</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Support community clean ups through Social Credit Scheme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2016 - 174 applications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Review management of material stocks to support environmental projects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Review ongoing. Proposed to increase supplies.</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Review participation and success of Green Schools Programme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Reduce Reuse and Recycle this Spring" message is currently on till receipts from a number of shops.</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the prevention of litter through the Green Schools Programme</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1. Anti-Litter workshops taking place in schools this month (29 workshops in total, reaching roughly 900 young people with the Anti Litter message).    2. Anti Litter &amp; Anti Dog Foul poster competition took place this month. </w:t>
            </w:r>
          </w:p>
          <w:p>
            <w:pPr>
              <w:spacing w:before="0" w:after="0" w:line="240"/>
              <w:ind w:right="0" w:left="0" w:firstLine="0"/>
              <w:jc w:val="left"/>
              <w:rPr>
                <w:rFonts w:ascii="Calibri" w:hAnsi="Calibri" w:cs="Calibri" w:eastAsia="Calibri"/>
                <w:spacing w:val="0"/>
                <w:position w:val="0"/>
                <w:sz w:val="22"/>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Verdana" w:hAnsi="Verdana" w:cs="Verdana" w:eastAsia="Verdana"/>
                <w:b/>
                <w:color w:val="000000"/>
                <w:spacing w:val="0"/>
                <w:position w:val="0"/>
                <w:sz w:val="24"/>
                <w:shd w:fill="auto" w:val="clear"/>
              </w:rPr>
            </w:pPr>
          </w:p>
          <w:p>
            <w:pPr>
              <w:spacing w:before="0" w:after="255" w:line="240"/>
              <w:ind w:right="0" w:left="0" w:firstLine="0"/>
              <w:jc w:val="left"/>
              <w:rPr>
                <w:spacing w:val="0"/>
                <w:position w:val="0"/>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Pilot Scheme to promote reuse of drinking bottles targeting gyms, sports centres and Secondary Schools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meeting held with Managers of Clondalkin, Tallaght and Lucan leisure centre regarding initiative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p>
        </w:tc>
        <w:tc>
          <w:tcPr>
            <w:tcW w:w="28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0" w:firstLine="0"/>
              <w:jc w:val="left"/>
              <w:rPr>
                <w:color w:val="auto"/>
                <w:spacing w:val="0"/>
                <w:position w:val="0"/>
                <w:shd w:fill="auto" w:val="clear"/>
              </w:rPr>
            </w:pPr>
            <w:r>
              <w:rPr>
                <w:rFonts w:ascii="Verdana" w:hAnsi="Verdana" w:cs="Verdana" w:eastAsia="Verdana"/>
                <w:b/>
                <w:color w:val="auto"/>
                <w:spacing w:val="0"/>
                <w:position w:val="0"/>
                <w:sz w:val="24"/>
                <w:shd w:fill="auto" w:val="clear"/>
              </w:rPr>
              <w:t xml:space="preserve">Promote Seasonal Recycling and Awareness Campaigns</w:t>
            </w:r>
          </w:p>
        </w:tc>
        <w:tc>
          <w:tcPr>
            <w:tcW w:w="23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spacing w:val="0"/>
                <w:position w:val="0"/>
                <w:shd w:fill="auto" w:val="clear"/>
              </w:rPr>
            </w:pPr>
            <w:r>
              <w:rPr>
                <w:rFonts w:ascii="Verdana" w:hAnsi="Verdana" w:cs="Verdana" w:eastAsia="Verdana"/>
                <w:b/>
                <w:color w:val="000000"/>
                <w:spacing w:val="0"/>
                <w:position w:val="0"/>
                <w:sz w:val="24"/>
                <w:shd w:fill="auto" w:val="clear"/>
              </w:rPr>
              <w:t xml:space="preserve">Communication &amp; Awareness</w:t>
            </w:r>
          </w:p>
        </w:tc>
        <w:tc>
          <w:tcPr>
            <w:tcW w:w="34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55"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Reduce Reuse and Recycle” message is currently on till receipts from a number of shops.</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file://C:\Users\sorchaobrien\AppData\Local\Microsoft\Windows\Litter%2525252520%2525252526%2525252520Graffiti\Anti%2525252520Litter%2525252520Grant\Anti-Litter%25252525202015\Applicants\1.%2525252520SDCC%2525252520Cinema%2525252520Campaign\Cinema%2525252520Campaign"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