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138" w:rsidRDefault="007E5138" w:rsidP="007E5138">
      <w:pPr>
        <w:pStyle w:val="replyheader"/>
        <w:rPr>
          <w:rFonts w:ascii="Verdana" w:hAnsi="Verdana"/>
          <w:lang w:val="en-IE" w:eastAsia="en-IE"/>
        </w:rPr>
      </w:pPr>
      <w:r>
        <w:rPr>
          <w:rFonts w:ascii="Verdana" w:hAnsi="Verdana"/>
        </w:rPr>
        <w:t>COMHAIRLE CONTAE ÁTHA CLIATH THEAS</w:t>
      </w:r>
      <w:r>
        <w:rPr>
          <w:rFonts w:ascii="Verdana" w:hAnsi="Verdana"/>
        </w:rPr>
        <w:br/>
        <w:t>SOUTH DUBLIN COUNTY COUNCIL</w:t>
      </w:r>
    </w:p>
    <w:p w:rsidR="007E5138" w:rsidRDefault="007E5138" w:rsidP="007E5138">
      <w:pPr>
        <w:pStyle w:val="replyimage"/>
        <w:rPr>
          <w:rFonts w:ascii="Verdana" w:hAnsi="Verdana"/>
        </w:rPr>
      </w:pPr>
      <w:r>
        <w:rPr>
          <w:rFonts w:ascii="Verdana" w:hAnsi="Verdana"/>
          <w:noProof/>
          <w:lang w:val="en-IE" w:eastAsia="en-IE"/>
        </w:rPr>
        <w:drawing>
          <wp:inline distT="0" distB="0" distL="0" distR="0" wp14:anchorId="21ADF5B9" wp14:editId="29B8897C">
            <wp:extent cx="951230" cy="1163320"/>
            <wp:effectExtent l="0" t="0" r="1270" b="0"/>
            <wp:docPr id="3" name="Picture 3"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1230" cy="1163320"/>
                    </a:xfrm>
                    <a:prstGeom prst="rect">
                      <a:avLst/>
                    </a:prstGeom>
                    <a:noFill/>
                    <a:ln>
                      <a:noFill/>
                    </a:ln>
                  </pic:spPr>
                </pic:pic>
              </a:graphicData>
            </a:graphic>
          </wp:inline>
        </w:drawing>
      </w:r>
    </w:p>
    <w:p w:rsidR="007E5138" w:rsidRDefault="007E5138" w:rsidP="007E5138">
      <w:pPr>
        <w:pStyle w:val="replymain"/>
        <w:rPr>
          <w:rFonts w:ascii="Verdana" w:hAnsi="Verdana"/>
        </w:rPr>
      </w:pPr>
      <w:r>
        <w:rPr>
          <w:rFonts w:ascii="Verdana" w:hAnsi="Verdana"/>
        </w:rPr>
        <w:t>MEETING OF CLONDALKIN AREA COMMITTEE</w:t>
      </w:r>
      <w:bookmarkStart w:id="0" w:name="_GoBack"/>
      <w:bookmarkEnd w:id="0"/>
    </w:p>
    <w:p w:rsidR="007E5138" w:rsidRDefault="007E5138" w:rsidP="007E5138">
      <w:pPr>
        <w:pStyle w:val="replymain"/>
        <w:rPr>
          <w:rFonts w:ascii="Verdana" w:hAnsi="Verdana"/>
        </w:rPr>
      </w:pPr>
      <w:r>
        <w:rPr>
          <w:rFonts w:ascii="Verdana" w:hAnsi="Verdana"/>
        </w:rPr>
        <w:t>Wednesday, December 09, 2015</w:t>
      </w:r>
    </w:p>
    <w:p w:rsidR="007E5138" w:rsidRDefault="007E5138" w:rsidP="007E5138">
      <w:pPr>
        <w:pStyle w:val="replymain"/>
        <w:rPr>
          <w:rFonts w:ascii="Verdana" w:hAnsi="Verdana"/>
        </w:rPr>
      </w:pPr>
      <w:r>
        <w:rPr>
          <w:rFonts w:ascii="Verdana" w:hAnsi="Verdana"/>
        </w:rPr>
        <w:t xml:space="preserve">HEADED ITEM NO. </w:t>
      </w:r>
      <w:r w:rsidR="00057CC9">
        <w:rPr>
          <w:rFonts w:ascii="Verdana" w:hAnsi="Verdana"/>
        </w:rPr>
        <w:t>9</w:t>
      </w:r>
    </w:p>
    <w:p w:rsidR="007E5138" w:rsidRDefault="007E5138" w:rsidP="007E5138">
      <w:pPr>
        <w:pStyle w:val="NormalWeb"/>
        <w:rPr>
          <w:rFonts w:ascii="Verdana" w:hAnsi="Verdana"/>
        </w:rPr>
      </w:pPr>
      <w:r>
        <w:rPr>
          <w:rFonts w:ascii="Verdana" w:hAnsi="Verdana"/>
        </w:rPr>
        <w:t> </w:t>
      </w:r>
    </w:p>
    <w:p w:rsidR="007E5138" w:rsidRDefault="007E5138" w:rsidP="007E5138">
      <w:pPr>
        <w:pStyle w:val="NormalWeb"/>
        <w:jc w:val="center"/>
        <w:rPr>
          <w:rFonts w:ascii="Verdana" w:hAnsi="Verdana"/>
        </w:rPr>
      </w:pPr>
      <w:r>
        <w:rPr>
          <w:rStyle w:val="Strong"/>
          <w:rFonts w:ascii="Verdana" w:hAnsi="Verdana"/>
        </w:rPr>
        <w:t xml:space="preserve">Improvement Work </w:t>
      </w:r>
      <w:r w:rsidR="00CA66F0">
        <w:rPr>
          <w:rStyle w:val="Strong"/>
          <w:rFonts w:ascii="Verdana" w:hAnsi="Verdana"/>
        </w:rPr>
        <w:t>Scheme</w:t>
      </w:r>
    </w:p>
    <w:p w:rsidR="007E5138" w:rsidRDefault="007E5138" w:rsidP="007E5138">
      <w:pPr>
        <w:pStyle w:val="NormalWeb"/>
        <w:jc w:val="both"/>
        <w:rPr>
          <w:rFonts w:ascii="Verdana" w:hAnsi="Verdana"/>
        </w:rPr>
      </w:pPr>
      <w:r>
        <w:rPr>
          <w:rFonts w:ascii="Verdana" w:hAnsi="Verdana"/>
        </w:rPr>
        <w:t>Provision has been made by the Chief Executive in the 2016 budget for the carrying out of small improvement works in parks and open space areas around the County such as the laying of new paths, construction of new boundary treatments, roundabout improvements and other works.  Those works proposed to take place in the Clondalkin area in 2016 are listed below.  These proposals have been compiled from issues raised as agenda items at area committee meetings throughout the course of the year, as well as undertakings given in response to members representations throughout the year.  It should be noted that the list provided does not include those works which have already been included in the Council's three year rolling capital works programme, it includes only those works of a small scale which are to be funded from the revenue budget.      </w:t>
      </w:r>
    </w:p>
    <w:p w:rsidR="007E5138" w:rsidRPr="007E5138" w:rsidRDefault="007E5138" w:rsidP="007E5138">
      <w:pPr>
        <w:pStyle w:val="NormalWeb"/>
        <w:rPr>
          <w:rFonts w:ascii="Verdana" w:hAnsi="Verdana"/>
          <w:b/>
        </w:rPr>
      </w:pPr>
    </w:p>
    <w:tbl>
      <w:tblPr>
        <w:tblW w:w="93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694"/>
        <w:gridCol w:w="5103"/>
        <w:gridCol w:w="1540"/>
      </w:tblGrid>
      <w:tr w:rsidR="007E5138" w:rsidRPr="007E5138" w:rsidTr="00836055">
        <w:trPr>
          <w:trHeight w:val="300"/>
        </w:trPr>
        <w:tc>
          <w:tcPr>
            <w:tcW w:w="2694" w:type="dxa"/>
            <w:shd w:val="clear" w:color="auto" w:fill="auto"/>
          </w:tcPr>
          <w:p w:rsidR="007E5138" w:rsidRPr="007E5138" w:rsidRDefault="007E5138" w:rsidP="00836055">
            <w:pPr>
              <w:jc w:val="center"/>
              <w:rPr>
                <w:rFonts w:ascii="Calibri" w:hAnsi="Calibri"/>
                <w:b/>
                <w:color w:val="000000"/>
                <w:sz w:val="22"/>
                <w:szCs w:val="22"/>
              </w:rPr>
            </w:pPr>
            <w:r w:rsidRPr="007E5138">
              <w:rPr>
                <w:rFonts w:ascii="Calibri" w:hAnsi="Calibri"/>
                <w:b/>
                <w:color w:val="000000"/>
                <w:sz w:val="22"/>
                <w:szCs w:val="22"/>
              </w:rPr>
              <w:t>LOCATION</w:t>
            </w:r>
          </w:p>
        </w:tc>
        <w:tc>
          <w:tcPr>
            <w:tcW w:w="5103" w:type="dxa"/>
            <w:shd w:val="clear" w:color="auto" w:fill="auto"/>
          </w:tcPr>
          <w:p w:rsidR="007E5138" w:rsidRPr="007E5138" w:rsidRDefault="007E5138" w:rsidP="00836055">
            <w:pPr>
              <w:jc w:val="center"/>
              <w:rPr>
                <w:rFonts w:ascii="Calibri" w:hAnsi="Calibri"/>
                <w:b/>
                <w:color w:val="000000"/>
                <w:sz w:val="22"/>
                <w:szCs w:val="22"/>
              </w:rPr>
            </w:pPr>
            <w:r w:rsidRPr="007E5138">
              <w:rPr>
                <w:rFonts w:ascii="Calibri" w:hAnsi="Calibri"/>
                <w:b/>
                <w:color w:val="000000"/>
                <w:sz w:val="22"/>
                <w:szCs w:val="22"/>
              </w:rPr>
              <w:t>DESCRIPTION</w:t>
            </w:r>
          </w:p>
        </w:tc>
        <w:tc>
          <w:tcPr>
            <w:tcW w:w="1540" w:type="dxa"/>
            <w:shd w:val="clear" w:color="auto" w:fill="auto"/>
          </w:tcPr>
          <w:p w:rsidR="007E5138" w:rsidRPr="007E5138" w:rsidRDefault="007E5138" w:rsidP="00836055">
            <w:pPr>
              <w:jc w:val="center"/>
              <w:rPr>
                <w:rFonts w:ascii="Calibri" w:hAnsi="Calibri"/>
                <w:b/>
                <w:color w:val="000000"/>
                <w:sz w:val="22"/>
                <w:szCs w:val="22"/>
              </w:rPr>
            </w:pPr>
            <w:r w:rsidRPr="007E5138">
              <w:rPr>
                <w:rFonts w:ascii="Calibri" w:hAnsi="Calibri"/>
                <w:b/>
                <w:color w:val="000000"/>
                <w:sz w:val="22"/>
                <w:szCs w:val="22"/>
              </w:rPr>
              <w:t>COST ESTIMATE</w:t>
            </w:r>
          </w:p>
        </w:tc>
      </w:tr>
      <w:tr w:rsidR="007E5138" w:rsidTr="00836055">
        <w:trPr>
          <w:trHeight w:val="300"/>
        </w:trPr>
        <w:tc>
          <w:tcPr>
            <w:tcW w:w="2694" w:type="dxa"/>
            <w:shd w:val="clear" w:color="auto" w:fill="auto"/>
            <w:hideMark/>
          </w:tcPr>
          <w:p w:rsidR="007E5138" w:rsidRDefault="007E5138" w:rsidP="00836055">
            <w:pPr>
              <w:rPr>
                <w:rFonts w:ascii="Calibri" w:hAnsi="Calibri"/>
                <w:color w:val="000000"/>
                <w:sz w:val="22"/>
                <w:szCs w:val="22"/>
                <w:lang w:val="en-IE" w:eastAsia="en-IE"/>
              </w:rPr>
            </w:pPr>
            <w:r>
              <w:rPr>
                <w:rFonts w:ascii="Calibri" w:hAnsi="Calibri"/>
                <w:color w:val="000000"/>
                <w:sz w:val="22"/>
                <w:szCs w:val="22"/>
              </w:rPr>
              <w:t>Knockmitten Park</w:t>
            </w:r>
          </w:p>
        </w:tc>
        <w:tc>
          <w:tcPr>
            <w:tcW w:w="5103" w:type="dxa"/>
            <w:shd w:val="clear" w:color="auto" w:fill="auto"/>
            <w:hideMark/>
          </w:tcPr>
          <w:p w:rsidR="007E5138" w:rsidRDefault="007E5138" w:rsidP="00836055">
            <w:pPr>
              <w:rPr>
                <w:rFonts w:ascii="Calibri" w:hAnsi="Calibri"/>
                <w:color w:val="000000"/>
                <w:sz w:val="22"/>
                <w:szCs w:val="22"/>
              </w:rPr>
            </w:pPr>
            <w:r>
              <w:rPr>
                <w:rFonts w:ascii="Calibri" w:hAnsi="Calibri"/>
                <w:color w:val="000000"/>
                <w:sz w:val="22"/>
                <w:szCs w:val="22"/>
              </w:rPr>
              <w:t>Footpath improvement works</w:t>
            </w:r>
          </w:p>
        </w:tc>
        <w:tc>
          <w:tcPr>
            <w:tcW w:w="1540" w:type="dxa"/>
            <w:shd w:val="clear" w:color="auto" w:fill="auto"/>
            <w:hideMark/>
          </w:tcPr>
          <w:p w:rsidR="007E5138" w:rsidRDefault="007E5138" w:rsidP="00836055">
            <w:pPr>
              <w:jc w:val="right"/>
              <w:rPr>
                <w:rFonts w:ascii="Calibri" w:hAnsi="Calibri"/>
                <w:color w:val="000000"/>
                <w:sz w:val="22"/>
                <w:szCs w:val="22"/>
              </w:rPr>
            </w:pPr>
            <w:r>
              <w:rPr>
                <w:rFonts w:ascii="Calibri" w:hAnsi="Calibri"/>
                <w:color w:val="000000"/>
                <w:sz w:val="22"/>
                <w:szCs w:val="22"/>
              </w:rPr>
              <w:t>€7,000</w:t>
            </w:r>
          </w:p>
        </w:tc>
      </w:tr>
      <w:tr w:rsidR="007E5138" w:rsidTr="00836055">
        <w:trPr>
          <w:trHeight w:val="600"/>
        </w:trPr>
        <w:tc>
          <w:tcPr>
            <w:tcW w:w="2694" w:type="dxa"/>
            <w:shd w:val="clear" w:color="auto" w:fill="auto"/>
            <w:hideMark/>
          </w:tcPr>
          <w:p w:rsidR="007E5138" w:rsidRDefault="007E5138" w:rsidP="00836055">
            <w:pPr>
              <w:rPr>
                <w:rFonts w:ascii="Calibri" w:hAnsi="Calibri"/>
                <w:color w:val="000000"/>
                <w:sz w:val="22"/>
                <w:szCs w:val="22"/>
              </w:rPr>
            </w:pPr>
            <w:r>
              <w:rPr>
                <w:rFonts w:ascii="Calibri" w:hAnsi="Calibri"/>
                <w:color w:val="000000"/>
                <w:sz w:val="22"/>
                <w:szCs w:val="22"/>
              </w:rPr>
              <w:t>Clondalkin Park</w:t>
            </w:r>
          </w:p>
        </w:tc>
        <w:tc>
          <w:tcPr>
            <w:tcW w:w="5103" w:type="dxa"/>
            <w:shd w:val="clear" w:color="auto" w:fill="auto"/>
            <w:hideMark/>
          </w:tcPr>
          <w:p w:rsidR="007E5138" w:rsidRDefault="007E5138" w:rsidP="00836055">
            <w:pPr>
              <w:rPr>
                <w:rFonts w:ascii="Calibri" w:hAnsi="Calibri"/>
                <w:color w:val="000000"/>
                <w:sz w:val="22"/>
                <w:szCs w:val="22"/>
              </w:rPr>
            </w:pPr>
            <w:r>
              <w:rPr>
                <w:rFonts w:ascii="Calibri" w:hAnsi="Calibri"/>
                <w:color w:val="000000"/>
                <w:sz w:val="22"/>
                <w:szCs w:val="22"/>
              </w:rPr>
              <w:t>Realign carpark entrance at former security hut location. Provide new kerbing and tarmac. Provide new park sign</w:t>
            </w:r>
          </w:p>
        </w:tc>
        <w:tc>
          <w:tcPr>
            <w:tcW w:w="1540" w:type="dxa"/>
            <w:shd w:val="clear" w:color="auto" w:fill="auto"/>
            <w:hideMark/>
          </w:tcPr>
          <w:p w:rsidR="007E5138" w:rsidRDefault="007E5138" w:rsidP="00836055">
            <w:pPr>
              <w:jc w:val="right"/>
              <w:rPr>
                <w:rFonts w:ascii="Calibri" w:hAnsi="Calibri"/>
                <w:color w:val="000000"/>
                <w:sz w:val="22"/>
                <w:szCs w:val="22"/>
              </w:rPr>
            </w:pPr>
            <w:r>
              <w:rPr>
                <w:rFonts w:ascii="Calibri" w:hAnsi="Calibri"/>
                <w:color w:val="000000"/>
                <w:sz w:val="22"/>
                <w:szCs w:val="22"/>
              </w:rPr>
              <w:t>€6,000</w:t>
            </w:r>
          </w:p>
        </w:tc>
      </w:tr>
      <w:tr w:rsidR="007E5138" w:rsidTr="00836055">
        <w:trPr>
          <w:trHeight w:val="300"/>
        </w:trPr>
        <w:tc>
          <w:tcPr>
            <w:tcW w:w="2694" w:type="dxa"/>
            <w:shd w:val="clear" w:color="auto" w:fill="auto"/>
            <w:hideMark/>
          </w:tcPr>
          <w:p w:rsidR="007E5138" w:rsidRDefault="007E5138" w:rsidP="00836055">
            <w:pPr>
              <w:rPr>
                <w:rFonts w:ascii="Calibri" w:hAnsi="Calibri"/>
                <w:color w:val="000000"/>
                <w:sz w:val="22"/>
                <w:szCs w:val="22"/>
              </w:rPr>
            </w:pPr>
            <w:r>
              <w:rPr>
                <w:rFonts w:ascii="Calibri" w:hAnsi="Calibri"/>
                <w:color w:val="000000"/>
                <w:sz w:val="22"/>
                <w:szCs w:val="22"/>
              </w:rPr>
              <w:t>Collinstown Park</w:t>
            </w:r>
          </w:p>
        </w:tc>
        <w:tc>
          <w:tcPr>
            <w:tcW w:w="5103" w:type="dxa"/>
            <w:shd w:val="clear" w:color="auto" w:fill="auto"/>
            <w:hideMark/>
          </w:tcPr>
          <w:p w:rsidR="007E5138" w:rsidRDefault="007E5138" w:rsidP="00836055">
            <w:pPr>
              <w:rPr>
                <w:rFonts w:ascii="Calibri" w:hAnsi="Calibri"/>
                <w:color w:val="000000"/>
                <w:sz w:val="22"/>
                <w:szCs w:val="22"/>
              </w:rPr>
            </w:pPr>
            <w:r>
              <w:rPr>
                <w:rFonts w:ascii="Calibri" w:hAnsi="Calibri"/>
                <w:color w:val="000000"/>
                <w:sz w:val="22"/>
                <w:szCs w:val="22"/>
              </w:rPr>
              <w:t>Upgrade vehicle entrance to incl new piers, gates &amp; pedestrian entrance</w:t>
            </w:r>
          </w:p>
        </w:tc>
        <w:tc>
          <w:tcPr>
            <w:tcW w:w="1540" w:type="dxa"/>
            <w:shd w:val="clear" w:color="auto" w:fill="auto"/>
            <w:hideMark/>
          </w:tcPr>
          <w:p w:rsidR="007E5138" w:rsidRDefault="007E5138" w:rsidP="00836055">
            <w:pPr>
              <w:jc w:val="right"/>
              <w:rPr>
                <w:rFonts w:ascii="Calibri" w:hAnsi="Calibri"/>
                <w:color w:val="000000"/>
                <w:sz w:val="22"/>
                <w:szCs w:val="22"/>
              </w:rPr>
            </w:pPr>
            <w:r>
              <w:rPr>
                <w:rFonts w:ascii="Calibri" w:hAnsi="Calibri"/>
                <w:color w:val="000000"/>
                <w:sz w:val="22"/>
                <w:szCs w:val="22"/>
              </w:rPr>
              <w:t>€15,000</w:t>
            </w:r>
          </w:p>
        </w:tc>
      </w:tr>
      <w:tr w:rsidR="007E5138" w:rsidTr="00836055">
        <w:trPr>
          <w:trHeight w:val="300"/>
        </w:trPr>
        <w:tc>
          <w:tcPr>
            <w:tcW w:w="2694" w:type="dxa"/>
            <w:shd w:val="clear" w:color="auto" w:fill="auto"/>
            <w:hideMark/>
          </w:tcPr>
          <w:p w:rsidR="007E5138" w:rsidRDefault="007E5138" w:rsidP="00836055">
            <w:pPr>
              <w:rPr>
                <w:rFonts w:ascii="Calibri" w:hAnsi="Calibri"/>
                <w:color w:val="000000"/>
                <w:sz w:val="22"/>
                <w:szCs w:val="22"/>
              </w:rPr>
            </w:pPr>
            <w:r>
              <w:rPr>
                <w:rFonts w:ascii="Calibri" w:hAnsi="Calibri"/>
                <w:color w:val="000000"/>
                <w:sz w:val="22"/>
                <w:szCs w:val="22"/>
              </w:rPr>
              <w:t>Corkagh Park</w:t>
            </w:r>
          </w:p>
        </w:tc>
        <w:tc>
          <w:tcPr>
            <w:tcW w:w="5103" w:type="dxa"/>
            <w:shd w:val="clear" w:color="auto" w:fill="auto"/>
            <w:hideMark/>
          </w:tcPr>
          <w:p w:rsidR="007E5138" w:rsidRDefault="007E5138" w:rsidP="00836055">
            <w:pPr>
              <w:rPr>
                <w:rFonts w:ascii="Calibri" w:hAnsi="Calibri"/>
                <w:color w:val="000000"/>
                <w:sz w:val="22"/>
                <w:szCs w:val="22"/>
              </w:rPr>
            </w:pPr>
            <w:r>
              <w:rPr>
                <w:rFonts w:ascii="Calibri" w:hAnsi="Calibri"/>
                <w:color w:val="000000"/>
                <w:sz w:val="22"/>
                <w:szCs w:val="22"/>
              </w:rPr>
              <w:t>Install gate &amp; repair wall at entrance to Walled Garden</w:t>
            </w:r>
          </w:p>
        </w:tc>
        <w:tc>
          <w:tcPr>
            <w:tcW w:w="1540" w:type="dxa"/>
            <w:shd w:val="clear" w:color="auto" w:fill="auto"/>
            <w:hideMark/>
          </w:tcPr>
          <w:p w:rsidR="007E5138" w:rsidRDefault="007E5138" w:rsidP="00836055">
            <w:pPr>
              <w:jc w:val="right"/>
              <w:rPr>
                <w:rFonts w:ascii="Calibri" w:hAnsi="Calibri"/>
                <w:color w:val="000000"/>
                <w:sz w:val="22"/>
                <w:szCs w:val="22"/>
              </w:rPr>
            </w:pPr>
            <w:r>
              <w:rPr>
                <w:rFonts w:ascii="Calibri" w:hAnsi="Calibri"/>
                <w:color w:val="000000"/>
                <w:sz w:val="22"/>
                <w:szCs w:val="22"/>
              </w:rPr>
              <w:t>€20,000</w:t>
            </w:r>
          </w:p>
        </w:tc>
      </w:tr>
      <w:tr w:rsidR="007E5138" w:rsidTr="00836055">
        <w:trPr>
          <w:trHeight w:val="300"/>
        </w:trPr>
        <w:tc>
          <w:tcPr>
            <w:tcW w:w="2694" w:type="dxa"/>
            <w:shd w:val="clear" w:color="auto" w:fill="auto"/>
            <w:hideMark/>
          </w:tcPr>
          <w:p w:rsidR="007E5138" w:rsidRDefault="007E5138" w:rsidP="00836055">
            <w:pPr>
              <w:rPr>
                <w:rFonts w:ascii="Calibri" w:hAnsi="Calibri"/>
                <w:color w:val="000000"/>
                <w:sz w:val="22"/>
                <w:szCs w:val="22"/>
              </w:rPr>
            </w:pPr>
            <w:r>
              <w:rPr>
                <w:rFonts w:ascii="Calibri" w:hAnsi="Calibri"/>
                <w:color w:val="000000"/>
                <w:sz w:val="22"/>
                <w:szCs w:val="22"/>
              </w:rPr>
              <w:t>St. John's Estate, Clondalkin</w:t>
            </w:r>
          </w:p>
        </w:tc>
        <w:tc>
          <w:tcPr>
            <w:tcW w:w="5103" w:type="dxa"/>
            <w:shd w:val="clear" w:color="auto" w:fill="auto"/>
            <w:hideMark/>
          </w:tcPr>
          <w:p w:rsidR="007E5138" w:rsidRDefault="007E5138" w:rsidP="00836055">
            <w:pPr>
              <w:rPr>
                <w:rFonts w:ascii="Calibri" w:hAnsi="Calibri"/>
                <w:color w:val="000000"/>
                <w:sz w:val="22"/>
                <w:szCs w:val="22"/>
              </w:rPr>
            </w:pPr>
            <w:r>
              <w:rPr>
                <w:rFonts w:ascii="Calibri" w:hAnsi="Calibri"/>
                <w:color w:val="000000"/>
                <w:sz w:val="22"/>
                <w:szCs w:val="22"/>
              </w:rPr>
              <w:t>Upgrade pedestrian entrance to Corkagh Park</w:t>
            </w:r>
          </w:p>
        </w:tc>
        <w:tc>
          <w:tcPr>
            <w:tcW w:w="1540" w:type="dxa"/>
            <w:shd w:val="clear" w:color="auto" w:fill="auto"/>
            <w:hideMark/>
          </w:tcPr>
          <w:p w:rsidR="007E5138" w:rsidRDefault="007E5138" w:rsidP="00836055">
            <w:pPr>
              <w:jc w:val="right"/>
              <w:rPr>
                <w:rFonts w:ascii="Calibri" w:hAnsi="Calibri"/>
                <w:color w:val="000000"/>
                <w:sz w:val="22"/>
                <w:szCs w:val="22"/>
              </w:rPr>
            </w:pPr>
            <w:r>
              <w:rPr>
                <w:rFonts w:ascii="Calibri" w:hAnsi="Calibri"/>
                <w:color w:val="000000"/>
                <w:sz w:val="22"/>
                <w:szCs w:val="22"/>
              </w:rPr>
              <w:t>€7,000</w:t>
            </w:r>
          </w:p>
        </w:tc>
      </w:tr>
      <w:tr w:rsidR="007E5138" w:rsidTr="00836055">
        <w:trPr>
          <w:trHeight w:val="300"/>
        </w:trPr>
        <w:tc>
          <w:tcPr>
            <w:tcW w:w="2694" w:type="dxa"/>
            <w:shd w:val="clear" w:color="auto" w:fill="auto"/>
            <w:hideMark/>
          </w:tcPr>
          <w:p w:rsidR="007E5138" w:rsidRDefault="007E5138" w:rsidP="00836055">
            <w:pPr>
              <w:rPr>
                <w:rFonts w:ascii="Calibri" w:hAnsi="Calibri"/>
                <w:color w:val="000000"/>
                <w:sz w:val="22"/>
                <w:szCs w:val="22"/>
              </w:rPr>
            </w:pPr>
            <w:r>
              <w:rPr>
                <w:rFonts w:ascii="Calibri" w:hAnsi="Calibri"/>
                <w:color w:val="000000"/>
                <w:sz w:val="22"/>
                <w:szCs w:val="22"/>
              </w:rPr>
              <w:lastRenderedPageBreak/>
              <w:t>Cherrywood Crescent</w:t>
            </w:r>
          </w:p>
        </w:tc>
        <w:tc>
          <w:tcPr>
            <w:tcW w:w="5103" w:type="dxa"/>
            <w:shd w:val="clear" w:color="auto" w:fill="auto"/>
            <w:hideMark/>
          </w:tcPr>
          <w:p w:rsidR="007E5138" w:rsidRDefault="007E5138" w:rsidP="00836055">
            <w:pPr>
              <w:rPr>
                <w:rFonts w:ascii="Calibri" w:hAnsi="Calibri"/>
                <w:color w:val="000000"/>
                <w:sz w:val="22"/>
                <w:szCs w:val="22"/>
              </w:rPr>
            </w:pPr>
            <w:r>
              <w:rPr>
                <w:rFonts w:ascii="Calibri" w:hAnsi="Calibri"/>
                <w:color w:val="000000"/>
                <w:sz w:val="22"/>
                <w:szCs w:val="22"/>
              </w:rPr>
              <w:t>Provision of new entrance piers to improve entrance</w:t>
            </w:r>
          </w:p>
        </w:tc>
        <w:tc>
          <w:tcPr>
            <w:tcW w:w="1540" w:type="dxa"/>
            <w:shd w:val="clear" w:color="auto" w:fill="auto"/>
            <w:hideMark/>
          </w:tcPr>
          <w:p w:rsidR="007E5138" w:rsidRDefault="007E5138" w:rsidP="00836055">
            <w:pPr>
              <w:jc w:val="right"/>
              <w:rPr>
                <w:rFonts w:ascii="Calibri" w:hAnsi="Calibri"/>
                <w:color w:val="000000"/>
                <w:sz w:val="22"/>
                <w:szCs w:val="22"/>
              </w:rPr>
            </w:pPr>
            <w:r>
              <w:rPr>
                <w:rFonts w:ascii="Calibri" w:hAnsi="Calibri"/>
                <w:color w:val="000000"/>
                <w:sz w:val="22"/>
                <w:szCs w:val="22"/>
              </w:rPr>
              <w:t>€20,000</w:t>
            </w:r>
          </w:p>
        </w:tc>
      </w:tr>
      <w:tr w:rsidR="007E5138" w:rsidTr="00836055">
        <w:trPr>
          <w:trHeight w:val="300"/>
        </w:trPr>
        <w:tc>
          <w:tcPr>
            <w:tcW w:w="2694" w:type="dxa"/>
            <w:shd w:val="clear" w:color="auto" w:fill="auto"/>
            <w:hideMark/>
          </w:tcPr>
          <w:p w:rsidR="007E5138" w:rsidRDefault="007E5138" w:rsidP="00836055">
            <w:pPr>
              <w:rPr>
                <w:rFonts w:ascii="Calibri" w:hAnsi="Calibri"/>
                <w:color w:val="000000"/>
                <w:sz w:val="22"/>
                <w:szCs w:val="22"/>
              </w:rPr>
            </w:pPr>
            <w:r>
              <w:rPr>
                <w:rFonts w:ascii="Calibri" w:hAnsi="Calibri"/>
                <w:color w:val="000000"/>
                <w:sz w:val="22"/>
                <w:szCs w:val="22"/>
              </w:rPr>
              <w:t xml:space="preserve">Fonthill Road </w:t>
            </w:r>
          </w:p>
        </w:tc>
        <w:tc>
          <w:tcPr>
            <w:tcW w:w="5103" w:type="dxa"/>
            <w:shd w:val="clear" w:color="auto" w:fill="auto"/>
            <w:hideMark/>
          </w:tcPr>
          <w:p w:rsidR="007E5138" w:rsidRDefault="007E5138" w:rsidP="00836055">
            <w:pPr>
              <w:rPr>
                <w:rFonts w:ascii="Calibri" w:hAnsi="Calibri"/>
                <w:color w:val="000000"/>
                <w:sz w:val="22"/>
                <w:szCs w:val="22"/>
              </w:rPr>
            </w:pPr>
            <w:r>
              <w:rPr>
                <w:rFonts w:ascii="Calibri" w:hAnsi="Calibri"/>
                <w:color w:val="000000"/>
                <w:sz w:val="22"/>
                <w:szCs w:val="22"/>
              </w:rPr>
              <w:t>Upgrade existing roundabout and surrounds at entrance to Clonburris train station.</w:t>
            </w:r>
          </w:p>
        </w:tc>
        <w:tc>
          <w:tcPr>
            <w:tcW w:w="1540" w:type="dxa"/>
            <w:shd w:val="clear" w:color="auto" w:fill="auto"/>
            <w:hideMark/>
          </w:tcPr>
          <w:p w:rsidR="007E5138" w:rsidRDefault="007E5138" w:rsidP="00836055">
            <w:pPr>
              <w:jc w:val="right"/>
              <w:rPr>
                <w:rFonts w:ascii="Calibri" w:hAnsi="Calibri"/>
                <w:color w:val="000000"/>
                <w:sz w:val="22"/>
                <w:szCs w:val="22"/>
              </w:rPr>
            </w:pPr>
            <w:r>
              <w:rPr>
                <w:rFonts w:ascii="Calibri" w:hAnsi="Calibri"/>
                <w:color w:val="000000"/>
                <w:sz w:val="22"/>
                <w:szCs w:val="22"/>
              </w:rPr>
              <w:t>€50,000</w:t>
            </w:r>
          </w:p>
        </w:tc>
      </w:tr>
      <w:tr w:rsidR="007E5138" w:rsidTr="00836055">
        <w:trPr>
          <w:trHeight w:val="300"/>
        </w:trPr>
        <w:tc>
          <w:tcPr>
            <w:tcW w:w="2694" w:type="dxa"/>
            <w:shd w:val="clear" w:color="auto" w:fill="auto"/>
            <w:hideMark/>
          </w:tcPr>
          <w:p w:rsidR="007E5138" w:rsidRDefault="007E5138" w:rsidP="00836055">
            <w:pPr>
              <w:rPr>
                <w:rFonts w:ascii="Calibri" w:hAnsi="Calibri"/>
                <w:color w:val="000000"/>
                <w:sz w:val="22"/>
                <w:szCs w:val="22"/>
              </w:rPr>
            </w:pPr>
            <w:r>
              <w:rPr>
                <w:rFonts w:ascii="Calibri" w:hAnsi="Calibri"/>
                <w:color w:val="000000"/>
                <w:sz w:val="22"/>
                <w:szCs w:val="22"/>
              </w:rPr>
              <w:t>Rockfield Estate, Clondalkin</w:t>
            </w:r>
          </w:p>
        </w:tc>
        <w:tc>
          <w:tcPr>
            <w:tcW w:w="5103" w:type="dxa"/>
            <w:shd w:val="clear" w:color="auto" w:fill="auto"/>
            <w:hideMark/>
          </w:tcPr>
          <w:p w:rsidR="007E5138" w:rsidRDefault="007E5138" w:rsidP="00836055">
            <w:pPr>
              <w:rPr>
                <w:rFonts w:ascii="Calibri" w:hAnsi="Calibri"/>
                <w:color w:val="000000"/>
                <w:sz w:val="22"/>
                <w:szCs w:val="22"/>
              </w:rPr>
            </w:pPr>
            <w:r>
              <w:rPr>
                <w:rFonts w:ascii="Calibri" w:hAnsi="Calibri"/>
                <w:color w:val="000000"/>
                <w:sz w:val="22"/>
                <w:szCs w:val="22"/>
              </w:rPr>
              <w:t>Footpath and landscape improvement works between Rockfield Drive and the N7</w:t>
            </w:r>
          </w:p>
        </w:tc>
        <w:tc>
          <w:tcPr>
            <w:tcW w:w="1540" w:type="dxa"/>
            <w:shd w:val="clear" w:color="auto" w:fill="auto"/>
            <w:hideMark/>
          </w:tcPr>
          <w:p w:rsidR="007E5138" w:rsidRDefault="007E5138" w:rsidP="00836055">
            <w:pPr>
              <w:jc w:val="right"/>
              <w:rPr>
                <w:rFonts w:ascii="Calibri" w:hAnsi="Calibri"/>
                <w:color w:val="000000"/>
                <w:sz w:val="22"/>
                <w:szCs w:val="22"/>
              </w:rPr>
            </w:pPr>
            <w:r>
              <w:rPr>
                <w:rFonts w:ascii="Calibri" w:hAnsi="Calibri"/>
                <w:color w:val="000000"/>
                <w:sz w:val="22"/>
                <w:szCs w:val="22"/>
              </w:rPr>
              <w:t>€20,000</w:t>
            </w:r>
          </w:p>
        </w:tc>
      </w:tr>
      <w:tr w:rsidR="007E5138" w:rsidTr="00836055">
        <w:trPr>
          <w:trHeight w:val="300"/>
        </w:trPr>
        <w:tc>
          <w:tcPr>
            <w:tcW w:w="2694" w:type="dxa"/>
            <w:shd w:val="clear" w:color="auto" w:fill="auto"/>
            <w:hideMark/>
          </w:tcPr>
          <w:p w:rsidR="007E5138" w:rsidRDefault="007E5138" w:rsidP="00836055">
            <w:pPr>
              <w:rPr>
                <w:rFonts w:ascii="Calibri" w:hAnsi="Calibri"/>
                <w:color w:val="000000"/>
                <w:sz w:val="22"/>
                <w:szCs w:val="22"/>
              </w:rPr>
            </w:pPr>
            <w:r>
              <w:rPr>
                <w:rFonts w:ascii="Calibri" w:hAnsi="Calibri"/>
                <w:color w:val="000000"/>
                <w:sz w:val="22"/>
                <w:szCs w:val="22"/>
              </w:rPr>
              <w:t>Harelawn Estate, Clondalkin</w:t>
            </w:r>
          </w:p>
        </w:tc>
        <w:tc>
          <w:tcPr>
            <w:tcW w:w="5103" w:type="dxa"/>
            <w:shd w:val="clear" w:color="auto" w:fill="auto"/>
            <w:hideMark/>
          </w:tcPr>
          <w:p w:rsidR="007E5138" w:rsidRDefault="007E5138" w:rsidP="00836055">
            <w:pPr>
              <w:rPr>
                <w:rFonts w:ascii="Calibri" w:hAnsi="Calibri"/>
                <w:color w:val="000000"/>
                <w:sz w:val="22"/>
                <w:szCs w:val="22"/>
              </w:rPr>
            </w:pPr>
            <w:r>
              <w:rPr>
                <w:rFonts w:ascii="Calibri" w:hAnsi="Calibri"/>
                <w:color w:val="000000"/>
                <w:sz w:val="22"/>
                <w:szCs w:val="22"/>
              </w:rPr>
              <w:t>Replacement of damaged stub wall between path and open space at Harelawn Park</w:t>
            </w:r>
          </w:p>
        </w:tc>
        <w:tc>
          <w:tcPr>
            <w:tcW w:w="1540" w:type="dxa"/>
            <w:shd w:val="clear" w:color="auto" w:fill="auto"/>
            <w:hideMark/>
          </w:tcPr>
          <w:p w:rsidR="007E5138" w:rsidRDefault="007E5138" w:rsidP="00836055">
            <w:pPr>
              <w:jc w:val="right"/>
              <w:rPr>
                <w:rFonts w:ascii="Calibri" w:hAnsi="Calibri"/>
                <w:color w:val="000000"/>
                <w:sz w:val="22"/>
                <w:szCs w:val="22"/>
              </w:rPr>
            </w:pPr>
            <w:r>
              <w:rPr>
                <w:rFonts w:ascii="Calibri" w:hAnsi="Calibri"/>
                <w:color w:val="000000"/>
                <w:sz w:val="22"/>
                <w:szCs w:val="22"/>
              </w:rPr>
              <w:t>€7,000</w:t>
            </w:r>
          </w:p>
        </w:tc>
      </w:tr>
      <w:tr w:rsidR="007E5138" w:rsidTr="00836055">
        <w:trPr>
          <w:trHeight w:val="300"/>
        </w:trPr>
        <w:tc>
          <w:tcPr>
            <w:tcW w:w="2694" w:type="dxa"/>
            <w:shd w:val="clear" w:color="auto" w:fill="auto"/>
            <w:hideMark/>
          </w:tcPr>
          <w:p w:rsidR="007E5138" w:rsidRDefault="007E5138" w:rsidP="00836055">
            <w:pPr>
              <w:jc w:val="right"/>
              <w:rPr>
                <w:rFonts w:ascii="Calibri" w:hAnsi="Calibri"/>
                <w:color w:val="000000"/>
                <w:sz w:val="22"/>
                <w:szCs w:val="22"/>
              </w:rPr>
            </w:pPr>
          </w:p>
        </w:tc>
        <w:tc>
          <w:tcPr>
            <w:tcW w:w="5103" w:type="dxa"/>
            <w:shd w:val="clear" w:color="auto" w:fill="auto"/>
            <w:hideMark/>
          </w:tcPr>
          <w:p w:rsidR="007E5138" w:rsidRDefault="007E5138" w:rsidP="00836055">
            <w:pPr>
              <w:rPr>
                <w:sz w:val="20"/>
                <w:szCs w:val="20"/>
              </w:rPr>
            </w:pPr>
          </w:p>
        </w:tc>
        <w:tc>
          <w:tcPr>
            <w:tcW w:w="1540" w:type="dxa"/>
            <w:shd w:val="clear" w:color="auto" w:fill="auto"/>
            <w:hideMark/>
          </w:tcPr>
          <w:p w:rsidR="007E5138" w:rsidRDefault="007E5138" w:rsidP="00836055">
            <w:pPr>
              <w:rPr>
                <w:sz w:val="20"/>
                <w:szCs w:val="20"/>
              </w:rPr>
            </w:pPr>
          </w:p>
        </w:tc>
      </w:tr>
      <w:tr w:rsidR="007E5138" w:rsidTr="00836055">
        <w:trPr>
          <w:trHeight w:val="300"/>
        </w:trPr>
        <w:tc>
          <w:tcPr>
            <w:tcW w:w="2694" w:type="dxa"/>
            <w:shd w:val="clear" w:color="auto" w:fill="auto"/>
            <w:hideMark/>
          </w:tcPr>
          <w:p w:rsidR="007E5138" w:rsidRDefault="007E5138" w:rsidP="00836055">
            <w:pPr>
              <w:rPr>
                <w:sz w:val="20"/>
                <w:szCs w:val="20"/>
              </w:rPr>
            </w:pPr>
          </w:p>
        </w:tc>
        <w:tc>
          <w:tcPr>
            <w:tcW w:w="5103" w:type="dxa"/>
            <w:shd w:val="clear" w:color="auto" w:fill="auto"/>
            <w:hideMark/>
          </w:tcPr>
          <w:p w:rsidR="007E5138" w:rsidRDefault="007E5138" w:rsidP="00836055">
            <w:pPr>
              <w:rPr>
                <w:rFonts w:ascii="Calibri" w:hAnsi="Calibri"/>
                <w:color w:val="000000"/>
                <w:sz w:val="22"/>
                <w:szCs w:val="22"/>
              </w:rPr>
            </w:pPr>
            <w:r>
              <w:rPr>
                <w:rFonts w:ascii="Calibri" w:hAnsi="Calibri"/>
                <w:color w:val="000000"/>
                <w:sz w:val="22"/>
                <w:szCs w:val="22"/>
              </w:rPr>
              <w:t>TOTAL</w:t>
            </w:r>
          </w:p>
        </w:tc>
        <w:tc>
          <w:tcPr>
            <w:tcW w:w="1540" w:type="dxa"/>
            <w:shd w:val="clear" w:color="auto" w:fill="auto"/>
            <w:hideMark/>
          </w:tcPr>
          <w:p w:rsidR="007E5138" w:rsidRDefault="007E5138" w:rsidP="00836055">
            <w:pPr>
              <w:jc w:val="right"/>
              <w:rPr>
                <w:rFonts w:ascii="Calibri" w:hAnsi="Calibri"/>
                <w:b/>
                <w:bCs/>
                <w:color w:val="000000"/>
                <w:sz w:val="22"/>
                <w:szCs w:val="22"/>
              </w:rPr>
            </w:pPr>
            <w:r>
              <w:rPr>
                <w:rFonts w:ascii="Calibri" w:hAnsi="Calibri"/>
                <w:b/>
                <w:bCs/>
                <w:color w:val="000000"/>
                <w:sz w:val="22"/>
                <w:szCs w:val="22"/>
              </w:rPr>
              <w:t>€152,000</w:t>
            </w:r>
          </w:p>
        </w:tc>
      </w:tr>
    </w:tbl>
    <w:p w:rsidR="00E84EB8" w:rsidRDefault="00E84EB8"/>
    <w:sectPr w:rsidR="00E84E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138"/>
    <w:rsid w:val="00057CC9"/>
    <w:rsid w:val="007E5138"/>
    <w:rsid w:val="00CA66F0"/>
    <w:rsid w:val="00E84EB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B5CC02-BE6C-4A7C-9BDE-E9B3C418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138"/>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main">
    <w:name w:val="replymain"/>
    <w:basedOn w:val="Normal"/>
    <w:rsid w:val="007E5138"/>
    <w:pPr>
      <w:spacing w:before="100" w:beforeAutospacing="1" w:after="100" w:afterAutospacing="1"/>
      <w:jc w:val="center"/>
    </w:pPr>
    <w:rPr>
      <w:b/>
      <w:bCs/>
      <w:u w:val="single"/>
    </w:rPr>
  </w:style>
  <w:style w:type="paragraph" w:styleId="NormalWeb">
    <w:name w:val="Normal (Web)"/>
    <w:basedOn w:val="Normal"/>
    <w:link w:val="NormalWebChar"/>
    <w:uiPriority w:val="99"/>
    <w:rsid w:val="007E5138"/>
    <w:pPr>
      <w:spacing w:before="100" w:beforeAutospacing="1" w:after="100" w:afterAutospacing="1"/>
    </w:pPr>
  </w:style>
  <w:style w:type="character" w:styleId="Strong">
    <w:name w:val="Strong"/>
    <w:uiPriority w:val="22"/>
    <w:qFormat/>
    <w:rsid w:val="007E5138"/>
    <w:rPr>
      <w:b/>
      <w:bCs/>
    </w:rPr>
  </w:style>
  <w:style w:type="character" w:customStyle="1" w:styleId="NormalWebChar">
    <w:name w:val="Normal (Web) Char"/>
    <w:link w:val="NormalWeb"/>
    <w:uiPriority w:val="99"/>
    <w:rsid w:val="007E5138"/>
    <w:rPr>
      <w:rFonts w:ascii="Times New Roman" w:eastAsia="Times New Roman" w:hAnsi="Times New Roman" w:cs="Times New Roman"/>
      <w:sz w:val="24"/>
      <w:szCs w:val="24"/>
      <w:lang w:val="en-GB" w:eastAsia="en-GB"/>
    </w:rPr>
  </w:style>
  <w:style w:type="paragraph" w:customStyle="1" w:styleId="replyheader">
    <w:name w:val="replyheader"/>
    <w:basedOn w:val="Normal"/>
    <w:rsid w:val="007E5138"/>
    <w:pPr>
      <w:spacing w:before="100" w:beforeAutospacing="1" w:after="100" w:afterAutospacing="1"/>
      <w:jc w:val="center"/>
    </w:pPr>
    <w:rPr>
      <w:b/>
      <w:bCs/>
      <w:sz w:val="31"/>
      <w:szCs w:val="31"/>
      <w:u w:val="single"/>
    </w:rPr>
  </w:style>
  <w:style w:type="paragraph" w:customStyle="1" w:styleId="replyimage">
    <w:name w:val="replyimage"/>
    <w:basedOn w:val="Normal"/>
    <w:rsid w:val="007E5138"/>
    <w:pPr>
      <w:spacing w:before="300" w:after="30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290</Words>
  <Characters>1657</Characters>
  <Application>Microsoft Office Word</Application>
  <DocSecurity>0</DocSecurity>
  <Lines>13</Lines>
  <Paragraphs>3</Paragraphs>
  <ScaleCrop>false</ScaleCrop>
  <Company>Microsoft</Company>
  <LinksUpToDate>false</LinksUpToDate>
  <CharactersWithSpaces>1944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Fennell</dc:creator>
  <cp:keywords/>
  <dc:description/>
  <cp:lastModifiedBy>David Fennell</cp:lastModifiedBy>
  <cp:revision>3</cp:revision>
  <dcterms:created xsi:type="dcterms:W3CDTF">2015-12-08T13:39:00Z</dcterms:created>
  <dcterms:modified xsi:type="dcterms:W3CDTF">2015-12-08T13:47:00Z</dcterms:modified>
</cp:coreProperties>
</file>