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4B6" w:rsidRDefault="006D74B6" w:rsidP="00F72DBD">
      <w:pPr>
        <w:pBdr>
          <w:bottom w:val="single" w:sz="12" w:space="1" w:color="auto"/>
        </w:pBdr>
        <w:jc w:val="center"/>
        <w:rPr>
          <w:rFonts w:ascii="Arial" w:hAnsi="Arial" w:cs="Arial"/>
          <w:b/>
          <w:sz w:val="22"/>
          <w:szCs w:val="22"/>
          <w:lang w:val="en-IE"/>
        </w:rPr>
      </w:pPr>
    </w:p>
    <w:p w:rsidR="006D74B6" w:rsidRDefault="006D74B6" w:rsidP="00F72DBD">
      <w:pPr>
        <w:pBdr>
          <w:bottom w:val="single" w:sz="12" w:space="1" w:color="auto"/>
        </w:pBdr>
        <w:jc w:val="center"/>
        <w:rPr>
          <w:rFonts w:ascii="Arial" w:hAnsi="Arial" w:cs="Arial"/>
          <w:b/>
          <w:sz w:val="22"/>
          <w:szCs w:val="22"/>
          <w:lang w:val="en-IE"/>
        </w:rPr>
      </w:pPr>
    </w:p>
    <w:p w:rsidR="006D74B6" w:rsidRDefault="006D74B6" w:rsidP="00F72DBD">
      <w:pPr>
        <w:pBdr>
          <w:bottom w:val="single" w:sz="12" w:space="1" w:color="auto"/>
        </w:pBdr>
        <w:jc w:val="center"/>
        <w:rPr>
          <w:rFonts w:ascii="Arial" w:hAnsi="Arial" w:cs="Arial"/>
          <w:b/>
          <w:sz w:val="22"/>
          <w:szCs w:val="22"/>
          <w:lang w:val="en-IE"/>
        </w:rPr>
      </w:pPr>
    </w:p>
    <w:p w:rsidR="006D74B6" w:rsidRDefault="006D74B6" w:rsidP="00F72DBD">
      <w:pPr>
        <w:pBdr>
          <w:bottom w:val="single" w:sz="12" w:space="1" w:color="auto"/>
        </w:pBdr>
        <w:jc w:val="center"/>
        <w:rPr>
          <w:rFonts w:ascii="Arial" w:hAnsi="Arial" w:cs="Arial"/>
          <w:b/>
          <w:sz w:val="22"/>
          <w:szCs w:val="22"/>
          <w:lang w:val="en-IE"/>
        </w:rPr>
      </w:pPr>
    </w:p>
    <w:p w:rsidR="006D74B6" w:rsidRDefault="006D74B6" w:rsidP="00F72DBD">
      <w:pPr>
        <w:pBdr>
          <w:bottom w:val="single" w:sz="12" w:space="1" w:color="auto"/>
        </w:pBdr>
        <w:jc w:val="center"/>
        <w:rPr>
          <w:rFonts w:ascii="Arial" w:hAnsi="Arial" w:cs="Arial"/>
          <w:b/>
          <w:sz w:val="22"/>
          <w:szCs w:val="22"/>
          <w:lang w:val="en-IE"/>
        </w:rPr>
      </w:pPr>
    </w:p>
    <w:p w:rsidR="006D74B6" w:rsidRDefault="006D74B6" w:rsidP="00F72DBD">
      <w:pPr>
        <w:pBdr>
          <w:bottom w:val="single" w:sz="12" w:space="1" w:color="auto"/>
        </w:pBdr>
        <w:jc w:val="center"/>
        <w:rPr>
          <w:rFonts w:ascii="Arial" w:hAnsi="Arial" w:cs="Arial"/>
          <w:b/>
          <w:sz w:val="22"/>
          <w:szCs w:val="22"/>
          <w:lang w:val="en-IE"/>
        </w:rPr>
      </w:pPr>
    </w:p>
    <w:p w:rsidR="006D74B6" w:rsidRDefault="006D74B6" w:rsidP="00F72DBD">
      <w:pPr>
        <w:pBdr>
          <w:bottom w:val="single" w:sz="12" w:space="1" w:color="auto"/>
        </w:pBdr>
        <w:jc w:val="center"/>
        <w:rPr>
          <w:rFonts w:ascii="Arial" w:hAnsi="Arial" w:cs="Arial"/>
          <w:b/>
          <w:sz w:val="22"/>
          <w:szCs w:val="22"/>
          <w:lang w:val="en-IE"/>
        </w:rPr>
      </w:pPr>
    </w:p>
    <w:p w:rsidR="00F72DBD" w:rsidRDefault="00F72DBD" w:rsidP="00F72DBD">
      <w:pPr>
        <w:pBdr>
          <w:bottom w:val="single" w:sz="12" w:space="1" w:color="auto"/>
        </w:pBdr>
        <w:jc w:val="center"/>
        <w:rPr>
          <w:rFonts w:ascii="Arial" w:hAnsi="Arial" w:cs="Arial"/>
          <w:b/>
          <w:sz w:val="22"/>
          <w:szCs w:val="22"/>
          <w:lang w:val="en-IE"/>
        </w:rPr>
      </w:pPr>
      <w:bookmarkStart w:id="0" w:name="_GoBack"/>
      <w:r>
        <w:rPr>
          <w:rFonts w:ascii="Arial" w:hAnsi="Arial" w:cs="Arial"/>
          <w:b/>
          <w:sz w:val="22"/>
          <w:szCs w:val="22"/>
          <w:lang w:val="en-IE"/>
        </w:rPr>
        <w:t>Draft Section 48 Development Contribution Scheme 2016-2020</w:t>
      </w:r>
    </w:p>
    <w:bookmarkEnd w:id="0"/>
    <w:p w:rsidR="006D74B6" w:rsidRDefault="006D74B6" w:rsidP="00F72DBD">
      <w:pPr>
        <w:pBdr>
          <w:bottom w:val="single" w:sz="12" w:space="1" w:color="auto"/>
        </w:pBdr>
        <w:jc w:val="center"/>
        <w:rPr>
          <w:rFonts w:ascii="Arial" w:hAnsi="Arial" w:cs="Arial"/>
          <w:b/>
          <w:sz w:val="22"/>
          <w:szCs w:val="22"/>
          <w:lang w:val="en-IE"/>
        </w:rPr>
      </w:pPr>
    </w:p>
    <w:p w:rsidR="006929CF" w:rsidRDefault="006929CF" w:rsidP="00F72DBD">
      <w:pPr>
        <w:pBdr>
          <w:bottom w:val="single" w:sz="12" w:space="1" w:color="auto"/>
        </w:pBdr>
        <w:jc w:val="center"/>
        <w:rPr>
          <w:rFonts w:ascii="Arial" w:hAnsi="Arial" w:cs="Arial"/>
          <w:b/>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 xml:space="preserve">Section 48 of the Planning &amp; Development Act, 2000, as amended, enables a Planning Authority, when granting planning permission under Section 34 of the Act, to attach conditions requiring the payment of a contribution in respect of public infrastructure and facilities benefiting the development of the administrative area of the Planning Authority. This relates to public infrastructure and facilities that are provided, or that it is intended will be provided, by or on behalf of the Local Authority. </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Section 48 (2) specifies that the basis for the determination of the contribution shall be set out in a Development Contribution Scheme which shall state the basis for determining the contributions to be paid in respect of public infrastructure and facilities which are provided or are to be provided by a Local Authority. The Planning Authority shall have regard to the actual estimated cost of providing the classes of public infrastructure and facilities, except that any benefit which accrues in respect of existing development may not be included in any such determination.</w:t>
      </w:r>
    </w:p>
    <w:p w:rsidR="00F72DBD" w:rsidRDefault="00F72DBD" w:rsidP="00F72DBD">
      <w:pPr>
        <w:jc w:val="both"/>
        <w:rPr>
          <w:rFonts w:ascii="Arial" w:hAnsi="Arial" w:cs="Arial"/>
          <w:sz w:val="22"/>
          <w:szCs w:val="22"/>
          <w:lang w:val="en-IE"/>
        </w:rPr>
      </w:pPr>
    </w:p>
    <w:p w:rsidR="00F72DBD" w:rsidRPr="00EA5B26" w:rsidRDefault="00F72DBD" w:rsidP="00F72DBD">
      <w:pPr>
        <w:jc w:val="both"/>
        <w:rPr>
          <w:rFonts w:ascii="Arial" w:hAnsi="Arial" w:cs="Arial"/>
          <w:sz w:val="22"/>
          <w:szCs w:val="22"/>
          <w:lang w:val="en-IE"/>
        </w:rPr>
      </w:pPr>
      <w:r w:rsidRPr="00EA5B26">
        <w:rPr>
          <w:rFonts w:ascii="Arial" w:hAnsi="Arial" w:cs="Arial"/>
          <w:sz w:val="22"/>
          <w:szCs w:val="22"/>
          <w:lang w:val="en-IE"/>
        </w:rPr>
        <w:t xml:space="preserve">Following a review of the 2010 to 2017 scheme the </w:t>
      </w:r>
      <w:hyperlink r:id="rId5" w:history="1">
        <w:r w:rsidRPr="00EA5B26">
          <w:rPr>
            <w:rFonts w:ascii="Arial" w:hAnsi="Arial" w:cs="Arial"/>
            <w:sz w:val="22"/>
            <w:szCs w:val="22"/>
          </w:rPr>
          <w:t>current Development Contribution Scheme</w:t>
        </w:r>
      </w:hyperlink>
      <w:r w:rsidRPr="00EA5B26">
        <w:rPr>
          <w:rFonts w:ascii="Arial" w:hAnsi="Arial" w:cs="Arial"/>
          <w:sz w:val="22"/>
          <w:szCs w:val="22"/>
          <w:lang w:val="en-IE"/>
        </w:rPr>
        <w:t xml:space="preserve"> wa</w:t>
      </w:r>
      <w:r w:rsidR="006B2AC0" w:rsidRPr="00EA5B26">
        <w:rPr>
          <w:rFonts w:ascii="Arial" w:hAnsi="Arial" w:cs="Arial"/>
          <w:sz w:val="22"/>
          <w:szCs w:val="22"/>
          <w:lang w:val="en-IE"/>
        </w:rPr>
        <w:t>s adopted by the Council on 14th January 2013</w:t>
      </w:r>
      <w:r w:rsidRPr="00EA5B26">
        <w:rPr>
          <w:rFonts w:ascii="Arial" w:hAnsi="Arial" w:cs="Arial"/>
          <w:sz w:val="22"/>
          <w:szCs w:val="22"/>
          <w:lang w:val="en-IE"/>
        </w:rPr>
        <w:t xml:space="preserve"> for the period 2013-2015. </w:t>
      </w:r>
      <w:r w:rsidR="006B2AC0" w:rsidRPr="00EA5B26">
        <w:rPr>
          <w:rFonts w:ascii="Arial" w:hAnsi="Arial" w:cs="Arial"/>
          <w:sz w:val="22"/>
          <w:szCs w:val="22"/>
          <w:lang w:val="en-IE"/>
        </w:rPr>
        <w:t>This Scheme superseded the South Dublin County Council Development Contribution Scheme 2010-2017 and was made in recognition of the market conditions at the time and the changed economic environment since the adoption of the 2010-2017 Scheme. The new scheme became effective on 15th January 2013.</w:t>
      </w:r>
      <w:r w:rsidRPr="00EA5B26">
        <w:rPr>
          <w:rFonts w:ascii="Arial" w:hAnsi="Arial" w:cs="Arial"/>
          <w:sz w:val="22"/>
          <w:szCs w:val="22"/>
          <w:lang w:val="en-IE"/>
        </w:rPr>
        <w:t xml:space="preserve"> Furthermore since responsibility for water services projects transferred to Irish Water </w:t>
      </w:r>
      <w:r w:rsidR="002A1E1F" w:rsidRPr="00EA5B26">
        <w:rPr>
          <w:rFonts w:ascii="Arial" w:hAnsi="Arial" w:cs="Arial"/>
          <w:sz w:val="22"/>
          <w:szCs w:val="22"/>
          <w:lang w:val="en-IE"/>
        </w:rPr>
        <w:t>the Council have not applied a levy for</w:t>
      </w:r>
      <w:r w:rsidRPr="00EA5B26">
        <w:rPr>
          <w:rFonts w:ascii="Arial" w:hAnsi="Arial" w:cs="Arial"/>
          <w:sz w:val="22"/>
          <w:szCs w:val="22"/>
          <w:lang w:val="en-IE"/>
        </w:rPr>
        <w:t xml:space="preserve"> the Water/Drainage element since 1st January 2014.</w:t>
      </w:r>
    </w:p>
    <w:p w:rsidR="00C67646" w:rsidRDefault="00C67646"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South Dublin County Council's current Scheme expires on the 31</w:t>
      </w:r>
      <w:r>
        <w:rPr>
          <w:rFonts w:ascii="Arial" w:hAnsi="Arial" w:cs="Arial"/>
          <w:sz w:val="22"/>
          <w:szCs w:val="22"/>
          <w:vertAlign w:val="superscript"/>
          <w:lang w:val="en-IE"/>
        </w:rPr>
        <w:t>st</w:t>
      </w:r>
      <w:r>
        <w:rPr>
          <w:rFonts w:ascii="Arial" w:hAnsi="Arial" w:cs="Arial"/>
          <w:sz w:val="22"/>
          <w:szCs w:val="22"/>
          <w:lang w:val="en-IE"/>
        </w:rPr>
        <w:t xml:space="preserve"> December 2015 and it is proposed to introduce a revised scheme with effect from 1</w:t>
      </w:r>
      <w:r>
        <w:rPr>
          <w:rFonts w:ascii="Arial" w:hAnsi="Arial" w:cs="Arial"/>
          <w:sz w:val="22"/>
          <w:szCs w:val="22"/>
          <w:vertAlign w:val="superscript"/>
          <w:lang w:val="en-IE"/>
        </w:rPr>
        <w:t>st</w:t>
      </w:r>
      <w:r>
        <w:rPr>
          <w:rFonts w:ascii="Arial" w:hAnsi="Arial" w:cs="Arial"/>
          <w:sz w:val="22"/>
          <w:szCs w:val="22"/>
          <w:lang w:val="en-IE"/>
        </w:rPr>
        <w:t xml:space="preserve"> January 2016 subject to the approval of the Council. A copy of the Draft Development Contribution Scheme 2016-2020 is circulated with this report.  </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 xml:space="preserve">The four Dublin Local Authorities, Dublin City </w:t>
      </w:r>
      <w:r w:rsidR="00DA0433">
        <w:rPr>
          <w:rFonts w:ascii="Arial" w:hAnsi="Arial" w:cs="Arial"/>
          <w:sz w:val="22"/>
          <w:szCs w:val="22"/>
          <w:lang w:val="en-IE"/>
        </w:rPr>
        <w:t xml:space="preserve">Council, Dun Laoghaire-Rathdown </w:t>
      </w:r>
      <w:r>
        <w:rPr>
          <w:rFonts w:ascii="Arial" w:hAnsi="Arial" w:cs="Arial"/>
          <w:sz w:val="22"/>
          <w:szCs w:val="22"/>
          <w:lang w:val="en-IE"/>
        </w:rPr>
        <w:t>County Council, Fingal County Council and South Dublin County Council engaged Future Analytics as consultants to undertake ‘An Economic and Market Analysis of the Development Sector and the factors influencing development in the four Dublin local authority administrative areas’ in order to provide background information to assist with the reviews of each authorities Scheme. The consultant’s report will be made available digitally and a hard copy will be made avail</w:t>
      </w:r>
      <w:r w:rsidR="00C21DCC">
        <w:rPr>
          <w:rFonts w:ascii="Arial" w:hAnsi="Arial" w:cs="Arial"/>
          <w:sz w:val="22"/>
          <w:szCs w:val="22"/>
          <w:lang w:val="en-IE"/>
        </w:rPr>
        <w:t>a</w:t>
      </w:r>
      <w:r>
        <w:rPr>
          <w:rFonts w:ascii="Arial" w:hAnsi="Arial" w:cs="Arial"/>
          <w:sz w:val="22"/>
          <w:szCs w:val="22"/>
          <w:lang w:val="en-IE"/>
        </w:rPr>
        <w:t xml:space="preserve">ble on request. </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The main findings of the consultants in relation to South Dublin County Council are summarised as follows:</w:t>
      </w:r>
      <w:r w:rsidR="006B2AC0">
        <w:rPr>
          <w:rFonts w:ascii="Arial" w:hAnsi="Arial" w:cs="Arial"/>
          <w:sz w:val="22"/>
          <w:szCs w:val="22"/>
          <w:lang w:val="en-IE"/>
        </w:rPr>
        <w:t xml:space="preserve"> </w:t>
      </w:r>
    </w:p>
    <w:p w:rsidR="00F72DBD" w:rsidRDefault="00F72DBD" w:rsidP="00F72DBD">
      <w:pPr>
        <w:jc w:val="both"/>
        <w:rPr>
          <w:rFonts w:ascii="Arial" w:hAnsi="Arial" w:cs="Arial"/>
          <w:sz w:val="22"/>
          <w:szCs w:val="22"/>
          <w:lang w:val="en-IE"/>
        </w:rPr>
      </w:pPr>
    </w:p>
    <w:p w:rsidR="00F72DBD" w:rsidRPr="0011226D" w:rsidRDefault="00F72DBD" w:rsidP="00F72DBD">
      <w:pPr>
        <w:ind w:left="360"/>
        <w:jc w:val="both"/>
        <w:rPr>
          <w:rFonts w:ascii="Arial" w:hAnsi="Arial" w:cs="Arial"/>
          <w:sz w:val="22"/>
          <w:szCs w:val="22"/>
          <w:lang w:val="en-IE"/>
        </w:rPr>
      </w:pPr>
      <w:r w:rsidRPr="0011226D">
        <w:rPr>
          <w:rFonts w:ascii="Arial" w:hAnsi="Arial" w:cs="Arial"/>
          <w:b/>
          <w:bCs/>
          <w:sz w:val="22"/>
          <w:szCs w:val="22"/>
        </w:rPr>
        <w:lastRenderedPageBreak/>
        <w:t>Economic Analysis</w:t>
      </w:r>
      <w:r w:rsidRPr="0011226D">
        <w:rPr>
          <w:rFonts w:ascii="Arial" w:hAnsi="Arial" w:cs="Arial"/>
          <w:sz w:val="22"/>
          <w:szCs w:val="22"/>
        </w:rPr>
        <w:t xml:space="preserve">: </w:t>
      </w:r>
      <w:r w:rsidRPr="0011226D">
        <w:rPr>
          <w:rFonts w:ascii="Arial" w:hAnsi="Arial" w:cs="Arial"/>
          <w:sz w:val="22"/>
          <w:szCs w:val="22"/>
          <w:lang w:val="en-IE"/>
        </w:rPr>
        <w:t xml:space="preserve">Economic conditions are improving and with a growing population there will be demand for residential and commercial properties. New development is required to cater for supply constraints. In relation to industrial </w:t>
      </w:r>
      <w:r w:rsidR="0011226D" w:rsidRPr="0011226D">
        <w:rPr>
          <w:rFonts w:ascii="Arial" w:hAnsi="Arial" w:cs="Arial"/>
          <w:sz w:val="22"/>
          <w:szCs w:val="22"/>
          <w:lang w:val="en-IE"/>
        </w:rPr>
        <w:t xml:space="preserve">development rents will rise and demand is expected to remain in the South Dublin County Council area which will see a limited number of new schemes progressing through the planning process. </w:t>
      </w:r>
    </w:p>
    <w:p w:rsidR="00F72DBD" w:rsidRPr="0011226D" w:rsidRDefault="00F72DBD" w:rsidP="00F72DBD">
      <w:pPr>
        <w:ind w:left="360"/>
        <w:jc w:val="both"/>
        <w:rPr>
          <w:rFonts w:ascii="Arial" w:hAnsi="Arial" w:cs="Arial"/>
          <w:sz w:val="22"/>
          <w:szCs w:val="22"/>
          <w:lang w:val="en-IE"/>
        </w:rPr>
      </w:pPr>
    </w:p>
    <w:p w:rsidR="00F72DBD" w:rsidRPr="0011226D" w:rsidRDefault="00F72DBD" w:rsidP="00F72DBD">
      <w:pPr>
        <w:ind w:left="360"/>
        <w:jc w:val="both"/>
        <w:rPr>
          <w:rFonts w:ascii="Arial" w:hAnsi="Arial" w:cs="Arial"/>
          <w:b/>
          <w:bCs/>
          <w:sz w:val="22"/>
          <w:szCs w:val="22"/>
        </w:rPr>
      </w:pPr>
    </w:p>
    <w:p w:rsidR="00F72DBD" w:rsidRPr="0011226D" w:rsidRDefault="00F72DBD" w:rsidP="00F72DBD">
      <w:pPr>
        <w:ind w:left="360"/>
        <w:jc w:val="both"/>
        <w:rPr>
          <w:rFonts w:ascii="Arial" w:hAnsi="Arial" w:cs="Arial"/>
          <w:sz w:val="22"/>
          <w:szCs w:val="22"/>
          <w:lang w:val="en-IE"/>
        </w:rPr>
      </w:pPr>
      <w:r w:rsidRPr="0011226D">
        <w:rPr>
          <w:rFonts w:ascii="Arial" w:hAnsi="Arial" w:cs="Arial"/>
          <w:b/>
          <w:bCs/>
          <w:sz w:val="22"/>
          <w:szCs w:val="22"/>
        </w:rPr>
        <w:t>Assessment of Likely Trends:</w:t>
      </w:r>
      <w:r w:rsidRPr="0011226D">
        <w:rPr>
          <w:rFonts w:ascii="Arial" w:hAnsi="Arial" w:cs="Arial"/>
          <w:sz w:val="22"/>
          <w:szCs w:val="22"/>
        </w:rPr>
        <w:t xml:space="preserve"> </w:t>
      </w:r>
      <w:r w:rsidRPr="0011226D">
        <w:rPr>
          <w:rFonts w:ascii="Arial" w:hAnsi="Arial" w:cs="Arial"/>
          <w:sz w:val="22"/>
          <w:szCs w:val="22"/>
          <w:lang w:val="en-IE"/>
        </w:rPr>
        <w:t>The market is in recovery but is still fragile. Demand is not uniformly spread and not all construction is yet viable. With end values for residential development generally increasing, viability is spreading. Retailing conditions have improved with prime locations in highest demand. The opportunity to develop new large scale retail is limited in the next five years but there will be opportunities for smaller retail developments as part of mixed use schemes. In relation to industrial lands, given their high value any large scale development is unlikely to take place before 2020.</w:t>
      </w:r>
    </w:p>
    <w:p w:rsidR="00F72DBD" w:rsidRPr="0011226D" w:rsidRDefault="00F72DBD" w:rsidP="00F72DBD">
      <w:pPr>
        <w:ind w:left="360"/>
        <w:jc w:val="both"/>
        <w:rPr>
          <w:rFonts w:ascii="Arial" w:hAnsi="Arial" w:cs="Arial"/>
          <w:sz w:val="22"/>
          <w:szCs w:val="22"/>
          <w:lang w:val="en-IE"/>
        </w:rPr>
      </w:pPr>
    </w:p>
    <w:p w:rsidR="00F72DBD" w:rsidRDefault="00F72DBD" w:rsidP="00F72DBD">
      <w:pPr>
        <w:ind w:left="360"/>
        <w:jc w:val="both"/>
        <w:rPr>
          <w:rFonts w:ascii="Arial" w:hAnsi="Arial" w:cs="Arial"/>
          <w:sz w:val="22"/>
          <w:szCs w:val="22"/>
          <w:lang w:val="en-IE"/>
        </w:rPr>
      </w:pPr>
      <w:r w:rsidRPr="0011226D">
        <w:rPr>
          <w:rFonts w:ascii="Arial" w:hAnsi="Arial" w:cs="Arial"/>
          <w:b/>
          <w:bCs/>
          <w:color w:val="000000"/>
          <w:sz w:val="22"/>
          <w:szCs w:val="22"/>
        </w:rPr>
        <w:t>Analysis of Construction/Development Costs:</w:t>
      </w:r>
      <w:r w:rsidRPr="0011226D">
        <w:rPr>
          <w:rFonts w:ascii="Arial" w:hAnsi="Arial" w:cs="Arial"/>
          <w:sz w:val="22"/>
          <w:szCs w:val="22"/>
        </w:rPr>
        <w:t xml:space="preserve"> </w:t>
      </w:r>
      <w:r w:rsidRPr="0011226D">
        <w:rPr>
          <w:rFonts w:ascii="Arial" w:hAnsi="Arial" w:cs="Arial"/>
          <w:sz w:val="22"/>
          <w:szCs w:val="22"/>
          <w:lang w:val="en-IE"/>
        </w:rPr>
        <w:t>While it is difficult to predict future development land costs it is noted that small changes in property values greatly impact land values. Construction costs are on the increase and a rate of increase of 5 to 6% per annum for the period of the scheme is predicted.</w:t>
      </w:r>
    </w:p>
    <w:p w:rsidR="00F72DBD" w:rsidRDefault="00F72DBD" w:rsidP="00F72DBD">
      <w:pPr>
        <w:ind w:left="360"/>
        <w:jc w:val="both"/>
        <w:rPr>
          <w:rFonts w:ascii="Arial" w:hAnsi="Arial" w:cs="Arial"/>
          <w:sz w:val="22"/>
          <w:szCs w:val="22"/>
          <w:lang w:val="en-IE"/>
        </w:rPr>
      </w:pPr>
    </w:p>
    <w:p w:rsidR="00F72DBD" w:rsidRDefault="00F72DBD" w:rsidP="00F72DBD">
      <w:pPr>
        <w:ind w:left="360"/>
        <w:jc w:val="both"/>
        <w:rPr>
          <w:rFonts w:ascii="Arial" w:hAnsi="Arial" w:cs="Arial"/>
          <w:sz w:val="22"/>
          <w:szCs w:val="22"/>
          <w:lang w:val="en-IE"/>
        </w:rPr>
      </w:pPr>
      <w:r>
        <w:rPr>
          <w:rFonts w:ascii="Arial" w:hAnsi="Arial" w:cs="Arial"/>
          <w:b/>
          <w:bCs/>
          <w:sz w:val="22"/>
          <w:szCs w:val="22"/>
        </w:rPr>
        <w:t xml:space="preserve">Indexation: </w:t>
      </w:r>
      <w:r>
        <w:rPr>
          <w:rFonts w:ascii="Arial" w:hAnsi="Arial" w:cs="Arial"/>
          <w:sz w:val="22"/>
          <w:szCs w:val="22"/>
          <w:lang w:val="en-IE"/>
        </w:rPr>
        <w:t>The Society of Chartered Surveyors of Ireland Construction Tender Price is recommended as it has been more reflective of the market over the previous years than other indices. It is also the only independent assessment of construction tender prices in Ireland.</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In order to review the existing Scheme 2013 to 2015 and inform the Draft Scheme 2016 to 2020 South Dublin County Council examined:</w:t>
      </w:r>
    </w:p>
    <w:p w:rsidR="00F72DBD" w:rsidRDefault="00F72DBD" w:rsidP="00F72DBD">
      <w:pPr>
        <w:jc w:val="both"/>
        <w:rPr>
          <w:rFonts w:ascii="Arial" w:hAnsi="Arial" w:cs="Arial"/>
          <w:sz w:val="22"/>
          <w:szCs w:val="22"/>
          <w:lang w:val="en-IE"/>
        </w:rPr>
      </w:pPr>
    </w:p>
    <w:p w:rsidR="00F72DBD" w:rsidRDefault="00F72DBD" w:rsidP="00F72DBD">
      <w:pPr>
        <w:numPr>
          <w:ilvl w:val="0"/>
          <w:numId w:val="1"/>
        </w:numPr>
        <w:jc w:val="both"/>
        <w:rPr>
          <w:rFonts w:ascii="Arial" w:hAnsi="Arial" w:cs="Arial"/>
          <w:sz w:val="22"/>
          <w:szCs w:val="22"/>
          <w:lang w:val="en-IE"/>
        </w:rPr>
      </w:pPr>
      <w:r>
        <w:rPr>
          <w:rFonts w:ascii="Arial" w:hAnsi="Arial" w:cs="Arial"/>
          <w:sz w:val="22"/>
          <w:szCs w:val="22"/>
          <w:lang w:val="en-IE"/>
        </w:rPr>
        <w:t xml:space="preserve">Development contributions, </w:t>
      </w:r>
    </w:p>
    <w:p w:rsidR="00F72DBD" w:rsidRDefault="00F72DBD" w:rsidP="00F72DBD">
      <w:pPr>
        <w:jc w:val="both"/>
        <w:rPr>
          <w:rFonts w:ascii="Arial" w:hAnsi="Arial" w:cs="Arial"/>
          <w:sz w:val="22"/>
          <w:szCs w:val="22"/>
          <w:lang w:val="en-IE"/>
        </w:rPr>
      </w:pPr>
    </w:p>
    <w:p w:rsidR="00F72DBD" w:rsidRDefault="00F72DBD" w:rsidP="00F72DBD">
      <w:pPr>
        <w:numPr>
          <w:ilvl w:val="0"/>
          <w:numId w:val="1"/>
        </w:numPr>
        <w:jc w:val="both"/>
        <w:rPr>
          <w:rFonts w:ascii="Arial" w:hAnsi="Arial" w:cs="Arial"/>
          <w:sz w:val="22"/>
          <w:szCs w:val="22"/>
          <w:lang w:val="en-IE"/>
        </w:rPr>
      </w:pPr>
      <w:r>
        <w:rPr>
          <w:rFonts w:ascii="Arial" w:hAnsi="Arial" w:cs="Arial"/>
          <w:sz w:val="22"/>
          <w:szCs w:val="22"/>
          <w:lang w:val="en-IE"/>
        </w:rPr>
        <w:t>Projections of infrastructure which could be included in the Scheme,</w:t>
      </w:r>
    </w:p>
    <w:p w:rsidR="00F72DBD" w:rsidRDefault="00F72DBD" w:rsidP="00F72DBD">
      <w:pPr>
        <w:pStyle w:val="ListParagraph"/>
        <w:rPr>
          <w:rFonts w:ascii="Arial" w:hAnsi="Arial" w:cs="Arial"/>
          <w:sz w:val="22"/>
          <w:szCs w:val="22"/>
          <w:lang w:val="en-IE"/>
        </w:rPr>
      </w:pPr>
    </w:p>
    <w:p w:rsidR="00F72DBD" w:rsidRDefault="00F72DBD" w:rsidP="00F72DBD">
      <w:pPr>
        <w:numPr>
          <w:ilvl w:val="0"/>
          <w:numId w:val="1"/>
        </w:numPr>
        <w:jc w:val="both"/>
        <w:rPr>
          <w:rFonts w:ascii="Arial" w:hAnsi="Arial" w:cs="Arial"/>
          <w:sz w:val="22"/>
          <w:szCs w:val="22"/>
          <w:lang w:val="en-IE"/>
        </w:rPr>
      </w:pPr>
      <w:r>
        <w:rPr>
          <w:rFonts w:ascii="Arial" w:hAnsi="Arial" w:cs="Arial"/>
          <w:sz w:val="22"/>
          <w:szCs w:val="22"/>
          <w:lang w:val="en-IE"/>
        </w:rPr>
        <w:t>Permissions granted, commenced and not commenced,</w:t>
      </w:r>
    </w:p>
    <w:p w:rsidR="00F72DBD" w:rsidRDefault="00F72DBD" w:rsidP="00F72DBD">
      <w:pPr>
        <w:pStyle w:val="ListParagraph"/>
        <w:rPr>
          <w:rFonts w:ascii="Arial" w:hAnsi="Arial" w:cs="Arial"/>
          <w:sz w:val="22"/>
          <w:szCs w:val="22"/>
          <w:lang w:val="en-IE"/>
        </w:rPr>
      </w:pPr>
    </w:p>
    <w:p w:rsidR="00F72DBD" w:rsidRDefault="00F72DBD" w:rsidP="00F72DBD">
      <w:pPr>
        <w:numPr>
          <w:ilvl w:val="0"/>
          <w:numId w:val="1"/>
        </w:numPr>
        <w:jc w:val="both"/>
        <w:rPr>
          <w:rFonts w:ascii="Arial" w:hAnsi="Arial" w:cs="Arial"/>
          <w:sz w:val="22"/>
          <w:szCs w:val="22"/>
          <w:lang w:val="en-IE"/>
        </w:rPr>
      </w:pPr>
      <w:r>
        <w:rPr>
          <w:rFonts w:ascii="Arial" w:hAnsi="Arial" w:cs="Arial"/>
          <w:sz w:val="22"/>
          <w:szCs w:val="22"/>
          <w:lang w:val="en-IE"/>
        </w:rPr>
        <w:t xml:space="preserve">Development capacity of available zoned land, </w:t>
      </w:r>
    </w:p>
    <w:p w:rsidR="00F72DBD" w:rsidRDefault="00F72DBD" w:rsidP="00F72DBD">
      <w:pPr>
        <w:pStyle w:val="ListParagraph"/>
        <w:rPr>
          <w:rFonts w:ascii="Arial" w:hAnsi="Arial" w:cs="Arial"/>
          <w:sz w:val="22"/>
          <w:szCs w:val="22"/>
          <w:lang w:val="en-IE"/>
        </w:rPr>
      </w:pPr>
    </w:p>
    <w:p w:rsidR="00F72DBD" w:rsidRDefault="00F72DBD" w:rsidP="00F72DBD">
      <w:pPr>
        <w:numPr>
          <w:ilvl w:val="0"/>
          <w:numId w:val="1"/>
        </w:numPr>
        <w:jc w:val="both"/>
        <w:rPr>
          <w:rFonts w:ascii="Arial" w:hAnsi="Arial" w:cs="Arial"/>
          <w:sz w:val="22"/>
          <w:szCs w:val="22"/>
          <w:lang w:val="en-IE"/>
        </w:rPr>
      </w:pPr>
      <w:r>
        <w:rPr>
          <w:rFonts w:ascii="Arial" w:hAnsi="Arial" w:cs="Arial"/>
          <w:sz w:val="22"/>
          <w:szCs w:val="22"/>
          <w:lang w:val="en-IE"/>
        </w:rPr>
        <w:t>Projections of development by sector for 2016-2020 inclusive.</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The estimated capital expenditure to December 2015 in respect of eligible infrastruc</w:t>
      </w:r>
      <w:r w:rsidR="003846D7">
        <w:rPr>
          <w:rFonts w:ascii="Arial" w:hAnsi="Arial" w:cs="Arial"/>
          <w:sz w:val="22"/>
          <w:szCs w:val="22"/>
          <w:lang w:val="en-IE"/>
        </w:rPr>
        <w:t>ture is €</w:t>
      </w:r>
      <w:r w:rsidR="00571053">
        <w:rPr>
          <w:rFonts w:ascii="Arial" w:hAnsi="Arial" w:cs="Arial"/>
          <w:sz w:val="22"/>
          <w:szCs w:val="22"/>
          <w:lang w:val="en-IE"/>
        </w:rPr>
        <w:t>43.7 m</w:t>
      </w:r>
      <w:r>
        <w:rPr>
          <w:rFonts w:ascii="Arial" w:hAnsi="Arial" w:cs="Arial"/>
          <w:sz w:val="22"/>
          <w:szCs w:val="22"/>
          <w:lang w:val="en-IE"/>
        </w:rPr>
        <w:t xml:space="preserve"> (period 2010 – 2015). The table below sets out the classes of infrastructure, contributions collected and capital expenditure.</w:t>
      </w:r>
    </w:p>
    <w:p w:rsidR="00F72DBD" w:rsidRDefault="00F72DBD" w:rsidP="00F72DBD">
      <w:pPr>
        <w:jc w:val="both"/>
        <w:rPr>
          <w:rFonts w:ascii="Arial" w:hAnsi="Arial" w:cs="Arial"/>
          <w:sz w:val="22"/>
          <w:szCs w:val="22"/>
          <w:lang w:val="en-IE"/>
        </w:rPr>
      </w:pPr>
      <w:r>
        <w:rPr>
          <w:rFonts w:ascii="Arial" w:hAnsi="Arial" w:cs="Arial"/>
          <w:sz w:val="22"/>
          <w:szCs w:val="22"/>
          <w:lang w:val="en-IE"/>
        </w:rPr>
        <w:br w:type="page"/>
      </w:r>
    </w:p>
    <w:p w:rsidR="00F72DBD" w:rsidRDefault="00F72DBD" w:rsidP="00F72DBD">
      <w:pPr>
        <w:jc w:val="both"/>
        <w:rPr>
          <w:rFonts w:ascii="Arial" w:hAnsi="Arial" w:cs="Arial"/>
          <w:sz w:val="22"/>
          <w:szCs w:val="22"/>
          <w:lang w:val="en-I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93"/>
        <w:gridCol w:w="2828"/>
        <w:gridCol w:w="2687"/>
      </w:tblGrid>
      <w:tr w:rsidR="00F72DBD" w:rsidTr="00F72DBD">
        <w:tc>
          <w:tcPr>
            <w:tcW w:w="3402" w:type="dxa"/>
            <w:tcBorders>
              <w:top w:val="single" w:sz="4" w:space="0" w:color="000000"/>
              <w:left w:val="single" w:sz="4" w:space="0" w:color="000000"/>
              <w:bottom w:val="single" w:sz="4" w:space="0" w:color="000000"/>
              <w:right w:val="single" w:sz="4" w:space="0" w:color="000000"/>
            </w:tcBorders>
          </w:tcPr>
          <w:p w:rsidR="00F72DBD" w:rsidRDefault="00F72DBD">
            <w:pPr>
              <w:jc w:val="both"/>
              <w:rPr>
                <w:rFonts w:ascii="Arial" w:hAnsi="Arial" w:cs="Arial"/>
                <w:b/>
                <w:sz w:val="22"/>
                <w:szCs w:val="22"/>
                <w:lang w:val="en-IE"/>
              </w:rPr>
            </w:pPr>
          </w:p>
          <w:p w:rsidR="00F72DBD" w:rsidRDefault="00F72DBD">
            <w:pPr>
              <w:jc w:val="both"/>
              <w:rPr>
                <w:rFonts w:ascii="Arial" w:hAnsi="Arial" w:cs="Arial"/>
                <w:b/>
                <w:sz w:val="22"/>
                <w:szCs w:val="22"/>
                <w:lang w:val="en-IE"/>
              </w:rPr>
            </w:pPr>
            <w:r>
              <w:rPr>
                <w:rFonts w:ascii="Arial" w:hAnsi="Arial" w:cs="Arial"/>
                <w:b/>
                <w:sz w:val="22"/>
                <w:szCs w:val="22"/>
                <w:lang w:val="en-IE"/>
              </w:rPr>
              <w:t>Infrastructure Class</w:t>
            </w:r>
          </w:p>
          <w:p w:rsidR="00F72DBD" w:rsidRDefault="00F72DBD">
            <w:pPr>
              <w:jc w:val="both"/>
              <w:rPr>
                <w:rFonts w:ascii="Arial" w:hAnsi="Arial" w:cs="Arial"/>
                <w:b/>
                <w:sz w:val="22"/>
                <w:szCs w:val="22"/>
                <w:lang w:val="en-IE"/>
              </w:rPr>
            </w:pPr>
          </w:p>
        </w:tc>
        <w:tc>
          <w:tcPr>
            <w:tcW w:w="2835" w:type="dxa"/>
            <w:tcBorders>
              <w:top w:val="single" w:sz="4" w:space="0" w:color="000000"/>
              <w:left w:val="single" w:sz="4" w:space="0" w:color="000000"/>
              <w:bottom w:val="single" w:sz="4" w:space="0" w:color="000000"/>
              <w:right w:val="single" w:sz="4" w:space="0" w:color="000000"/>
            </w:tcBorders>
            <w:vAlign w:val="bottom"/>
          </w:tcPr>
          <w:p w:rsidR="00F72DBD" w:rsidRDefault="00F72DBD">
            <w:pPr>
              <w:jc w:val="both"/>
              <w:rPr>
                <w:rFonts w:ascii="Arial" w:hAnsi="Arial" w:cs="Arial"/>
                <w:b/>
                <w:sz w:val="22"/>
                <w:szCs w:val="22"/>
                <w:lang w:val="en-IE"/>
              </w:rPr>
            </w:pPr>
            <w:r>
              <w:rPr>
                <w:rFonts w:ascii="Arial" w:hAnsi="Arial" w:cs="Arial"/>
                <w:b/>
                <w:sz w:val="22"/>
                <w:szCs w:val="22"/>
                <w:lang w:val="en-IE"/>
              </w:rPr>
              <w:t>Contributions Collected</w:t>
            </w:r>
          </w:p>
          <w:p w:rsidR="00F72DBD" w:rsidRDefault="00F72DBD">
            <w:pPr>
              <w:jc w:val="both"/>
              <w:rPr>
                <w:rFonts w:ascii="Arial" w:hAnsi="Arial" w:cs="Arial"/>
                <w:b/>
                <w:sz w:val="22"/>
                <w:szCs w:val="22"/>
                <w:lang w:val="en-IE"/>
              </w:rPr>
            </w:pPr>
          </w:p>
        </w:tc>
        <w:tc>
          <w:tcPr>
            <w:tcW w:w="2694" w:type="dxa"/>
            <w:tcBorders>
              <w:top w:val="single" w:sz="4" w:space="0" w:color="000000"/>
              <w:left w:val="single" w:sz="4" w:space="0" w:color="000000"/>
              <w:bottom w:val="single" w:sz="4" w:space="0" w:color="000000"/>
              <w:right w:val="single" w:sz="4" w:space="0" w:color="000000"/>
            </w:tcBorders>
            <w:vAlign w:val="bottom"/>
          </w:tcPr>
          <w:p w:rsidR="00F72DBD" w:rsidRDefault="00F72DBD">
            <w:pPr>
              <w:jc w:val="both"/>
              <w:rPr>
                <w:rFonts w:ascii="Arial" w:hAnsi="Arial" w:cs="Arial"/>
                <w:b/>
                <w:sz w:val="22"/>
                <w:szCs w:val="22"/>
                <w:lang w:val="en-IE"/>
              </w:rPr>
            </w:pPr>
            <w:r>
              <w:rPr>
                <w:rFonts w:ascii="Arial" w:hAnsi="Arial" w:cs="Arial"/>
                <w:b/>
                <w:sz w:val="22"/>
                <w:szCs w:val="22"/>
                <w:lang w:val="en-IE"/>
              </w:rPr>
              <w:t>Capital Expenditure</w:t>
            </w:r>
          </w:p>
          <w:p w:rsidR="00F72DBD" w:rsidRDefault="00F72DBD">
            <w:pPr>
              <w:jc w:val="both"/>
              <w:rPr>
                <w:rFonts w:ascii="Arial" w:hAnsi="Arial" w:cs="Arial"/>
                <w:b/>
                <w:sz w:val="22"/>
                <w:szCs w:val="22"/>
                <w:lang w:val="en-IE"/>
              </w:rPr>
            </w:pPr>
          </w:p>
        </w:tc>
      </w:tr>
      <w:tr w:rsidR="00F72DBD" w:rsidTr="00F72DBD">
        <w:tc>
          <w:tcPr>
            <w:tcW w:w="3402" w:type="dxa"/>
            <w:tcBorders>
              <w:top w:val="single" w:sz="4" w:space="0" w:color="000000"/>
              <w:left w:val="single" w:sz="4" w:space="0" w:color="000000"/>
              <w:bottom w:val="single" w:sz="4" w:space="0" w:color="000000"/>
              <w:right w:val="single" w:sz="4" w:space="0" w:color="000000"/>
            </w:tcBorders>
            <w:hideMark/>
          </w:tcPr>
          <w:p w:rsidR="00F72DBD" w:rsidRDefault="00F72DBD">
            <w:pPr>
              <w:rPr>
                <w:rFonts w:ascii="Arial" w:hAnsi="Arial" w:cs="Arial"/>
                <w:sz w:val="22"/>
                <w:szCs w:val="22"/>
                <w:lang w:val="en-IE"/>
              </w:rPr>
            </w:pPr>
            <w:r>
              <w:rPr>
                <w:rFonts w:ascii="Arial" w:hAnsi="Arial" w:cs="Arial"/>
                <w:sz w:val="22"/>
                <w:szCs w:val="22"/>
                <w:lang w:val="en-IE"/>
              </w:rPr>
              <w:t>Class 1: Roads infrastructure &amp; facilities</w:t>
            </w:r>
          </w:p>
        </w:tc>
        <w:tc>
          <w:tcPr>
            <w:tcW w:w="2835" w:type="dxa"/>
            <w:tcBorders>
              <w:top w:val="single" w:sz="4" w:space="0" w:color="000000"/>
              <w:left w:val="single" w:sz="4" w:space="0" w:color="000000"/>
              <w:bottom w:val="single" w:sz="4" w:space="0" w:color="000000"/>
              <w:right w:val="single" w:sz="4" w:space="0" w:color="000000"/>
            </w:tcBorders>
            <w:vAlign w:val="bottom"/>
            <w:hideMark/>
          </w:tcPr>
          <w:p w:rsidR="00F72DBD" w:rsidRDefault="00DE1481" w:rsidP="00DE1481">
            <w:pPr>
              <w:jc w:val="right"/>
              <w:rPr>
                <w:rFonts w:ascii="Calibri" w:hAnsi="Calibri"/>
                <w:color w:val="000000"/>
                <w:sz w:val="22"/>
                <w:szCs w:val="22"/>
              </w:rPr>
            </w:pPr>
            <w:r>
              <w:rPr>
                <w:rFonts w:ascii="Calibri" w:hAnsi="Calibri"/>
                <w:color w:val="000000"/>
                <w:sz w:val="22"/>
                <w:szCs w:val="22"/>
              </w:rPr>
              <w:t>€27,078,456</w:t>
            </w:r>
          </w:p>
        </w:tc>
        <w:tc>
          <w:tcPr>
            <w:tcW w:w="2694" w:type="dxa"/>
            <w:tcBorders>
              <w:top w:val="single" w:sz="4" w:space="0" w:color="000000"/>
              <w:left w:val="single" w:sz="4" w:space="0" w:color="000000"/>
              <w:bottom w:val="single" w:sz="4" w:space="0" w:color="000000"/>
              <w:right w:val="single" w:sz="4" w:space="0" w:color="000000"/>
            </w:tcBorders>
            <w:vAlign w:val="bottom"/>
            <w:hideMark/>
          </w:tcPr>
          <w:p w:rsidR="00F72DBD" w:rsidRDefault="00F72DBD" w:rsidP="00A958DA">
            <w:pPr>
              <w:jc w:val="right"/>
              <w:rPr>
                <w:rFonts w:ascii="Calibri" w:hAnsi="Calibri"/>
                <w:color w:val="000000"/>
                <w:sz w:val="22"/>
                <w:szCs w:val="22"/>
                <w:lang w:eastAsia="en-GB"/>
              </w:rPr>
            </w:pPr>
            <w:r>
              <w:rPr>
                <w:rFonts w:ascii="Calibri" w:hAnsi="Calibri"/>
                <w:color w:val="000000"/>
                <w:sz w:val="22"/>
                <w:szCs w:val="22"/>
                <w:lang w:eastAsia="en-GB"/>
              </w:rPr>
              <w:t xml:space="preserve">     €</w:t>
            </w:r>
            <w:r w:rsidR="00A958DA">
              <w:rPr>
                <w:rFonts w:ascii="Calibri" w:hAnsi="Calibri"/>
                <w:color w:val="000000"/>
                <w:sz w:val="22"/>
                <w:szCs w:val="22"/>
                <w:lang w:eastAsia="en-GB"/>
              </w:rPr>
              <w:t>22,647,145</w:t>
            </w:r>
            <w:r>
              <w:rPr>
                <w:rFonts w:ascii="Calibri" w:hAnsi="Calibri"/>
                <w:color w:val="000000"/>
                <w:sz w:val="22"/>
                <w:szCs w:val="22"/>
                <w:lang w:eastAsia="en-GB"/>
              </w:rPr>
              <w:t xml:space="preserve"> </w:t>
            </w:r>
          </w:p>
        </w:tc>
      </w:tr>
      <w:tr w:rsidR="00F72DBD" w:rsidTr="00571053">
        <w:tc>
          <w:tcPr>
            <w:tcW w:w="3402" w:type="dxa"/>
            <w:tcBorders>
              <w:top w:val="single" w:sz="4" w:space="0" w:color="000000"/>
              <w:left w:val="single" w:sz="4" w:space="0" w:color="000000"/>
              <w:bottom w:val="single" w:sz="4" w:space="0" w:color="000000"/>
              <w:right w:val="single" w:sz="4" w:space="0" w:color="000000"/>
            </w:tcBorders>
            <w:hideMark/>
          </w:tcPr>
          <w:p w:rsidR="00F72DBD" w:rsidRDefault="00F72DBD">
            <w:pPr>
              <w:rPr>
                <w:rFonts w:ascii="Arial" w:hAnsi="Arial" w:cs="Arial"/>
                <w:sz w:val="22"/>
                <w:szCs w:val="22"/>
                <w:lang w:val="en-IE"/>
              </w:rPr>
            </w:pPr>
            <w:r>
              <w:rPr>
                <w:rFonts w:ascii="Arial" w:hAnsi="Arial" w:cs="Arial"/>
                <w:sz w:val="22"/>
                <w:szCs w:val="22"/>
                <w:lang w:val="en-IE"/>
              </w:rPr>
              <w:t>Class 2: Water &amp; Drainage infrastructure &amp; facilities</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2DBD" w:rsidRDefault="002B7154" w:rsidP="002B7154">
            <w:pPr>
              <w:jc w:val="right"/>
              <w:rPr>
                <w:rFonts w:ascii="Calibri" w:hAnsi="Calibri"/>
                <w:color w:val="000000"/>
                <w:sz w:val="22"/>
                <w:szCs w:val="22"/>
              </w:rPr>
            </w:pPr>
            <w:r w:rsidRPr="00571053">
              <w:rPr>
                <w:rFonts w:ascii="Calibri" w:hAnsi="Calibri"/>
                <w:color w:val="000000"/>
                <w:sz w:val="22"/>
                <w:szCs w:val="22"/>
              </w:rPr>
              <w:t>€</w:t>
            </w:r>
            <w:r w:rsidR="00AD1507" w:rsidRPr="00571053">
              <w:rPr>
                <w:rFonts w:ascii="Calibri" w:hAnsi="Calibri"/>
                <w:color w:val="000000"/>
                <w:sz w:val="22"/>
                <w:szCs w:val="22"/>
              </w:rPr>
              <w:t>1,523,164</w:t>
            </w:r>
          </w:p>
        </w:tc>
        <w:tc>
          <w:tcPr>
            <w:tcW w:w="2694" w:type="dxa"/>
            <w:tcBorders>
              <w:top w:val="single" w:sz="4" w:space="0" w:color="000000"/>
              <w:left w:val="single" w:sz="4" w:space="0" w:color="000000"/>
              <w:bottom w:val="single" w:sz="4" w:space="0" w:color="000000"/>
              <w:right w:val="single" w:sz="4" w:space="0" w:color="000000"/>
            </w:tcBorders>
            <w:vAlign w:val="bottom"/>
            <w:hideMark/>
          </w:tcPr>
          <w:p w:rsidR="00F72DBD" w:rsidRDefault="00F72DBD" w:rsidP="00DA0433">
            <w:pPr>
              <w:jc w:val="right"/>
              <w:rPr>
                <w:rFonts w:ascii="Calibri" w:hAnsi="Calibri"/>
                <w:color w:val="000000"/>
                <w:sz w:val="22"/>
                <w:szCs w:val="22"/>
                <w:lang w:eastAsia="en-GB"/>
              </w:rPr>
            </w:pPr>
            <w:r>
              <w:rPr>
                <w:rFonts w:ascii="Calibri" w:hAnsi="Calibri"/>
                <w:color w:val="000000"/>
                <w:sz w:val="22"/>
                <w:szCs w:val="22"/>
                <w:lang w:eastAsia="en-GB"/>
              </w:rPr>
              <w:t xml:space="preserve">      </w:t>
            </w:r>
            <w:r w:rsidR="00DE1481">
              <w:rPr>
                <w:rFonts w:ascii="Calibri" w:hAnsi="Calibri"/>
                <w:color w:val="000000"/>
                <w:sz w:val="22"/>
                <w:szCs w:val="22"/>
                <w:lang w:eastAsia="en-GB"/>
              </w:rPr>
              <w:t>€15,774,926</w:t>
            </w:r>
            <w:r>
              <w:rPr>
                <w:rFonts w:ascii="Calibri" w:hAnsi="Calibri"/>
                <w:color w:val="000000"/>
                <w:sz w:val="22"/>
                <w:szCs w:val="22"/>
                <w:lang w:eastAsia="en-GB"/>
              </w:rPr>
              <w:t xml:space="preserve"> </w:t>
            </w:r>
          </w:p>
        </w:tc>
      </w:tr>
      <w:tr w:rsidR="00F72DBD" w:rsidTr="00F72DBD">
        <w:tc>
          <w:tcPr>
            <w:tcW w:w="3402" w:type="dxa"/>
            <w:tcBorders>
              <w:top w:val="single" w:sz="4" w:space="0" w:color="000000"/>
              <w:left w:val="single" w:sz="4" w:space="0" w:color="000000"/>
              <w:bottom w:val="single" w:sz="4" w:space="0" w:color="000000"/>
              <w:right w:val="single" w:sz="4" w:space="0" w:color="000000"/>
            </w:tcBorders>
            <w:hideMark/>
          </w:tcPr>
          <w:p w:rsidR="00F72DBD" w:rsidRDefault="00F72DBD">
            <w:pPr>
              <w:rPr>
                <w:rFonts w:ascii="Arial" w:hAnsi="Arial" w:cs="Arial"/>
                <w:sz w:val="22"/>
                <w:szCs w:val="22"/>
                <w:lang w:val="en-IE"/>
              </w:rPr>
            </w:pPr>
            <w:r>
              <w:rPr>
                <w:rFonts w:ascii="Arial" w:hAnsi="Arial" w:cs="Arial"/>
                <w:sz w:val="22"/>
                <w:szCs w:val="22"/>
                <w:lang w:val="en-IE"/>
              </w:rPr>
              <w:t>Class 3: Parks &amp; open space facilities &amp; amenities</w:t>
            </w:r>
          </w:p>
        </w:tc>
        <w:tc>
          <w:tcPr>
            <w:tcW w:w="2835" w:type="dxa"/>
            <w:tcBorders>
              <w:top w:val="single" w:sz="4" w:space="0" w:color="000000"/>
              <w:left w:val="single" w:sz="4" w:space="0" w:color="000000"/>
              <w:bottom w:val="single" w:sz="4" w:space="0" w:color="000000"/>
              <w:right w:val="single" w:sz="4" w:space="0" w:color="000000"/>
            </w:tcBorders>
            <w:vAlign w:val="bottom"/>
            <w:hideMark/>
          </w:tcPr>
          <w:p w:rsidR="00F72DBD" w:rsidRDefault="00F72DBD" w:rsidP="00DE1481">
            <w:pPr>
              <w:jc w:val="right"/>
              <w:rPr>
                <w:rFonts w:ascii="Calibri" w:hAnsi="Calibri"/>
                <w:color w:val="000000"/>
                <w:sz w:val="22"/>
                <w:szCs w:val="22"/>
              </w:rPr>
            </w:pPr>
            <w:r>
              <w:rPr>
                <w:rFonts w:ascii="Calibri" w:hAnsi="Calibri"/>
                <w:color w:val="000000"/>
                <w:sz w:val="22"/>
                <w:szCs w:val="22"/>
              </w:rPr>
              <w:t>€</w:t>
            </w:r>
            <w:r w:rsidR="00DE1481">
              <w:rPr>
                <w:rFonts w:ascii="Calibri" w:hAnsi="Calibri"/>
                <w:color w:val="000000"/>
                <w:sz w:val="22"/>
                <w:szCs w:val="22"/>
              </w:rPr>
              <w:t>4,823,350</w:t>
            </w:r>
          </w:p>
        </w:tc>
        <w:tc>
          <w:tcPr>
            <w:tcW w:w="2694" w:type="dxa"/>
            <w:tcBorders>
              <w:top w:val="single" w:sz="4" w:space="0" w:color="000000"/>
              <w:left w:val="single" w:sz="4" w:space="0" w:color="000000"/>
              <w:bottom w:val="single" w:sz="4" w:space="0" w:color="000000"/>
              <w:right w:val="single" w:sz="4" w:space="0" w:color="000000"/>
            </w:tcBorders>
            <w:vAlign w:val="bottom"/>
            <w:hideMark/>
          </w:tcPr>
          <w:p w:rsidR="00F72DBD" w:rsidRDefault="00F72DBD" w:rsidP="00DA5A07">
            <w:pPr>
              <w:jc w:val="right"/>
              <w:rPr>
                <w:rFonts w:ascii="Calibri" w:hAnsi="Calibri"/>
                <w:color w:val="000000"/>
                <w:sz w:val="22"/>
                <w:szCs w:val="22"/>
                <w:lang w:eastAsia="en-GB"/>
              </w:rPr>
            </w:pPr>
            <w:r>
              <w:rPr>
                <w:rFonts w:ascii="Calibri" w:hAnsi="Calibri"/>
                <w:color w:val="000000"/>
                <w:sz w:val="22"/>
                <w:szCs w:val="22"/>
                <w:lang w:eastAsia="en-GB"/>
              </w:rPr>
              <w:t xml:space="preserve">        €</w:t>
            </w:r>
            <w:r w:rsidR="00DA5A07">
              <w:rPr>
                <w:rFonts w:ascii="Calibri" w:hAnsi="Calibri"/>
                <w:color w:val="000000"/>
                <w:sz w:val="22"/>
                <w:szCs w:val="22"/>
                <w:lang w:eastAsia="en-GB"/>
              </w:rPr>
              <w:t>1,725,585</w:t>
            </w:r>
            <w:r>
              <w:rPr>
                <w:rFonts w:ascii="Calibri" w:hAnsi="Calibri"/>
                <w:color w:val="000000"/>
                <w:sz w:val="22"/>
                <w:szCs w:val="22"/>
                <w:lang w:eastAsia="en-GB"/>
              </w:rPr>
              <w:t xml:space="preserve"> </w:t>
            </w:r>
          </w:p>
        </w:tc>
      </w:tr>
      <w:tr w:rsidR="00F72DBD" w:rsidTr="00F72DBD">
        <w:tc>
          <w:tcPr>
            <w:tcW w:w="3402" w:type="dxa"/>
            <w:tcBorders>
              <w:top w:val="single" w:sz="4" w:space="0" w:color="000000"/>
              <w:left w:val="single" w:sz="4" w:space="0" w:color="000000"/>
              <w:bottom w:val="single" w:sz="4" w:space="0" w:color="000000"/>
              <w:right w:val="single" w:sz="4" w:space="0" w:color="000000"/>
            </w:tcBorders>
            <w:hideMark/>
          </w:tcPr>
          <w:p w:rsidR="00F72DBD" w:rsidRDefault="00F72DBD">
            <w:pPr>
              <w:rPr>
                <w:rFonts w:ascii="Arial" w:hAnsi="Arial" w:cs="Arial"/>
                <w:sz w:val="22"/>
                <w:szCs w:val="22"/>
                <w:lang w:val="en-IE"/>
              </w:rPr>
            </w:pPr>
            <w:r>
              <w:rPr>
                <w:rFonts w:ascii="Arial" w:hAnsi="Arial" w:cs="Arial"/>
                <w:sz w:val="22"/>
                <w:szCs w:val="22"/>
                <w:lang w:val="en-IE"/>
              </w:rPr>
              <w:t>Class 4: Community facilities &amp; amenities</w:t>
            </w:r>
          </w:p>
        </w:tc>
        <w:tc>
          <w:tcPr>
            <w:tcW w:w="2835" w:type="dxa"/>
            <w:tcBorders>
              <w:top w:val="single" w:sz="4" w:space="0" w:color="000000"/>
              <w:left w:val="single" w:sz="4" w:space="0" w:color="000000"/>
              <w:bottom w:val="single" w:sz="4" w:space="0" w:color="000000"/>
              <w:right w:val="single" w:sz="4" w:space="0" w:color="000000"/>
            </w:tcBorders>
            <w:vAlign w:val="bottom"/>
            <w:hideMark/>
          </w:tcPr>
          <w:p w:rsidR="00F72DBD" w:rsidRDefault="00DE1481" w:rsidP="00DE1481">
            <w:pPr>
              <w:jc w:val="right"/>
              <w:rPr>
                <w:rFonts w:ascii="Calibri" w:hAnsi="Calibri"/>
                <w:color w:val="000000"/>
                <w:sz w:val="22"/>
                <w:szCs w:val="22"/>
              </w:rPr>
            </w:pPr>
            <w:r>
              <w:rPr>
                <w:rFonts w:ascii="Calibri" w:hAnsi="Calibri"/>
                <w:color w:val="000000"/>
                <w:sz w:val="22"/>
                <w:szCs w:val="22"/>
              </w:rPr>
              <w:t>€</w:t>
            </w:r>
            <w:r w:rsidR="00AD1507">
              <w:rPr>
                <w:rFonts w:ascii="Calibri" w:hAnsi="Calibri"/>
                <w:color w:val="000000"/>
                <w:sz w:val="22"/>
                <w:szCs w:val="22"/>
              </w:rPr>
              <w:t>8,885,118</w:t>
            </w:r>
          </w:p>
        </w:tc>
        <w:tc>
          <w:tcPr>
            <w:tcW w:w="2694" w:type="dxa"/>
            <w:tcBorders>
              <w:top w:val="single" w:sz="4" w:space="0" w:color="000000"/>
              <w:left w:val="single" w:sz="4" w:space="0" w:color="000000"/>
              <w:bottom w:val="single" w:sz="4" w:space="0" w:color="000000"/>
              <w:right w:val="single" w:sz="4" w:space="0" w:color="000000"/>
            </w:tcBorders>
            <w:vAlign w:val="bottom"/>
            <w:hideMark/>
          </w:tcPr>
          <w:p w:rsidR="00F72DBD" w:rsidRDefault="00F72DBD" w:rsidP="009B77F8">
            <w:pPr>
              <w:jc w:val="right"/>
              <w:rPr>
                <w:rFonts w:ascii="Calibri" w:hAnsi="Calibri"/>
                <w:color w:val="000000"/>
                <w:sz w:val="22"/>
                <w:szCs w:val="22"/>
                <w:lang w:eastAsia="en-GB"/>
              </w:rPr>
            </w:pPr>
            <w:r>
              <w:rPr>
                <w:rFonts w:ascii="Calibri" w:hAnsi="Calibri"/>
                <w:color w:val="000000"/>
                <w:sz w:val="22"/>
                <w:szCs w:val="22"/>
                <w:lang w:eastAsia="en-GB"/>
              </w:rPr>
              <w:t xml:space="preserve">        €</w:t>
            </w:r>
            <w:r w:rsidR="009B77F8">
              <w:rPr>
                <w:rFonts w:ascii="Calibri" w:hAnsi="Calibri"/>
                <w:color w:val="000000"/>
                <w:sz w:val="22"/>
                <w:szCs w:val="22"/>
                <w:lang w:eastAsia="en-GB"/>
              </w:rPr>
              <w:t>12</w:t>
            </w:r>
            <w:r w:rsidR="007A0140">
              <w:rPr>
                <w:rFonts w:ascii="Calibri" w:hAnsi="Calibri"/>
                <w:color w:val="000000"/>
                <w:sz w:val="22"/>
                <w:szCs w:val="22"/>
                <w:lang w:eastAsia="en-GB"/>
              </w:rPr>
              <w:t>,</w:t>
            </w:r>
            <w:r w:rsidR="009B77F8">
              <w:rPr>
                <w:rFonts w:ascii="Calibri" w:hAnsi="Calibri"/>
                <w:color w:val="000000"/>
                <w:sz w:val="22"/>
                <w:szCs w:val="22"/>
                <w:lang w:eastAsia="en-GB"/>
              </w:rPr>
              <w:t>446</w:t>
            </w:r>
            <w:r w:rsidR="007A0140">
              <w:rPr>
                <w:rFonts w:ascii="Calibri" w:hAnsi="Calibri"/>
                <w:color w:val="000000"/>
                <w:sz w:val="22"/>
                <w:szCs w:val="22"/>
                <w:lang w:eastAsia="en-GB"/>
              </w:rPr>
              <w:t>,</w:t>
            </w:r>
            <w:r w:rsidR="009B77F8">
              <w:rPr>
                <w:rFonts w:ascii="Calibri" w:hAnsi="Calibri"/>
                <w:color w:val="000000"/>
                <w:sz w:val="22"/>
                <w:szCs w:val="22"/>
                <w:lang w:eastAsia="en-GB"/>
              </w:rPr>
              <w:t>250</w:t>
            </w:r>
            <w:r>
              <w:rPr>
                <w:rFonts w:ascii="Calibri" w:hAnsi="Calibri"/>
                <w:color w:val="000000"/>
                <w:sz w:val="22"/>
                <w:szCs w:val="22"/>
                <w:lang w:eastAsia="en-GB"/>
              </w:rPr>
              <w:t xml:space="preserve"> </w:t>
            </w:r>
          </w:p>
        </w:tc>
      </w:tr>
      <w:tr w:rsidR="00F72DBD" w:rsidTr="00DA5A07">
        <w:tc>
          <w:tcPr>
            <w:tcW w:w="3402" w:type="dxa"/>
            <w:tcBorders>
              <w:top w:val="single" w:sz="4" w:space="0" w:color="000000"/>
              <w:left w:val="single" w:sz="4" w:space="0" w:color="000000"/>
              <w:bottom w:val="single" w:sz="4" w:space="0" w:color="000000"/>
              <w:right w:val="single" w:sz="4" w:space="0" w:color="000000"/>
            </w:tcBorders>
          </w:tcPr>
          <w:p w:rsidR="00F72DBD" w:rsidRPr="00F72DBD" w:rsidRDefault="00F72DBD">
            <w:pPr>
              <w:rPr>
                <w:rFonts w:ascii="Arial" w:hAnsi="Arial" w:cs="Arial"/>
                <w:color w:val="FF0000"/>
                <w:sz w:val="22"/>
                <w:szCs w:val="22"/>
                <w:lang w:val="en-IE"/>
              </w:rPr>
            </w:pPr>
          </w:p>
        </w:tc>
        <w:tc>
          <w:tcPr>
            <w:tcW w:w="2835" w:type="dxa"/>
            <w:tcBorders>
              <w:top w:val="single" w:sz="4" w:space="0" w:color="000000"/>
              <w:left w:val="single" w:sz="4" w:space="0" w:color="000000"/>
              <w:bottom w:val="single" w:sz="4" w:space="0" w:color="000000"/>
              <w:right w:val="single" w:sz="4" w:space="0" w:color="000000"/>
            </w:tcBorders>
            <w:vAlign w:val="bottom"/>
          </w:tcPr>
          <w:p w:rsidR="00F72DBD" w:rsidRPr="00F72DBD" w:rsidRDefault="00F72DBD">
            <w:pPr>
              <w:jc w:val="right"/>
              <w:rPr>
                <w:rFonts w:ascii="Calibri" w:hAnsi="Calibri"/>
                <w:color w:val="FF0000"/>
                <w:sz w:val="22"/>
                <w:szCs w:val="22"/>
              </w:rPr>
            </w:pPr>
          </w:p>
        </w:tc>
        <w:tc>
          <w:tcPr>
            <w:tcW w:w="2694" w:type="dxa"/>
            <w:tcBorders>
              <w:top w:val="single" w:sz="4" w:space="0" w:color="000000"/>
              <w:left w:val="single" w:sz="4" w:space="0" w:color="000000"/>
              <w:bottom w:val="single" w:sz="4" w:space="0" w:color="000000"/>
              <w:right w:val="single" w:sz="4" w:space="0" w:color="000000"/>
            </w:tcBorders>
            <w:vAlign w:val="bottom"/>
          </w:tcPr>
          <w:p w:rsidR="00F72DBD" w:rsidRPr="00F72DBD" w:rsidRDefault="00F72DBD">
            <w:pPr>
              <w:jc w:val="right"/>
              <w:rPr>
                <w:rFonts w:ascii="Calibri" w:hAnsi="Calibri"/>
                <w:color w:val="FF0000"/>
                <w:sz w:val="22"/>
                <w:szCs w:val="22"/>
                <w:lang w:eastAsia="en-GB"/>
              </w:rPr>
            </w:pPr>
          </w:p>
        </w:tc>
      </w:tr>
      <w:tr w:rsidR="00F72DBD" w:rsidTr="00F72DBD">
        <w:tc>
          <w:tcPr>
            <w:tcW w:w="3402" w:type="dxa"/>
            <w:tcBorders>
              <w:top w:val="single" w:sz="4" w:space="0" w:color="000000"/>
              <w:left w:val="single" w:sz="4" w:space="0" w:color="000000"/>
              <w:bottom w:val="single" w:sz="4" w:space="0" w:color="000000"/>
              <w:right w:val="single" w:sz="4" w:space="0" w:color="000000"/>
            </w:tcBorders>
          </w:tcPr>
          <w:p w:rsidR="00F72DBD" w:rsidRDefault="00DE1481">
            <w:pPr>
              <w:jc w:val="both"/>
              <w:rPr>
                <w:rFonts w:ascii="Arial" w:hAnsi="Arial" w:cs="Arial"/>
                <w:sz w:val="22"/>
                <w:szCs w:val="22"/>
                <w:lang w:val="en-IE"/>
              </w:rPr>
            </w:pPr>
            <w:r>
              <w:rPr>
                <w:rFonts w:ascii="Arial" w:hAnsi="Arial" w:cs="Arial"/>
                <w:sz w:val="22"/>
                <w:szCs w:val="22"/>
                <w:lang w:val="en-IE"/>
              </w:rPr>
              <w:t>Total</w:t>
            </w:r>
          </w:p>
        </w:tc>
        <w:tc>
          <w:tcPr>
            <w:tcW w:w="2835" w:type="dxa"/>
            <w:tcBorders>
              <w:top w:val="single" w:sz="4" w:space="0" w:color="000000"/>
              <w:left w:val="single" w:sz="4" w:space="0" w:color="000000"/>
              <w:bottom w:val="single" w:sz="4" w:space="0" w:color="000000"/>
              <w:right w:val="single" w:sz="4" w:space="0" w:color="000000"/>
            </w:tcBorders>
            <w:vAlign w:val="bottom"/>
            <w:hideMark/>
          </w:tcPr>
          <w:p w:rsidR="00F72DBD" w:rsidRPr="00C20C67" w:rsidRDefault="00F72DBD" w:rsidP="00C20C67">
            <w:pPr>
              <w:jc w:val="right"/>
              <w:rPr>
                <w:rFonts w:ascii="Calibri" w:hAnsi="Calibri"/>
                <w:b/>
                <w:color w:val="000000"/>
                <w:sz w:val="22"/>
                <w:szCs w:val="22"/>
              </w:rPr>
            </w:pPr>
            <w:r w:rsidRPr="00C20C67">
              <w:rPr>
                <w:rFonts w:ascii="Calibri" w:hAnsi="Calibri"/>
                <w:b/>
                <w:color w:val="000000"/>
                <w:sz w:val="22"/>
                <w:szCs w:val="22"/>
              </w:rPr>
              <w:t>€</w:t>
            </w:r>
            <w:r w:rsidR="00C20C67">
              <w:rPr>
                <w:rFonts w:ascii="Calibri" w:hAnsi="Calibri"/>
                <w:b/>
                <w:color w:val="000000"/>
                <w:sz w:val="22"/>
                <w:szCs w:val="22"/>
              </w:rPr>
              <w:t>42,310,088</w:t>
            </w:r>
          </w:p>
        </w:tc>
        <w:tc>
          <w:tcPr>
            <w:tcW w:w="2694" w:type="dxa"/>
            <w:tcBorders>
              <w:top w:val="single" w:sz="4" w:space="0" w:color="000000"/>
              <w:left w:val="single" w:sz="4" w:space="0" w:color="000000"/>
              <w:bottom w:val="single" w:sz="4" w:space="0" w:color="000000"/>
              <w:right w:val="single" w:sz="4" w:space="0" w:color="000000"/>
            </w:tcBorders>
            <w:vAlign w:val="bottom"/>
            <w:hideMark/>
          </w:tcPr>
          <w:p w:rsidR="00F72DBD" w:rsidRPr="00992581" w:rsidRDefault="00F72DBD" w:rsidP="00992581">
            <w:pPr>
              <w:jc w:val="right"/>
              <w:rPr>
                <w:rFonts w:ascii="Calibri" w:hAnsi="Calibri"/>
                <w:b/>
                <w:color w:val="000000"/>
                <w:sz w:val="22"/>
                <w:szCs w:val="22"/>
                <w:lang w:eastAsia="en-GB"/>
              </w:rPr>
            </w:pPr>
            <w:r w:rsidRPr="00992581">
              <w:rPr>
                <w:rFonts w:ascii="Calibri" w:hAnsi="Calibri"/>
                <w:b/>
                <w:color w:val="000000"/>
                <w:sz w:val="22"/>
                <w:szCs w:val="22"/>
                <w:lang w:eastAsia="en-GB"/>
              </w:rPr>
              <w:t xml:space="preserve">      </w:t>
            </w:r>
            <w:r w:rsidR="00992581" w:rsidRPr="00992581">
              <w:rPr>
                <w:rFonts w:ascii="Calibri" w:hAnsi="Calibri"/>
                <w:b/>
                <w:color w:val="000000"/>
                <w:sz w:val="22"/>
                <w:szCs w:val="22"/>
                <w:lang w:eastAsia="en-GB"/>
              </w:rPr>
              <w:t>€43,699,514</w:t>
            </w:r>
            <w:r w:rsidRPr="00992581">
              <w:rPr>
                <w:rFonts w:ascii="Calibri" w:hAnsi="Calibri"/>
                <w:b/>
                <w:color w:val="000000"/>
                <w:sz w:val="22"/>
                <w:szCs w:val="22"/>
                <w:lang w:eastAsia="en-GB"/>
              </w:rPr>
              <w:t xml:space="preserve"> </w:t>
            </w:r>
          </w:p>
        </w:tc>
      </w:tr>
    </w:tbl>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 xml:space="preserve">In order to determine eligible costs for the Draft Scheme each relevant Department of </w:t>
      </w:r>
      <w:r w:rsidR="006B2AC0">
        <w:rPr>
          <w:rFonts w:ascii="Arial" w:hAnsi="Arial" w:cs="Arial"/>
          <w:sz w:val="22"/>
          <w:szCs w:val="22"/>
          <w:lang w:val="en-IE"/>
        </w:rPr>
        <w:t xml:space="preserve">the </w:t>
      </w:r>
      <w:r>
        <w:rPr>
          <w:rFonts w:ascii="Arial" w:hAnsi="Arial" w:cs="Arial"/>
          <w:sz w:val="22"/>
          <w:szCs w:val="22"/>
          <w:lang w:val="en-IE"/>
        </w:rPr>
        <w:t xml:space="preserve"> Council provided cost details of projects which it projected will proceed during the period </w:t>
      </w:r>
      <w:r w:rsidR="00571053">
        <w:rPr>
          <w:rFonts w:ascii="Arial" w:hAnsi="Arial" w:cs="Arial"/>
          <w:sz w:val="22"/>
          <w:szCs w:val="22"/>
          <w:lang w:val="en-IE"/>
        </w:rPr>
        <w:t>of the Draft Scheme totalling € 182.8</w:t>
      </w:r>
      <w:r>
        <w:rPr>
          <w:rFonts w:ascii="Arial" w:hAnsi="Arial" w:cs="Arial"/>
          <w:sz w:val="22"/>
          <w:szCs w:val="22"/>
          <w:lang w:val="en-IE"/>
        </w:rPr>
        <w:t xml:space="preserve">m. Adjustments were made to reflect the opening position, and the costs were reduced to reflect the existing user benefit discount. This </w:t>
      </w:r>
      <w:r w:rsidR="00571053">
        <w:rPr>
          <w:rFonts w:ascii="Arial" w:hAnsi="Arial" w:cs="Arial"/>
          <w:sz w:val="22"/>
          <w:szCs w:val="22"/>
          <w:lang w:val="en-IE"/>
        </w:rPr>
        <w:t>resulted in eligible costs of €</w:t>
      </w:r>
      <w:r w:rsidR="00095B78">
        <w:rPr>
          <w:rFonts w:ascii="Arial" w:hAnsi="Arial" w:cs="Arial"/>
          <w:sz w:val="22"/>
          <w:szCs w:val="22"/>
          <w:lang w:val="en-IE"/>
        </w:rPr>
        <w:t>108.7</w:t>
      </w:r>
      <w:r w:rsidR="00571053">
        <w:rPr>
          <w:rFonts w:ascii="Arial" w:hAnsi="Arial" w:cs="Arial"/>
          <w:sz w:val="22"/>
          <w:szCs w:val="22"/>
          <w:lang w:val="en-IE"/>
        </w:rPr>
        <w:t xml:space="preserve"> </w:t>
      </w:r>
      <w:r>
        <w:rPr>
          <w:rFonts w:ascii="Arial" w:hAnsi="Arial" w:cs="Arial"/>
          <w:sz w:val="22"/>
          <w:szCs w:val="22"/>
          <w:lang w:val="en-IE"/>
        </w:rPr>
        <w:t>m being identified (see Appendix1).</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 xml:space="preserve">The status of permissions granted was examined and an assessment of the overall quantum of available zoned lands and an estimation of the potential capacity of these lands was undertaken by the Planning Department in order to determine the projected level of development likely to occur during the lifetime of the Draft Scheme. The projected number of social housing units including those units likely to be provided under Part V and those provided by voluntary and co-operative housing bodies were excluded from the quantum of residential development identified for the purpose of the Draft Scheme as they are exempt from Development Contributions. </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While the economic analysis provided by the consultants indicates improving conditions it also highlights the fragile nature of the recovery and that any change in variable costs could have a negative effec</w:t>
      </w:r>
      <w:r w:rsidR="006B2AC0">
        <w:rPr>
          <w:rFonts w:ascii="Arial" w:hAnsi="Arial" w:cs="Arial"/>
          <w:sz w:val="22"/>
          <w:szCs w:val="22"/>
          <w:lang w:val="en-IE"/>
        </w:rPr>
        <w:t xml:space="preserve">t on development activity. The </w:t>
      </w:r>
      <w:r>
        <w:rPr>
          <w:rFonts w:ascii="Arial" w:hAnsi="Arial" w:cs="Arial"/>
          <w:sz w:val="22"/>
          <w:szCs w:val="22"/>
          <w:lang w:val="en-IE"/>
        </w:rPr>
        <w:t xml:space="preserve">Council is mindful of the need to ensure the correct balance is struck 'between the funding of public infrastructure and the need to encourage economic activity and promote sustainable development patterns' (Development Contributions - Guidelines for Planning Authorities, DOECLG). </w:t>
      </w:r>
    </w:p>
    <w:p w:rsidR="00095B78" w:rsidRDefault="00095B78" w:rsidP="00F72DBD">
      <w:pPr>
        <w:jc w:val="both"/>
        <w:rPr>
          <w:rFonts w:ascii="Arial" w:hAnsi="Arial" w:cs="Arial"/>
          <w:sz w:val="22"/>
          <w:szCs w:val="22"/>
          <w:lang w:val="en-IE"/>
        </w:rPr>
      </w:pPr>
    </w:p>
    <w:p w:rsidR="00095B78" w:rsidRDefault="00095B78" w:rsidP="00F72DBD">
      <w:pPr>
        <w:jc w:val="both"/>
        <w:rPr>
          <w:rFonts w:ascii="Arial" w:hAnsi="Arial" w:cs="Arial"/>
          <w:sz w:val="22"/>
          <w:szCs w:val="22"/>
          <w:lang w:val="en-IE"/>
        </w:rPr>
      </w:pPr>
      <w:r>
        <w:rPr>
          <w:rFonts w:ascii="Arial" w:hAnsi="Arial" w:cs="Arial"/>
          <w:sz w:val="22"/>
          <w:szCs w:val="22"/>
          <w:lang w:val="en-IE"/>
        </w:rPr>
        <w:t>A comparative analysis of the rates charged by Local Authorities in the Dublin Area has indicated that South Dublin County Councils existing development contribution for non-residential, i.e. commercial and industrial development, at €78 /sqm is the highest rate in the Metropolitan Area.  In order that the rate does not act as a dis-incentive for this type of development in South Dublin it is proposed to reduce the rate in the new scheme to €75/sqm.</w:t>
      </w:r>
    </w:p>
    <w:p w:rsidR="00095B78" w:rsidRDefault="00095B78"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Accordingly the rates proposed in the Draft Scheme a</w:t>
      </w:r>
      <w:r w:rsidR="00095B78">
        <w:rPr>
          <w:rFonts w:ascii="Arial" w:hAnsi="Arial" w:cs="Arial"/>
          <w:sz w:val="22"/>
          <w:szCs w:val="22"/>
          <w:lang w:val="en-IE"/>
        </w:rPr>
        <w:t>re as follows</w:t>
      </w:r>
      <w:r>
        <w:rPr>
          <w:rFonts w:ascii="Arial" w:hAnsi="Arial" w:cs="Arial"/>
          <w:sz w:val="22"/>
          <w:szCs w:val="22"/>
          <w:lang w:val="en-IE"/>
        </w:rPr>
        <w:t>:</w:t>
      </w:r>
      <w:r w:rsidR="00095B78">
        <w:rPr>
          <w:rFonts w:ascii="Arial" w:hAnsi="Arial" w:cs="Arial"/>
          <w:sz w:val="22"/>
          <w:szCs w:val="22"/>
          <w:lang w:val="en-IE"/>
        </w:rPr>
        <w:t>-</w:t>
      </w:r>
    </w:p>
    <w:p w:rsidR="00F72DBD" w:rsidRDefault="00F72DBD" w:rsidP="00F72DBD">
      <w:pPr>
        <w:jc w:val="both"/>
        <w:rPr>
          <w:rFonts w:ascii="Arial" w:hAnsi="Arial" w:cs="Arial"/>
          <w:sz w:val="22"/>
          <w:szCs w:val="22"/>
          <w:lang w:val="en-IE"/>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00"/>
        <w:gridCol w:w="2700"/>
      </w:tblGrid>
      <w:tr w:rsidR="00F72DBD" w:rsidRPr="00921E95" w:rsidTr="00197DEC">
        <w:tc>
          <w:tcPr>
            <w:tcW w:w="3600" w:type="dxa"/>
            <w:tcBorders>
              <w:top w:val="single" w:sz="4" w:space="0" w:color="000000"/>
              <w:left w:val="single" w:sz="4" w:space="0" w:color="000000"/>
              <w:bottom w:val="single" w:sz="4" w:space="0" w:color="000000"/>
              <w:right w:val="single" w:sz="4" w:space="0" w:color="000000"/>
            </w:tcBorders>
            <w:shd w:val="clear" w:color="auto" w:fill="auto"/>
            <w:hideMark/>
          </w:tcPr>
          <w:p w:rsidR="00F72DBD" w:rsidRPr="00197DEC" w:rsidRDefault="00F72DBD">
            <w:pPr>
              <w:jc w:val="both"/>
              <w:rPr>
                <w:rFonts w:ascii="Arial" w:hAnsi="Arial" w:cs="Arial"/>
                <w:sz w:val="22"/>
                <w:szCs w:val="22"/>
                <w:lang w:val="en-IE"/>
              </w:rPr>
            </w:pPr>
            <w:r w:rsidRPr="00197DEC">
              <w:rPr>
                <w:rFonts w:ascii="Arial" w:hAnsi="Arial" w:cs="Arial"/>
                <w:sz w:val="22"/>
                <w:szCs w:val="22"/>
                <w:lang w:val="en-IE"/>
              </w:rPr>
              <w:t>Residential</w:t>
            </w:r>
          </w:p>
        </w:tc>
        <w:tc>
          <w:tcPr>
            <w:tcW w:w="2700" w:type="dxa"/>
            <w:tcBorders>
              <w:top w:val="single" w:sz="4" w:space="0" w:color="000000"/>
              <w:left w:val="single" w:sz="4" w:space="0" w:color="000000"/>
              <w:bottom w:val="single" w:sz="4" w:space="0" w:color="000000"/>
              <w:right w:val="single" w:sz="4" w:space="0" w:color="000000"/>
            </w:tcBorders>
            <w:shd w:val="clear" w:color="auto" w:fill="auto"/>
            <w:hideMark/>
          </w:tcPr>
          <w:p w:rsidR="00F72DBD" w:rsidRPr="00197DEC" w:rsidRDefault="00F72DBD">
            <w:pPr>
              <w:jc w:val="both"/>
              <w:rPr>
                <w:rFonts w:ascii="Arial" w:hAnsi="Arial" w:cs="Arial"/>
                <w:sz w:val="22"/>
                <w:szCs w:val="22"/>
                <w:lang w:val="en-IE"/>
              </w:rPr>
            </w:pPr>
            <w:r w:rsidRPr="00197DEC">
              <w:rPr>
                <w:rFonts w:ascii="Arial" w:hAnsi="Arial" w:cs="Arial"/>
                <w:sz w:val="22"/>
                <w:szCs w:val="22"/>
                <w:lang w:val="en-IE"/>
              </w:rPr>
              <w:t>Industrial/Commercial</w:t>
            </w:r>
          </w:p>
        </w:tc>
      </w:tr>
      <w:tr w:rsidR="00F72DBD" w:rsidTr="00197DEC">
        <w:tc>
          <w:tcPr>
            <w:tcW w:w="3600" w:type="dxa"/>
            <w:tcBorders>
              <w:top w:val="single" w:sz="4" w:space="0" w:color="000000"/>
              <w:left w:val="single" w:sz="4" w:space="0" w:color="000000"/>
              <w:bottom w:val="single" w:sz="4" w:space="0" w:color="000000"/>
              <w:right w:val="single" w:sz="4" w:space="0" w:color="000000"/>
            </w:tcBorders>
            <w:shd w:val="clear" w:color="auto" w:fill="auto"/>
            <w:hideMark/>
          </w:tcPr>
          <w:p w:rsidR="00F72DBD" w:rsidRPr="00197DEC" w:rsidRDefault="00197DEC">
            <w:pPr>
              <w:jc w:val="both"/>
              <w:rPr>
                <w:rFonts w:ascii="Arial" w:hAnsi="Arial" w:cs="Arial"/>
                <w:sz w:val="22"/>
                <w:szCs w:val="22"/>
                <w:lang w:val="en-IE"/>
              </w:rPr>
            </w:pPr>
            <w:r w:rsidRPr="00197DEC">
              <w:rPr>
                <w:rFonts w:ascii="Arial" w:hAnsi="Arial" w:cs="Arial"/>
                <w:sz w:val="22"/>
                <w:szCs w:val="22"/>
                <w:lang w:val="en-IE"/>
              </w:rPr>
              <w:t>€85.06</w:t>
            </w:r>
            <w:r w:rsidR="00F72DBD" w:rsidRPr="00197DEC">
              <w:rPr>
                <w:rFonts w:ascii="Arial" w:hAnsi="Arial" w:cs="Arial"/>
                <w:sz w:val="22"/>
                <w:szCs w:val="22"/>
                <w:lang w:val="en-IE"/>
              </w:rPr>
              <w:t xml:space="preserve"> new build &amp; extensions in excess of 40sqm</w:t>
            </w:r>
          </w:p>
        </w:tc>
        <w:tc>
          <w:tcPr>
            <w:tcW w:w="2700" w:type="dxa"/>
            <w:tcBorders>
              <w:top w:val="single" w:sz="4" w:space="0" w:color="000000"/>
              <w:left w:val="single" w:sz="4" w:space="0" w:color="000000"/>
              <w:bottom w:val="single" w:sz="4" w:space="0" w:color="000000"/>
              <w:right w:val="single" w:sz="4" w:space="0" w:color="000000"/>
            </w:tcBorders>
            <w:shd w:val="clear" w:color="auto" w:fill="auto"/>
            <w:hideMark/>
          </w:tcPr>
          <w:p w:rsidR="00F72DBD" w:rsidRPr="00197DEC" w:rsidRDefault="006B2AC0">
            <w:pPr>
              <w:jc w:val="both"/>
              <w:rPr>
                <w:rFonts w:ascii="Arial" w:hAnsi="Arial" w:cs="Arial"/>
                <w:sz w:val="22"/>
                <w:szCs w:val="22"/>
                <w:lang w:val="en-IE"/>
              </w:rPr>
            </w:pPr>
            <w:r w:rsidRPr="00197DEC">
              <w:rPr>
                <w:rFonts w:ascii="Arial" w:hAnsi="Arial" w:cs="Arial"/>
                <w:sz w:val="22"/>
                <w:szCs w:val="22"/>
                <w:lang w:val="en-IE"/>
              </w:rPr>
              <w:t xml:space="preserve"> </w:t>
            </w:r>
            <w:r w:rsidR="00197DEC" w:rsidRPr="00197DEC">
              <w:rPr>
                <w:rFonts w:ascii="Arial" w:hAnsi="Arial" w:cs="Arial"/>
                <w:sz w:val="22"/>
                <w:szCs w:val="22"/>
                <w:lang w:val="en-IE"/>
              </w:rPr>
              <w:t>€75.0</w:t>
            </w:r>
            <w:r w:rsidR="00F72DBD" w:rsidRPr="00197DEC">
              <w:rPr>
                <w:rFonts w:ascii="Arial" w:hAnsi="Arial" w:cs="Arial"/>
                <w:sz w:val="22"/>
                <w:szCs w:val="22"/>
                <w:lang w:val="en-IE"/>
              </w:rPr>
              <w:t xml:space="preserve"> per sq</w:t>
            </w:r>
            <w:r w:rsidR="00197DEC" w:rsidRPr="00197DEC">
              <w:rPr>
                <w:rFonts w:ascii="Arial" w:hAnsi="Arial" w:cs="Arial"/>
                <w:sz w:val="22"/>
                <w:szCs w:val="22"/>
                <w:lang w:val="en-IE"/>
              </w:rPr>
              <w:t xml:space="preserve">. </w:t>
            </w:r>
            <w:r w:rsidR="00F72DBD" w:rsidRPr="00197DEC">
              <w:rPr>
                <w:rFonts w:ascii="Arial" w:hAnsi="Arial" w:cs="Arial"/>
                <w:sz w:val="22"/>
                <w:szCs w:val="22"/>
                <w:lang w:val="en-IE"/>
              </w:rPr>
              <w:t>m</w:t>
            </w:r>
          </w:p>
        </w:tc>
      </w:tr>
    </w:tbl>
    <w:p w:rsidR="00F72DBD" w:rsidRDefault="00F72DBD" w:rsidP="00F72DBD">
      <w:pPr>
        <w:jc w:val="both"/>
        <w:rPr>
          <w:rFonts w:ascii="Arial" w:hAnsi="Arial" w:cs="Arial"/>
          <w:sz w:val="22"/>
          <w:szCs w:val="22"/>
          <w:lang w:val="en-IE"/>
        </w:rPr>
      </w:pPr>
    </w:p>
    <w:p w:rsidR="00197DEC" w:rsidRDefault="00197DEC"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 xml:space="preserve">Under the Draft Scheme it </w:t>
      </w:r>
      <w:r w:rsidR="00A85E7F">
        <w:rPr>
          <w:rFonts w:ascii="Arial" w:hAnsi="Arial" w:cs="Arial"/>
          <w:sz w:val="22"/>
          <w:szCs w:val="22"/>
          <w:lang w:val="en-IE"/>
        </w:rPr>
        <w:t>is proposed to hold the</w:t>
      </w:r>
      <w:r>
        <w:rPr>
          <w:rFonts w:ascii="Arial" w:hAnsi="Arial" w:cs="Arial"/>
          <w:sz w:val="22"/>
          <w:szCs w:val="22"/>
          <w:lang w:val="en-IE"/>
        </w:rPr>
        <w:t xml:space="preserve"> </w:t>
      </w:r>
      <w:r w:rsidR="00A85E7F">
        <w:rPr>
          <w:rFonts w:ascii="Arial" w:hAnsi="Arial" w:cs="Arial"/>
          <w:sz w:val="22"/>
          <w:szCs w:val="22"/>
          <w:lang w:val="en-IE"/>
        </w:rPr>
        <w:t xml:space="preserve">proposed </w:t>
      </w:r>
      <w:r>
        <w:rPr>
          <w:rFonts w:ascii="Arial" w:hAnsi="Arial" w:cs="Arial"/>
          <w:sz w:val="22"/>
          <w:szCs w:val="22"/>
          <w:lang w:val="en-IE"/>
        </w:rPr>
        <w:t xml:space="preserve">rates at least until the end of </w:t>
      </w:r>
      <w:r w:rsidRPr="00197DEC">
        <w:rPr>
          <w:rFonts w:ascii="Arial" w:hAnsi="Arial" w:cs="Arial"/>
          <w:sz w:val="22"/>
          <w:szCs w:val="22"/>
          <w:lang w:val="en-IE"/>
        </w:rPr>
        <w:t>201</w:t>
      </w:r>
      <w:r w:rsidR="00197DEC" w:rsidRPr="00197DEC">
        <w:rPr>
          <w:rFonts w:ascii="Arial" w:hAnsi="Arial" w:cs="Arial"/>
          <w:sz w:val="22"/>
          <w:szCs w:val="22"/>
          <w:lang w:val="en-IE"/>
        </w:rPr>
        <w:t>7</w:t>
      </w:r>
      <w:r>
        <w:rPr>
          <w:rFonts w:ascii="Arial" w:hAnsi="Arial" w:cs="Arial"/>
          <w:sz w:val="22"/>
          <w:szCs w:val="22"/>
          <w:lang w:val="en-IE"/>
        </w:rPr>
        <w:t xml:space="preserve"> in order to provide certainty to the market and stimulate the supply of development. It also provides that indexation may be applied for the remainder of the Scheme in accordance with the Society of Chartered Surveyors of Ireland Construction Tender Price Index. </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b/>
          <w:sz w:val="22"/>
          <w:szCs w:val="22"/>
          <w:u w:val="single"/>
          <w:lang w:val="en-IE"/>
        </w:rPr>
      </w:pPr>
    </w:p>
    <w:p w:rsidR="00F72DBD" w:rsidRPr="003846D7" w:rsidRDefault="00F72DBD" w:rsidP="00F72DBD">
      <w:pPr>
        <w:jc w:val="both"/>
        <w:rPr>
          <w:rFonts w:ascii="Arial" w:hAnsi="Arial" w:cs="Arial"/>
          <w:b/>
          <w:sz w:val="22"/>
          <w:szCs w:val="22"/>
          <w:u w:val="single"/>
          <w:lang w:val="en-IE"/>
        </w:rPr>
      </w:pPr>
      <w:r w:rsidRPr="003846D7">
        <w:rPr>
          <w:rFonts w:ascii="Arial" w:hAnsi="Arial" w:cs="Arial"/>
          <w:b/>
          <w:sz w:val="22"/>
          <w:szCs w:val="22"/>
          <w:u w:val="single"/>
          <w:lang w:val="en-IE"/>
        </w:rPr>
        <w:t>Main differences between the 2013-2015 Scheme and the Draft Scheme 2016-2020</w:t>
      </w:r>
    </w:p>
    <w:p w:rsidR="00F72DBD" w:rsidRPr="003846D7" w:rsidRDefault="00F72DBD" w:rsidP="00F72DBD">
      <w:pPr>
        <w:rPr>
          <w:rFonts w:ascii="Arial" w:hAnsi="Arial" w:cs="Arial"/>
          <w:b/>
          <w:szCs w:val="24"/>
          <w:u w:val="single"/>
        </w:rPr>
      </w:pPr>
    </w:p>
    <w:p w:rsidR="00F72DBD" w:rsidRPr="003846D7" w:rsidRDefault="00F72DBD" w:rsidP="00F72DBD">
      <w:pPr>
        <w:jc w:val="both"/>
        <w:rPr>
          <w:rFonts w:ascii="Arial" w:hAnsi="Arial" w:cs="Arial"/>
          <w:sz w:val="22"/>
          <w:szCs w:val="22"/>
          <w:u w:val="single"/>
          <w:lang w:val="en-IE"/>
        </w:rPr>
      </w:pPr>
      <w:r w:rsidRPr="003846D7">
        <w:rPr>
          <w:rFonts w:ascii="Arial" w:hAnsi="Arial" w:cs="Arial"/>
          <w:sz w:val="22"/>
          <w:szCs w:val="22"/>
          <w:u w:val="single"/>
          <w:lang w:val="en-IE"/>
        </w:rPr>
        <w:t>Class 2</w:t>
      </w:r>
    </w:p>
    <w:p w:rsidR="003846D7" w:rsidRPr="003846D7" w:rsidRDefault="00F72DBD" w:rsidP="00F72DBD">
      <w:pPr>
        <w:jc w:val="both"/>
        <w:rPr>
          <w:rFonts w:ascii="Arial" w:hAnsi="Arial" w:cs="Arial"/>
          <w:sz w:val="22"/>
          <w:szCs w:val="22"/>
          <w:lang w:val="en-IE"/>
        </w:rPr>
      </w:pPr>
      <w:r w:rsidRPr="003846D7">
        <w:rPr>
          <w:rFonts w:ascii="Arial" w:hAnsi="Arial" w:cs="Arial"/>
          <w:sz w:val="22"/>
          <w:szCs w:val="22"/>
          <w:lang w:val="en-IE"/>
        </w:rPr>
        <w:t xml:space="preserve">The Draft Scheme proposes </w:t>
      </w:r>
      <w:r w:rsidR="003846D7" w:rsidRPr="003846D7">
        <w:rPr>
          <w:rFonts w:ascii="Arial" w:hAnsi="Arial" w:cs="Arial"/>
          <w:sz w:val="22"/>
          <w:szCs w:val="22"/>
          <w:lang w:val="en-IE"/>
        </w:rPr>
        <w:t>that Class 2 be renamed 'Surface water &amp; Environment</w:t>
      </w:r>
      <w:r w:rsidRPr="003846D7">
        <w:rPr>
          <w:rFonts w:ascii="Arial" w:hAnsi="Arial" w:cs="Arial"/>
          <w:sz w:val="22"/>
          <w:szCs w:val="22"/>
          <w:lang w:val="en-IE"/>
        </w:rPr>
        <w:t xml:space="preserve"> infrastructure &amp; facilities' on account of the transfer of the water infrastructure to Irish Water.</w:t>
      </w:r>
      <w:r w:rsidR="00197DEC" w:rsidRPr="003846D7">
        <w:rPr>
          <w:rFonts w:ascii="Arial" w:hAnsi="Arial" w:cs="Arial"/>
          <w:sz w:val="22"/>
          <w:szCs w:val="22"/>
          <w:lang w:val="en-IE"/>
        </w:rPr>
        <w:t xml:space="preserve"> </w:t>
      </w:r>
    </w:p>
    <w:p w:rsidR="003846D7" w:rsidRPr="003846D7" w:rsidRDefault="003846D7" w:rsidP="00F72DBD">
      <w:pPr>
        <w:jc w:val="both"/>
        <w:rPr>
          <w:rFonts w:ascii="Arial" w:hAnsi="Arial" w:cs="Arial"/>
          <w:sz w:val="22"/>
          <w:szCs w:val="22"/>
          <w:lang w:val="en-IE"/>
        </w:rPr>
      </w:pPr>
    </w:p>
    <w:p w:rsidR="00F72DBD" w:rsidRPr="003846D7" w:rsidRDefault="00197DEC" w:rsidP="00F72DBD">
      <w:pPr>
        <w:jc w:val="both"/>
        <w:rPr>
          <w:rFonts w:ascii="Arial" w:hAnsi="Arial" w:cs="Arial"/>
          <w:sz w:val="22"/>
          <w:szCs w:val="22"/>
          <w:lang w:val="en-IE"/>
        </w:rPr>
      </w:pPr>
      <w:r w:rsidRPr="003846D7">
        <w:rPr>
          <w:rFonts w:ascii="Arial" w:hAnsi="Arial" w:cs="Arial"/>
          <w:sz w:val="22"/>
          <w:szCs w:val="22"/>
          <w:lang w:val="en-IE"/>
        </w:rPr>
        <w:t>ADDITION OF CLASS 5</w:t>
      </w:r>
    </w:p>
    <w:p w:rsidR="003846D7" w:rsidRPr="003846D7" w:rsidRDefault="003846D7" w:rsidP="00F72DBD">
      <w:pPr>
        <w:jc w:val="both"/>
        <w:rPr>
          <w:rFonts w:ascii="Arial" w:hAnsi="Arial" w:cs="Arial"/>
          <w:sz w:val="22"/>
          <w:szCs w:val="22"/>
          <w:lang w:val="en-IE"/>
        </w:rPr>
      </w:pPr>
      <w:r w:rsidRPr="003846D7">
        <w:rPr>
          <w:rFonts w:ascii="Arial" w:hAnsi="Arial" w:cs="Arial"/>
          <w:sz w:val="22"/>
          <w:szCs w:val="22"/>
          <w:lang w:val="en-IE"/>
        </w:rPr>
        <w:t>An additional fifth class (i.e. Class 5) has been added to the scheme to generate funding specifically for Economic, Enterprise and Tourism related infrastructure.  Funding for construction of new Libraries is also included in this class</w:t>
      </w:r>
    </w:p>
    <w:p w:rsidR="00F72DBD" w:rsidRDefault="00F72DBD" w:rsidP="00F72DBD">
      <w:pPr>
        <w:rPr>
          <w:rFonts w:ascii="Arial" w:hAnsi="Arial" w:cs="Arial"/>
          <w:color w:val="000000"/>
          <w:szCs w:val="24"/>
          <w:u w:val="single"/>
        </w:rPr>
      </w:pPr>
    </w:p>
    <w:p w:rsidR="00F72DBD" w:rsidRDefault="00F72DBD" w:rsidP="00F72DBD">
      <w:pPr>
        <w:rPr>
          <w:rFonts w:ascii="Arial" w:hAnsi="Arial" w:cs="Arial"/>
          <w:color w:val="000000"/>
          <w:szCs w:val="24"/>
          <w:u w:val="single"/>
        </w:rPr>
      </w:pPr>
      <w:r>
        <w:rPr>
          <w:rFonts w:ascii="Arial" w:hAnsi="Arial" w:cs="Arial"/>
          <w:color w:val="000000"/>
          <w:szCs w:val="24"/>
          <w:u w:val="single"/>
        </w:rPr>
        <w:t>% Contribution Allocation</w:t>
      </w:r>
    </w:p>
    <w:p w:rsidR="00F72DBD" w:rsidRDefault="00F72DBD" w:rsidP="00F72DBD">
      <w:pPr>
        <w:rPr>
          <w:rFonts w:ascii="Arial" w:hAnsi="Arial" w:cs="Arial"/>
          <w:color w:val="000000"/>
          <w:szCs w:val="24"/>
        </w:rPr>
      </w:pPr>
      <w:r>
        <w:rPr>
          <w:rFonts w:ascii="Arial" w:hAnsi="Arial" w:cs="Arial"/>
          <w:color w:val="000000"/>
          <w:szCs w:val="24"/>
        </w:rPr>
        <w:t>The % of contributions to be allocated to the different classes of infrastructure has been adjusted in the Draft Scheme.</w:t>
      </w:r>
    </w:p>
    <w:p w:rsidR="00F72DBD" w:rsidRDefault="00F72DBD" w:rsidP="00F72DBD">
      <w:pPr>
        <w:rPr>
          <w:rFonts w:ascii="Arial" w:hAnsi="Arial" w:cs="Arial"/>
          <w:color w:val="000000"/>
          <w:szCs w:val="24"/>
        </w:rPr>
      </w:pPr>
    </w:p>
    <w:p w:rsidR="001506BF" w:rsidRPr="001506BF" w:rsidRDefault="001506BF" w:rsidP="00F72DBD">
      <w:pPr>
        <w:rPr>
          <w:rFonts w:ascii="Arial" w:hAnsi="Arial" w:cs="Arial"/>
          <w:b/>
          <w:color w:val="000000"/>
          <w:szCs w:val="24"/>
        </w:rPr>
      </w:pPr>
      <w:r>
        <w:rPr>
          <w:rFonts w:ascii="Arial" w:hAnsi="Arial" w:cs="Arial"/>
          <w:color w:val="000000"/>
          <w:szCs w:val="24"/>
        </w:rPr>
        <w:tab/>
      </w:r>
      <w:r w:rsidRPr="001506BF">
        <w:rPr>
          <w:rFonts w:ascii="Arial" w:hAnsi="Arial" w:cs="Arial"/>
          <w:b/>
          <w:color w:val="000000"/>
          <w:szCs w:val="24"/>
        </w:rPr>
        <w:t>Existing 2010 – 2017 Scheme</w:t>
      </w:r>
    </w:p>
    <w:p w:rsidR="001506BF" w:rsidRDefault="001506BF" w:rsidP="00F72DBD">
      <w:pPr>
        <w:rPr>
          <w:rFonts w:ascii="Arial" w:hAnsi="Arial" w:cs="Arial"/>
          <w:color w:val="000000"/>
          <w:szCs w:val="24"/>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2"/>
        <w:gridCol w:w="1559"/>
      </w:tblGrid>
      <w:tr w:rsidR="001506BF" w:rsidTr="001506BF">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pPr>
              <w:jc w:val="both"/>
              <w:rPr>
                <w:rFonts w:ascii="Arial" w:hAnsi="Arial" w:cs="Arial"/>
                <w:sz w:val="22"/>
                <w:szCs w:val="22"/>
                <w:lang w:val="en-IE"/>
              </w:rPr>
            </w:pPr>
            <w:r>
              <w:rPr>
                <w:rFonts w:ascii="Arial" w:hAnsi="Arial" w:cs="Arial"/>
                <w:sz w:val="22"/>
                <w:szCs w:val="22"/>
                <w:lang w:val="en-IE"/>
              </w:rPr>
              <w:t>Infrastructure Class</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1506BF" w:rsidRDefault="001506BF">
            <w:pPr>
              <w:rPr>
                <w:rFonts w:ascii="Calibri" w:hAnsi="Calibri"/>
                <w:color w:val="000000"/>
                <w:sz w:val="22"/>
                <w:szCs w:val="22"/>
              </w:rPr>
            </w:pPr>
            <w:r>
              <w:rPr>
                <w:rFonts w:ascii="Calibri" w:hAnsi="Calibri"/>
                <w:color w:val="000000"/>
                <w:sz w:val="22"/>
                <w:szCs w:val="22"/>
              </w:rPr>
              <w:t>Current levy allocation 2013-2015</w:t>
            </w:r>
          </w:p>
        </w:tc>
      </w:tr>
      <w:tr w:rsidR="001506BF" w:rsidTr="00197DEC">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pPr>
              <w:rPr>
                <w:rFonts w:ascii="Arial" w:hAnsi="Arial" w:cs="Arial"/>
                <w:sz w:val="22"/>
                <w:szCs w:val="22"/>
                <w:lang w:val="en-IE"/>
              </w:rPr>
            </w:pPr>
            <w:r>
              <w:rPr>
                <w:rFonts w:ascii="Arial" w:hAnsi="Arial" w:cs="Arial"/>
                <w:sz w:val="22"/>
                <w:szCs w:val="22"/>
                <w:lang w:val="en-IE"/>
              </w:rPr>
              <w:t>Class 1: Roads infrastructure &amp; facilities</w:t>
            </w:r>
          </w:p>
          <w:p w:rsidR="001506BF" w:rsidRDefault="001506BF">
            <w:pPr>
              <w:rPr>
                <w:rFonts w:ascii="Arial" w:hAnsi="Arial" w:cs="Arial"/>
                <w:sz w:val="22"/>
                <w:szCs w:val="22"/>
                <w:lang w:val="en-IE"/>
              </w:rPr>
            </w:pP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1506BF">
            <w:pPr>
              <w:jc w:val="right"/>
              <w:rPr>
                <w:rFonts w:ascii="Calibri" w:hAnsi="Calibri"/>
                <w:color w:val="000000"/>
                <w:sz w:val="22"/>
                <w:szCs w:val="22"/>
              </w:rPr>
            </w:pPr>
            <w:r>
              <w:rPr>
                <w:rFonts w:ascii="Calibri" w:hAnsi="Calibri"/>
                <w:color w:val="000000"/>
                <w:sz w:val="22"/>
                <w:szCs w:val="22"/>
              </w:rPr>
              <w:t>63.99%</w:t>
            </w:r>
          </w:p>
        </w:tc>
      </w:tr>
      <w:tr w:rsidR="001506BF" w:rsidTr="00197DEC">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pPr>
              <w:rPr>
                <w:rFonts w:ascii="Arial" w:hAnsi="Arial" w:cs="Arial"/>
                <w:sz w:val="22"/>
                <w:szCs w:val="22"/>
                <w:lang w:val="en-IE"/>
              </w:rPr>
            </w:pPr>
            <w:r>
              <w:rPr>
                <w:rFonts w:ascii="Arial" w:hAnsi="Arial" w:cs="Arial"/>
                <w:sz w:val="22"/>
                <w:szCs w:val="22"/>
                <w:lang w:val="en-IE"/>
              </w:rPr>
              <w:t>Class 2:  Water &amp; Drainage infrastructure &amp; facilities</w:t>
            </w: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1506BF">
            <w:pPr>
              <w:jc w:val="right"/>
              <w:rPr>
                <w:rFonts w:ascii="Calibri" w:hAnsi="Calibri"/>
                <w:color w:val="000000"/>
                <w:sz w:val="22"/>
                <w:szCs w:val="22"/>
              </w:rPr>
            </w:pPr>
            <w:r>
              <w:rPr>
                <w:rFonts w:ascii="Calibri" w:hAnsi="Calibri"/>
                <w:color w:val="000000"/>
                <w:sz w:val="22"/>
                <w:szCs w:val="22"/>
              </w:rPr>
              <w:t>3.64%</w:t>
            </w:r>
          </w:p>
        </w:tc>
      </w:tr>
      <w:tr w:rsidR="001506BF" w:rsidTr="00197DEC">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rsidP="001506BF">
            <w:pPr>
              <w:rPr>
                <w:rFonts w:ascii="Arial" w:hAnsi="Arial" w:cs="Arial"/>
                <w:sz w:val="22"/>
                <w:szCs w:val="22"/>
                <w:lang w:val="en-IE"/>
              </w:rPr>
            </w:pPr>
            <w:r>
              <w:rPr>
                <w:rFonts w:ascii="Arial" w:hAnsi="Arial" w:cs="Arial"/>
                <w:sz w:val="22"/>
                <w:szCs w:val="22"/>
                <w:lang w:val="en-IE"/>
              </w:rPr>
              <w:t xml:space="preserve">Class 3: Community facilities &amp; amenities </w:t>
            </w: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1506BF">
            <w:pPr>
              <w:jc w:val="right"/>
              <w:rPr>
                <w:rFonts w:ascii="Calibri" w:hAnsi="Calibri"/>
                <w:color w:val="000000"/>
                <w:sz w:val="22"/>
                <w:szCs w:val="22"/>
              </w:rPr>
            </w:pPr>
            <w:r>
              <w:rPr>
                <w:rFonts w:ascii="Calibri" w:hAnsi="Calibri"/>
                <w:color w:val="000000"/>
                <w:sz w:val="22"/>
                <w:szCs w:val="22"/>
              </w:rPr>
              <w:t>20.97%</w:t>
            </w:r>
          </w:p>
        </w:tc>
      </w:tr>
      <w:tr w:rsidR="001506BF" w:rsidTr="00197DEC">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rsidP="001506BF">
            <w:pPr>
              <w:rPr>
                <w:rFonts w:ascii="Arial" w:hAnsi="Arial" w:cs="Arial"/>
                <w:sz w:val="22"/>
                <w:szCs w:val="22"/>
                <w:lang w:val="en-IE"/>
              </w:rPr>
            </w:pPr>
            <w:r>
              <w:rPr>
                <w:rFonts w:ascii="Arial" w:hAnsi="Arial" w:cs="Arial"/>
                <w:sz w:val="22"/>
                <w:szCs w:val="22"/>
                <w:lang w:val="en-IE"/>
              </w:rPr>
              <w:t>Class 4: Parks &amp; open space facilities &amp; amenities</w:t>
            </w: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1506BF">
            <w:pPr>
              <w:jc w:val="right"/>
              <w:rPr>
                <w:rFonts w:ascii="Calibri" w:hAnsi="Calibri"/>
                <w:color w:val="000000"/>
                <w:sz w:val="22"/>
                <w:szCs w:val="22"/>
              </w:rPr>
            </w:pPr>
            <w:r>
              <w:rPr>
                <w:rFonts w:ascii="Calibri" w:hAnsi="Calibri"/>
                <w:color w:val="000000"/>
                <w:sz w:val="22"/>
                <w:szCs w:val="22"/>
              </w:rPr>
              <w:t>11.4%</w:t>
            </w:r>
          </w:p>
        </w:tc>
      </w:tr>
    </w:tbl>
    <w:p w:rsidR="00F72DBD" w:rsidRDefault="00F72DBD" w:rsidP="00F72DBD">
      <w:pPr>
        <w:rPr>
          <w:rFonts w:ascii="Arial" w:hAnsi="Arial" w:cs="Arial"/>
          <w:color w:val="000000"/>
          <w:szCs w:val="24"/>
        </w:rPr>
      </w:pPr>
    </w:p>
    <w:p w:rsidR="001506BF" w:rsidRDefault="001506BF" w:rsidP="00F72DBD">
      <w:pPr>
        <w:rPr>
          <w:rFonts w:ascii="Arial" w:hAnsi="Arial" w:cs="Arial"/>
          <w:color w:val="000000"/>
          <w:szCs w:val="24"/>
        </w:rPr>
      </w:pPr>
    </w:p>
    <w:p w:rsidR="001506BF" w:rsidRPr="001506BF" w:rsidRDefault="001506BF" w:rsidP="001506BF">
      <w:pPr>
        <w:rPr>
          <w:rFonts w:ascii="Arial" w:hAnsi="Arial" w:cs="Arial"/>
          <w:b/>
          <w:color w:val="000000"/>
          <w:szCs w:val="24"/>
        </w:rPr>
      </w:pPr>
      <w:r>
        <w:rPr>
          <w:rFonts w:ascii="Arial" w:hAnsi="Arial" w:cs="Arial"/>
          <w:color w:val="000000"/>
          <w:szCs w:val="24"/>
        </w:rPr>
        <w:tab/>
      </w:r>
      <w:r>
        <w:rPr>
          <w:rFonts w:ascii="Arial" w:hAnsi="Arial" w:cs="Arial"/>
          <w:b/>
          <w:color w:val="000000"/>
          <w:szCs w:val="24"/>
        </w:rPr>
        <w:t>Proposed  2016</w:t>
      </w:r>
      <w:r w:rsidRPr="001506BF">
        <w:rPr>
          <w:rFonts w:ascii="Arial" w:hAnsi="Arial" w:cs="Arial"/>
          <w:b/>
          <w:color w:val="000000"/>
          <w:szCs w:val="24"/>
        </w:rPr>
        <w:t xml:space="preserve"> –</w:t>
      </w:r>
      <w:r>
        <w:rPr>
          <w:rFonts w:ascii="Arial" w:hAnsi="Arial" w:cs="Arial"/>
          <w:b/>
          <w:color w:val="000000"/>
          <w:szCs w:val="24"/>
        </w:rPr>
        <w:t xml:space="preserve"> 2022</w:t>
      </w:r>
      <w:r w:rsidRPr="001506BF">
        <w:rPr>
          <w:rFonts w:ascii="Arial" w:hAnsi="Arial" w:cs="Arial"/>
          <w:b/>
          <w:color w:val="000000"/>
          <w:szCs w:val="24"/>
        </w:rPr>
        <w:t xml:space="preserve"> Scheme</w:t>
      </w:r>
    </w:p>
    <w:p w:rsidR="001506BF" w:rsidRDefault="001506BF" w:rsidP="001506BF">
      <w:pPr>
        <w:rPr>
          <w:rFonts w:ascii="Arial" w:hAnsi="Arial" w:cs="Arial"/>
          <w:color w:val="000000"/>
          <w:szCs w:val="24"/>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2"/>
        <w:gridCol w:w="1559"/>
      </w:tblGrid>
      <w:tr w:rsidR="001506BF" w:rsidTr="00366983">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rsidP="00366983">
            <w:pPr>
              <w:jc w:val="both"/>
              <w:rPr>
                <w:rFonts w:ascii="Arial" w:hAnsi="Arial" w:cs="Arial"/>
                <w:sz w:val="22"/>
                <w:szCs w:val="22"/>
                <w:lang w:val="en-IE"/>
              </w:rPr>
            </w:pPr>
            <w:r>
              <w:rPr>
                <w:rFonts w:ascii="Arial" w:hAnsi="Arial" w:cs="Arial"/>
                <w:sz w:val="22"/>
                <w:szCs w:val="22"/>
                <w:lang w:val="en-IE"/>
              </w:rPr>
              <w:t>Infrastructure Class</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1506BF" w:rsidRDefault="00954441" w:rsidP="00366983">
            <w:pPr>
              <w:rPr>
                <w:rFonts w:ascii="Calibri" w:hAnsi="Calibri"/>
                <w:color w:val="000000"/>
                <w:sz w:val="22"/>
                <w:szCs w:val="22"/>
              </w:rPr>
            </w:pPr>
            <w:r>
              <w:rPr>
                <w:rFonts w:ascii="Calibri" w:hAnsi="Calibri"/>
                <w:color w:val="000000"/>
                <w:sz w:val="22"/>
                <w:szCs w:val="22"/>
              </w:rPr>
              <w:t>Proposed levy allocation 2016-2022</w:t>
            </w:r>
          </w:p>
        </w:tc>
      </w:tr>
      <w:tr w:rsidR="001506BF" w:rsidTr="00366983">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rsidP="00366983">
            <w:pPr>
              <w:rPr>
                <w:rFonts w:ascii="Arial" w:hAnsi="Arial" w:cs="Arial"/>
                <w:sz w:val="22"/>
                <w:szCs w:val="22"/>
                <w:lang w:val="en-IE"/>
              </w:rPr>
            </w:pPr>
            <w:r>
              <w:rPr>
                <w:rFonts w:ascii="Arial" w:hAnsi="Arial" w:cs="Arial"/>
                <w:sz w:val="22"/>
                <w:szCs w:val="22"/>
                <w:lang w:val="en-IE"/>
              </w:rPr>
              <w:t>Class 1: Roads infrastructure &amp; facilities</w:t>
            </w:r>
          </w:p>
          <w:p w:rsidR="001506BF" w:rsidRDefault="001506BF" w:rsidP="00366983">
            <w:pPr>
              <w:rPr>
                <w:rFonts w:ascii="Arial" w:hAnsi="Arial" w:cs="Arial"/>
                <w:sz w:val="22"/>
                <w:szCs w:val="22"/>
                <w:lang w:val="en-IE"/>
              </w:rPr>
            </w:pP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095B78" w:rsidP="00366983">
            <w:pPr>
              <w:jc w:val="right"/>
              <w:rPr>
                <w:rFonts w:ascii="Calibri" w:hAnsi="Calibri"/>
                <w:color w:val="000000"/>
                <w:sz w:val="22"/>
                <w:szCs w:val="22"/>
              </w:rPr>
            </w:pPr>
            <w:r>
              <w:rPr>
                <w:rFonts w:ascii="Calibri" w:hAnsi="Calibri"/>
                <w:color w:val="000000"/>
                <w:sz w:val="22"/>
                <w:szCs w:val="22"/>
              </w:rPr>
              <w:t>25.0</w:t>
            </w:r>
            <w:r w:rsidR="001506BF">
              <w:rPr>
                <w:rFonts w:ascii="Calibri" w:hAnsi="Calibri"/>
                <w:color w:val="000000"/>
                <w:sz w:val="22"/>
                <w:szCs w:val="22"/>
              </w:rPr>
              <w:t>%</w:t>
            </w:r>
          </w:p>
        </w:tc>
      </w:tr>
      <w:tr w:rsidR="001506BF" w:rsidTr="00366983">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rsidP="00366983">
            <w:pPr>
              <w:rPr>
                <w:rFonts w:ascii="Arial" w:hAnsi="Arial" w:cs="Arial"/>
                <w:sz w:val="22"/>
                <w:szCs w:val="22"/>
                <w:lang w:val="en-IE"/>
              </w:rPr>
            </w:pPr>
            <w:r>
              <w:rPr>
                <w:rFonts w:ascii="Arial" w:hAnsi="Arial" w:cs="Arial"/>
                <w:sz w:val="22"/>
                <w:szCs w:val="22"/>
                <w:lang w:val="en-IE"/>
              </w:rPr>
              <w:t>Class 2:  Surface Water &amp; Environment infrastructure &amp; facilities</w:t>
            </w: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157EA0" w:rsidP="00366983">
            <w:pPr>
              <w:jc w:val="right"/>
              <w:rPr>
                <w:rFonts w:ascii="Calibri" w:hAnsi="Calibri"/>
                <w:color w:val="000000"/>
                <w:sz w:val="22"/>
                <w:szCs w:val="22"/>
              </w:rPr>
            </w:pPr>
            <w:r>
              <w:rPr>
                <w:rFonts w:ascii="Calibri" w:hAnsi="Calibri"/>
                <w:color w:val="000000"/>
                <w:sz w:val="22"/>
                <w:szCs w:val="22"/>
              </w:rPr>
              <w:t>15</w:t>
            </w:r>
            <w:r w:rsidR="00095B78">
              <w:rPr>
                <w:rFonts w:ascii="Calibri" w:hAnsi="Calibri"/>
                <w:color w:val="000000"/>
                <w:sz w:val="22"/>
                <w:szCs w:val="22"/>
              </w:rPr>
              <w:t>.4</w:t>
            </w:r>
            <w:r w:rsidR="001506BF">
              <w:rPr>
                <w:rFonts w:ascii="Calibri" w:hAnsi="Calibri"/>
                <w:color w:val="000000"/>
                <w:sz w:val="22"/>
                <w:szCs w:val="22"/>
              </w:rPr>
              <w:t>%</w:t>
            </w:r>
          </w:p>
        </w:tc>
      </w:tr>
      <w:tr w:rsidR="001506BF" w:rsidTr="00366983">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rsidP="00366983">
            <w:pPr>
              <w:rPr>
                <w:rFonts w:ascii="Arial" w:hAnsi="Arial" w:cs="Arial"/>
                <w:sz w:val="22"/>
                <w:szCs w:val="22"/>
                <w:lang w:val="en-IE"/>
              </w:rPr>
            </w:pPr>
            <w:r>
              <w:rPr>
                <w:rFonts w:ascii="Arial" w:hAnsi="Arial" w:cs="Arial"/>
                <w:sz w:val="22"/>
                <w:szCs w:val="22"/>
                <w:lang w:val="en-IE"/>
              </w:rPr>
              <w:t xml:space="preserve">Class 3: Community facilities &amp; amenities </w:t>
            </w:r>
          </w:p>
          <w:p w:rsidR="00095B78" w:rsidRDefault="00095B78" w:rsidP="00366983">
            <w:pPr>
              <w:rPr>
                <w:rFonts w:ascii="Arial" w:hAnsi="Arial" w:cs="Arial"/>
                <w:sz w:val="22"/>
                <w:szCs w:val="22"/>
                <w:lang w:val="en-IE"/>
              </w:rPr>
            </w:pP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095B78" w:rsidP="00366983">
            <w:pPr>
              <w:jc w:val="right"/>
              <w:rPr>
                <w:rFonts w:ascii="Calibri" w:hAnsi="Calibri"/>
                <w:color w:val="000000"/>
                <w:sz w:val="22"/>
                <w:szCs w:val="22"/>
              </w:rPr>
            </w:pPr>
            <w:r>
              <w:rPr>
                <w:rFonts w:ascii="Calibri" w:hAnsi="Calibri"/>
                <w:color w:val="000000"/>
                <w:sz w:val="22"/>
                <w:szCs w:val="22"/>
              </w:rPr>
              <w:t>27.6</w:t>
            </w:r>
            <w:r w:rsidR="001506BF">
              <w:rPr>
                <w:rFonts w:ascii="Calibri" w:hAnsi="Calibri"/>
                <w:color w:val="000000"/>
                <w:sz w:val="22"/>
                <w:szCs w:val="22"/>
              </w:rPr>
              <w:t>%</w:t>
            </w:r>
          </w:p>
        </w:tc>
      </w:tr>
      <w:tr w:rsidR="001506BF" w:rsidTr="00366983">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rsidP="00366983">
            <w:pPr>
              <w:rPr>
                <w:rFonts w:ascii="Arial" w:hAnsi="Arial" w:cs="Arial"/>
                <w:sz w:val="22"/>
                <w:szCs w:val="22"/>
                <w:lang w:val="en-IE"/>
              </w:rPr>
            </w:pPr>
            <w:r>
              <w:rPr>
                <w:rFonts w:ascii="Arial" w:hAnsi="Arial" w:cs="Arial"/>
                <w:sz w:val="22"/>
                <w:szCs w:val="22"/>
                <w:lang w:val="en-IE"/>
              </w:rPr>
              <w:t>Class 4: Parks &amp; open space facilities &amp; amenities</w:t>
            </w: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095B78" w:rsidP="00366983">
            <w:pPr>
              <w:jc w:val="right"/>
              <w:rPr>
                <w:rFonts w:ascii="Calibri" w:hAnsi="Calibri"/>
                <w:color w:val="000000"/>
                <w:sz w:val="22"/>
                <w:szCs w:val="22"/>
              </w:rPr>
            </w:pPr>
            <w:r>
              <w:rPr>
                <w:rFonts w:ascii="Calibri" w:hAnsi="Calibri"/>
                <w:color w:val="000000"/>
                <w:sz w:val="22"/>
                <w:szCs w:val="22"/>
              </w:rPr>
              <w:t>9.8</w:t>
            </w:r>
            <w:r w:rsidR="001506BF">
              <w:rPr>
                <w:rFonts w:ascii="Calibri" w:hAnsi="Calibri"/>
                <w:color w:val="000000"/>
                <w:sz w:val="22"/>
                <w:szCs w:val="22"/>
              </w:rPr>
              <w:t>%</w:t>
            </w:r>
          </w:p>
        </w:tc>
      </w:tr>
      <w:tr w:rsidR="001506BF" w:rsidTr="001506BF">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rsidP="00366983">
            <w:pPr>
              <w:rPr>
                <w:rFonts w:ascii="Arial" w:hAnsi="Arial" w:cs="Arial"/>
                <w:sz w:val="22"/>
                <w:szCs w:val="22"/>
                <w:lang w:val="en-IE"/>
              </w:rPr>
            </w:pPr>
            <w:r>
              <w:rPr>
                <w:rFonts w:ascii="Arial" w:hAnsi="Arial" w:cs="Arial"/>
                <w:sz w:val="22"/>
                <w:szCs w:val="22"/>
                <w:lang w:val="en-IE"/>
              </w:rPr>
              <w:t>Class 5: Economic, Enterprise &amp; tourism facilities &amp; amenities, including libraries</w:t>
            </w: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157EA0" w:rsidP="00366983">
            <w:pPr>
              <w:jc w:val="right"/>
              <w:rPr>
                <w:rFonts w:ascii="Calibri" w:hAnsi="Calibri"/>
                <w:color w:val="000000"/>
                <w:sz w:val="22"/>
                <w:szCs w:val="22"/>
              </w:rPr>
            </w:pPr>
            <w:r>
              <w:rPr>
                <w:rFonts w:ascii="Calibri" w:hAnsi="Calibri"/>
                <w:color w:val="000000"/>
                <w:sz w:val="22"/>
                <w:szCs w:val="22"/>
              </w:rPr>
              <w:t>22</w:t>
            </w:r>
            <w:r w:rsidR="00095B78">
              <w:rPr>
                <w:rFonts w:ascii="Calibri" w:hAnsi="Calibri"/>
                <w:color w:val="000000"/>
                <w:sz w:val="22"/>
                <w:szCs w:val="22"/>
              </w:rPr>
              <w:t>.2</w:t>
            </w:r>
            <w:r w:rsidR="001506BF">
              <w:rPr>
                <w:rFonts w:ascii="Calibri" w:hAnsi="Calibri"/>
                <w:color w:val="000000"/>
                <w:sz w:val="22"/>
                <w:szCs w:val="22"/>
              </w:rPr>
              <w:t>%</w:t>
            </w:r>
          </w:p>
        </w:tc>
      </w:tr>
    </w:tbl>
    <w:p w:rsidR="001506BF" w:rsidRDefault="001506BF" w:rsidP="00F72DBD">
      <w:pPr>
        <w:rPr>
          <w:rFonts w:ascii="Arial" w:hAnsi="Arial" w:cs="Arial"/>
          <w:color w:val="000000"/>
          <w:szCs w:val="24"/>
        </w:rPr>
      </w:pPr>
    </w:p>
    <w:p w:rsidR="001506BF" w:rsidRDefault="001506BF" w:rsidP="00F72DBD">
      <w:pPr>
        <w:rPr>
          <w:rFonts w:ascii="Arial" w:hAnsi="Arial" w:cs="Arial"/>
          <w:color w:val="000000"/>
          <w:szCs w:val="24"/>
        </w:rPr>
      </w:pPr>
    </w:p>
    <w:p w:rsidR="001506BF" w:rsidRDefault="001506BF" w:rsidP="00F72DBD">
      <w:pPr>
        <w:rPr>
          <w:rFonts w:ascii="Arial" w:hAnsi="Arial" w:cs="Arial"/>
          <w:color w:val="000000"/>
          <w:szCs w:val="24"/>
        </w:rPr>
      </w:pPr>
    </w:p>
    <w:p w:rsidR="001506BF" w:rsidRDefault="001506BF" w:rsidP="00F72DBD">
      <w:pPr>
        <w:rPr>
          <w:rFonts w:ascii="Arial" w:hAnsi="Arial" w:cs="Arial"/>
          <w:color w:val="000000"/>
          <w:szCs w:val="24"/>
        </w:rPr>
      </w:pPr>
    </w:p>
    <w:p w:rsidR="001506BF" w:rsidRDefault="001506BF" w:rsidP="00F72DBD">
      <w:pPr>
        <w:rPr>
          <w:rFonts w:ascii="Arial" w:hAnsi="Arial" w:cs="Arial"/>
          <w:color w:val="000000"/>
          <w:szCs w:val="24"/>
        </w:rPr>
      </w:pPr>
    </w:p>
    <w:p w:rsidR="00F72DBD" w:rsidRDefault="00F72DBD" w:rsidP="00F72DBD">
      <w:pPr>
        <w:rPr>
          <w:rFonts w:ascii="Arial" w:hAnsi="Arial" w:cs="Arial"/>
          <w:color w:val="000000"/>
          <w:szCs w:val="24"/>
        </w:rPr>
      </w:pPr>
      <w:r>
        <w:rPr>
          <w:rFonts w:ascii="Arial" w:hAnsi="Arial" w:cs="Arial"/>
          <w:color w:val="000000"/>
          <w:szCs w:val="24"/>
        </w:rPr>
        <w:t xml:space="preserve">Reason:- to reflect the % of eligible costs per class. </w:t>
      </w:r>
    </w:p>
    <w:p w:rsidR="00F72DBD" w:rsidRDefault="00F72DBD" w:rsidP="00F72DBD">
      <w:pPr>
        <w:rPr>
          <w:rFonts w:ascii="Arial" w:hAnsi="Arial" w:cs="Arial"/>
          <w:color w:val="000000"/>
          <w:szCs w:val="24"/>
        </w:rPr>
      </w:pPr>
    </w:p>
    <w:p w:rsidR="00F72DBD" w:rsidRPr="00197DEC" w:rsidRDefault="00F72DBD" w:rsidP="00F72DBD">
      <w:pPr>
        <w:rPr>
          <w:rFonts w:ascii="Arial" w:hAnsi="Arial" w:cs="Arial"/>
          <w:color w:val="000000"/>
          <w:szCs w:val="24"/>
          <w:u w:val="single"/>
        </w:rPr>
      </w:pPr>
      <w:r w:rsidRPr="00197DEC">
        <w:rPr>
          <w:rFonts w:ascii="Arial" w:hAnsi="Arial" w:cs="Arial"/>
          <w:color w:val="000000"/>
          <w:szCs w:val="24"/>
          <w:u w:val="single"/>
        </w:rPr>
        <w:t>Hospitals</w:t>
      </w:r>
    </w:p>
    <w:p w:rsidR="00F72DBD" w:rsidRPr="00197DEC" w:rsidRDefault="00F72DBD" w:rsidP="00F72DBD">
      <w:pPr>
        <w:rPr>
          <w:rFonts w:ascii="Arial" w:hAnsi="Arial" w:cs="Arial"/>
          <w:color w:val="000000"/>
          <w:szCs w:val="24"/>
        </w:rPr>
      </w:pPr>
      <w:r w:rsidRPr="00197DEC">
        <w:rPr>
          <w:rFonts w:ascii="Arial" w:hAnsi="Arial" w:cs="Arial"/>
          <w:color w:val="000000"/>
          <w:szCs w:val="24"/>
        </w:rPr>
        <w:t xml:space="preserve">Currently clarification is provided that ‘Hospitals and similar developments’ will not be exempt. The Draft Scheme further clarifies this by stating </w:t>
      </w:r>
    </w:p>
    <w:p w:rsidR="00F72DBD" w:rsidRPr="00197DEC" w:rsidRDefault="00F72DBD" w:rsidP="00F72DBD">
      <w:pPr>
        <w:rPr>
          <w:rFonts w:ascii="Arial" w:hAnsi="Arial" w:cs="Arial"/>
          <w:color w:val="000000"/>
          <w:szCs w:val="24"/>
        </w:rPr>
      </w:pPr>
      <w:r w:rsidRPr="00197DEC">
        <w:rPr>
          <w:rFonts w:ascii="Arial" w:hAnsi="Arial" w:cs="Arial"/>
          <w:color w:val="000000"/>
          <w:szCs w:val="24"/>
        </w:rPr>
        <w:t xml:space="preserve">‘Hospitals, medical facilities, primary care centres and similar developments including any ancillary buildings’ will not be exempt. </w:t>
      </w:r>
    </w:p>
    <w:p w:rsidR="00F72DBD" w:rsidRDefault="00F72DBD" w:rsidP="00F72DBD">
      <w:pPr>
        <w:rPr>
          <w:rFonts w:ascii="Arial" w:hAnsi="Arial" w:cs="Arial"/>
          <w:color w:val="000000"/>
          <w:szCs w:val="24"/>
        </w:rPr>
      </w:pPr>
      <w:r w:rsidRPr="00197DEC">
        <w:rPr>
          <w:rFonts w:ascii="Arial" w:hAnsi="Arial" w:cs="Arial"/>
          <w:color w:val="000000"/>
          <w:szCs w:val="24"/>
        </w:rPr>
        <w:t>Reason:- to bring clarity.</w:t>
      </w:r>
    </w:p>
    <w:p w:rsidR="00F72DBD" w:rsidRDefault="00F72DBD" w:rsidP="00F72DBD">
      <w:pPr>
        <w:rPr>
          <w:rFonts w:ascii="Arial" w:hAnsi="Arial" w:cs="Arial"/>
          <w:color w:val="000000"/>
          <w:szCs w:val="24"/>
        </w:rPr>
      </w:pPr>
    </w:p>
    <w:p w:rsidR="00F72DBD" w:rsidRDefault="00F72DBD" w:rsidP="00F72DBD">
      <w:pPr>
        <w:rPr>
          <w:rFonts w:ascii="Arial" w:hAnsi="Arial" w:cs="Arial"/>
          <w:color w:val="000000"/>
          <w:szCs w:val="24"/>
          <w:u w:val="single"/>
        </w:rPr>
      </w:pPr>
      <w:r>
        <w:rPr>
          <w:rFonts w:ascii="Arial" w:hAnsi="Arial" w:cs="Arial"/>
          <w:color w:val="000000"/>
          <w:szCs w:val="24"/>
          <w:u w:val="single"/>
        </w:rPr>
        <w:t xml:space="preserve">Indexation </w:t>
      </w:r>
    </w:p>
    <w:p w:rsidR="00F72DBD" w:rsidRDefault="00F72DBD" w:rsidP="00F72DBD">
      <w:pPr>
        <w:jc w:val="both"/>
        <w:rPr>
          <w:rFonts w:ascii="Arial" w:hAnsi="Arial" w:cs="Arial"/>
          <w:sz w:val="22"/>
          <w:szCs w:val="22"/>
          <w:lang w:val="en-IE"/>
        </w:rPr>
      </w:pPr>
      <w:r>
        <w:rPr>
          <w:rFonts w:ascii="Arial" w:hAnsi="Arial" w:cs="Arial"/>
          <w:sz w:val="22"/>
          <w:szCs w:val="22"/>
          <w:lang w:val="en-IE"/>
        </w:rPr>
        <w:t>The Society of Chartered Surveyors of Ireland Construction Tender Price Index is recommended in the Draft Scheme.</w:t>
      </w:r>
    </w:p>
    <w:p w:rsidR="00F72DBD" w:rsidRDefault="00F72DBD" w:rsidP="00F72DBD">
      <w:pPr>
        <w:jc w:val="both"/>
        <w:rPr>
          <w:rFonts w:ascii="Arial" w:hAnsi="Arial" w:cs="Arial"/>
          <w:sz w:val="22"/>
          <w:szCs w:val="22"/>
          <w:lang w:val="en-IE"/>
        </w:rPr>
      </w:pPr>
      <w:r>
        <w:rPr>
          <w:rFonts w:ascii="Arial" w:hAnsi="Arial" w:cs="Arial"/>
          <w:sz w:val="22"/>
          <w:szCs w:val="22"/>
          <w:lang w:val="en-IE"/>
        </w:rPr>
        <w:t>Reason:- It has been more reflective of the market over the previous years than other indices. It is the only independent assessment of construction tender prices in Ireland.</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bCs/>
          <w:sz w:val="22"/>
          <w:szCs w:val="22"/>
        </w:rPr>
      </w:pPr>
      <w:r>
        <w:rPr>
          <w:rFonts w:ascii="Arial" w:hAnsi="Arial" w:cs="Arial"/>
          <w:bCs/>
          <w:sz w:val="22"/>
          <w:szCs w:val="22"/>
        </w:rPr>
        <w:t>This report is being forwarded to Members for information and noting.</w:t>
      </w:r>
    </w:p>
    <w:p w:rsidR="00F72DBD" w:rsidRDefault="00F72DBD" w:rsidP="00F72DBD">
      <w:pPr>
        <w:jc w:val="both"/>
        <w:rPr>
          <w:rFonts w:ascii="Arial" w:hAnsi="Arial" w:cs="Arial"/>
          <w:bCs/>
          <w:sz w:val="22"/>
          <w:szCs w:val="22"/>
        </w:rPr>
      </w:pPr>
    </w:p>
    <w:p w:rsidR="00F72DBD" w:rsidRDefault="00F72DBD" w:rsidP="00F72DBD">
      <w:pPr>
        <w:jc w:val="both"/>
        <w:rPr>
          <w:rFonts w:ascii="Arial" w:hAnsi="Arial" w:cs="Arial"/>
          <w:bCs/>
          <w:sz w:val="22"/>
          <w:szCs w:val="22"/>
        </w:rPr>
      </w:pPr>
      <w:r>
        <w:rPr>
          <w:rFonts w:ascii="Arial" w:hAnsi="Arial" w:cs="Arial"/>
          <w:bCs/>
          <w:sz w:val="22"/>
          <w:szCs w:val="22"/>
        </w:rPr>
        <w:t>The making of a Scheme is a reserved function of the Council. In order to have a Scheme operational on the 1</w:t>
      </w:r>
      <w:r>
        <w:rPr>
          <w:rFonts w:ascii="Arial" w:hAnsi="Arial" w:cs="Arial"/>
          <w:bCs/>
          <w:sz w:val="22"/>
          <w:szCs w:val="22"/>
          <w:vertAlign w:val="superscript"/>
        </w:rPr>
        <w:t>st</w:t>
      </w:r>
      <w:r>
        <w:rPr>
          <w:rFonts w:ascii="Arial" w:hAnsi="Arial" w:cs="Arial"/>
          <w:bCs/>
          <w:sz w:val="22"/>
          <w:szCs w:val="22"/>
        </w:rPr>
        <w:t xml:space="preserve"> January next the Council intends to publish notice on </w:t>
      </w:r>
      <w:r w:rsidR="00996AE0">
        <w:rPr>
          <w:rFonts w:ascii="Arial" w:hAnsi="Arial" w:cs="Arial"/>
          <w:bCs/>
          <w:sz w:val="22"/>
          <w:szCs w:val="22"/>
        </w:rPr>
        <w:t>21st</w:t>
      </w:r>
      <w:r>
        <w:rPr>
          <w:rFonts w:ascii="Arial" w:hAnsi="Arial" w:cs="Arial"/>
          <w:bCs/>
          <w:sz w:val="22"/>
          <w:szCs w:val="22"/>
        </w:rPr>
        <w:t xml:space="preserve"> September, 2015, under Section 48(4) of the Planning &amp; Development Act, as amended stating that a draft scheme has been prepared and is on public display and that submissions /observations will be accepted over a six week period.</w:t>
      </w:r>
    </w:p>
    <w:p w:rsidR="00F72DBD" w:rsidRDefault="00F72DBD" w:rsidP="00F72DBD">
      <w:pPr>
        <w:jc w:val="both"/>
        <w:rPr>
          <w:rFonts w:ascii="Arial" w:hAnsi="Arial" w:cs="Arial"/>
          <w:bCs/>
          <w:sz w:val="22"/>
          <w:szCs w:val="22"/>
        </w:rPr>
      </w:pPr>
    </w:p>
    <w:p w:rsidR="00F72DBD" w:rsidRDefault="00F72DBD" w:rsidP="00F72DBD">
      <w:pPr>
        <w:jc w:val="both"/>
        <w:rPr>
          <w:rFonts w:ascii="Arial" w:hAnsi="Arial" w:cs="Arial"/>
          <w:bCs/>
          <w:sz w:val="22"/>
          <w:szCs w:val="22"/>
        </w:rPr>
      </w:pPr>
      <w:r>
        <w:rPr>
          <w:rFonts w:ascii="Arial" w:hAnsi="Arial" w:cs="Arial"/>
          <w:bCs/>
          <w:sz w:val="22"/>
          <w:szCs w:val="22"/>
        </w:rPr>
        <w:t>In addition a copy of the draft Scheme will be sent to the Minister for the Environment, Heritage &amp; Local Government who may make recommendations. Four weeks following receipt of submissions the Chief Executive will prepare a report on the submissions received and will submit this report to the Council. Not later than six weeks after receipt of the Chief Executive's Report, the Council will decide by resolution to vary / modify or make the scheme as submitted by the Chief Executive.</w:t>
      </w:r>
    </w:p>
    <w:p w:rsidR="00F72DBD" w:rsidRDefault="00F72DBD" w:rsidP="00F72DBD">
      <w:pPr>
        <w:jc w:val="both"/>
        <w:rPr>
          <w:rFonts w:ascii="Arial" w:hAnsi="Arial" w:cs="Arial"/>
          <w:bCs/>
          <w:sz w:val="22"/>
          <w:szCs w:val="22"/>
        </w:rPr>
      </w:pPr>
    </w:p>
    <w:p w:rsidR="00F72DBD" w:rsidRDefault="00F72DBD" w:rsidP="00F72DBD">
      <w:pPr>
        <w:jc w:val="both"/>
        <w:rPr>
          <w:rFonts w:ascii="Arial" w:hAnsi="Arial" w:cs="Arial"/>
          <w:bCs/>
          <w:sz w:val="22"/>
          <w:szCs w:val="22"/>
          <w:u w:val="single"/>
        </w:rPr>
      </w:pPr>
    </w:p>
    <w:p w:rsidR="00F72DBD" w:rsidRDefault="0011226D" w:rsidP="00F72DBD">
      <w:pPr>
        <w:pStyle w:val="BodyText"/>
        <w:jc w:val="both"/>
        <w:rPr>
          <w:rFonts w:ascii="Arial" w:hAnsi="Arial" w:cs="Arial"/>
          <w:bCs/>
          <w:szCs w:val="22"/>
        </w:rPr>
      </w:pPr>
      <w:r>
        <w:rPr>
          <w:rFonts w:ascii="Arial" w:hAnsi="Arial" w:cs="Arial"/>
          <w:bCs/>
          <w:szCs w:val="22"/>
        </w:rPr>
        <w:t>Dated this the</w:t>
      </w:r>
      <w:r w:rsidR="00A85E7F">
        <w:rPr>
          <w:rFonts w:ascii="Arial" w:hAnsi="Arial" w:cs="Arial"/>
          <w:bCs/>
          <w:szCs w:val="22"/>
        </w:rPr>
        <w:t xml:space="preserve"> 14</w:t>
      </w:r>
      <w:r>
        <w:rPr>
          <w:rFonts w:ascii="Arial" w:hAnsi="Arial" w:cs="Arial"/>
          <w:bCs/>
          <w:szCs w:val="22"/>
        </w:rPr>
        <w:t xml:space="preserve">th of September </w:t>
      </w:r>
      <w:r w:rsidR="00F72DBD">
        <w:rPr>
          <w:rFonts w:ascii="Arial" w:hAnsi="Arial" w:cs="Arial"/>
          <w:bCs/>
          <w:szCs w:val="22"/>
        </w:rPr>
        <w:t>2015</w:t>
      </w:r>
    </w:p>
    <w:p w:rsidR="00F72DBD" w:rsidRDefault="00F72DBD" w:rsidP="00F72DBD">
      <w:pPr>
        <w:pStyle w:val="BodyText"/>
        <w:jc w:val="both"/>
        <w:rPr>
          <w:rFonts w:ascii="Arial" w:hAnsi="Arial" w:cs="Arial"/>
          <w:bCs/>
          <w:szCs w:val="22"/>
        </w:rPr>
      </w:pPr>
    </w:p>
    <w:p w:rsidR="00F72DBD" w:rsidRDefault="00F72DBD" w:rsidP="00F72DBD">
      <w:pPr>
        <w:pStyle w:val="BodyText"/>
        <w:jc w:val="both"/>
        <w:rPr>
          <w:rFonts w:ascii="Arial" w:hAnsi="Arial" w:cs="Arial"/>
          <w:bCs/>
          <w:szCs w:val="22"/>
        </w:rPr>
      </w:pPr>
    </w:p>
    <w:p w:rsidR="00921E95" w:rsidRDefault="00921E95" w:rsidP="00F72DBD">
      <w:pPr>
        <w:pStyle w:val="BodyText"/>
        <w:jc w:val="both"/>
        <w:rPr>
          <w:rFonts w:ascii="Arial" w:hAnsi="Arial" w:cs="Arial"/>
          <w:bCs/>
          <w:szCs w:val="22"/>
        </w:rPr>
      </w:pPr>
    </w:p>
    <w:p w:rsidR="00F72DBD" w:rsidRDefault="00F72DBD" w:rsidP="00F72DBD">
      <w:pPr>
        <w:jc w:val="both"/>
        <w:rPr>
          <w:rFonts w:ascii="Arial" w:hAnsi="Arial" w:cs="Arial"/>
          <w:b/>
          <w:sz w:val="22"/>
          <w:szCs w:val="22"/>
          <w:u w:val="single"/>
        </w:rPr>
      </w:pPr>
      <w:r>
        <w:rPr>
          <w:rFonts w:ascii="Arial" w:hAnsi="Arial" w:cs="Arial"/>
          <w:b/>
          <w:sz w:val="22"/>
          <w:szCs w:val="22"/>
          <w:u w:val="single"/>
        </w:rPr>
        <w:t>__________________</w:t>
      </w:r>
    </w:p>
    <w:p w:rsidR="00921E95" w:rsidRDefault="00921E95" w:rsidP="00F72DBD">
      <w:pPr>
        <w:jc w:val="both"/>
        <w:rPr>
          <w:rFonts w:ascii="Arial" w:hAnsi="Arial" w:cs="Arial"/>
          <w:b/>
          <w:sz w:val="22"/>
          <w:szCs w:val="22"/>
        </w:rPr>
      </w:pPr>
    </w:p>
    <w:p w:rsidR="00F72DBD" w:rsidRDefault="00F72DBD" w:rsidP="00F72DBD">
      <w:pPr>
        <w:jc w:val="both"/>
        <w:rPr>
          <w:rFonts w:ascii="Arial" w:hAnsi="Arial" w:cs="Arial"/>
          <w:b/>
          <w:sz w:val="22"/>
          <w:szCs w:val="22"/>
        </w:rPr>
      </w:pPr>
      <w:r>
        <w:rPr>
          <w:rFonts w:ascii="Arial" w:hAnsi="Arial" w:cs="Arial"/>
          <w:b/>
          <w:sz w:val="22"/>
          <w:szCs w:val="22"/>
        </w:rPr>
        <w:t>Chief Executive</w:t>
      </w:r>
    </w:p>
    <w:p w:rsidR="00F72DBD" w:rsidRDefault="00F72DBD" w:rsidP="00F72DBD">
      <w:pPr>
        <w:pStyle w:val="Default"/>
        <w:jc w:val="both"/>
        <w:rPr>
          <w:color w:val="auto"/>
          <w:sz w:val="22"/>
          <w:szCs w:val="22"/>
        </w:rPr>
      </w:pPr>
    </w:p>
    <w:p w:rsidR="00F72DBD" w:rsidRDefault="00F72DBD" w:rsidP="00F72DBD">
      <w:pPr>
        <w:pStyle w:val="Default"/>
        <w:jc w:val="both"/>
        <w:rPr>
          <w:color w:val="auto"/>
          <w:sz w:val="22"/>
          <w:szCs w:val="22"/>
        </w:rPr>
      </w:pPr>
    </w:p>
    <w:p w:rsidR="00F72DBD" w:rsidRDefault="00F72DBD" w:rsidP="00F72DBD">
      <w:pPr>
        <w:jc w:val="both"/>
        <w:rPr>
          <w:rFonts w:ascii="Arial" w:hAnsi="Arial" w:cs="Arial"/>
          <w:bCs/>
          <w:sz w:val="22"/>
          <w:szCs w:val="22"/>
        </w:rPr>
      </w:pPr>
    </w:p>
    <w:p w:rsidR="00F72DBD" w:rsidRDefault="00F72DBD" w:rsidP="00F72DBD">
      <w:pPr>
        <w:pStyle w:val="Heading1"/>
        <w:jc w:val="both"/>
        <w:rPr>
          <w:rFonts w:ascii="Arial" w:hAnsi="Arial" w:cs="Arial"/>
          <w:color w:val="000000"/>
          <w:sz w:val="22"/>
          <w:szCs w:val="22"/>
          <w:u w:val="none"/>
        </w:rPr>
      </w:pPr>
    </w:p>
    <w:p w:rsidR="00F72DBD" w:rsidRDefault="00F72DBD" w:rsidP="00F72DBD"/>
    <w:p w:rsidR="00F72DBD" w:rsidRDefault="00F72DBD" w:rsidP="00F72DBD">
      <w:pPr>
        <w:pStyle w:val="Heading1"/>
        <w:jc w:val="both"/>
        <w:rPr>
          <w:rFonts w:ascii="Arial" w:hAnsi="Arial" w:cs="Arial"/>
          <w:color w:val="000000"/>
          <w:sz w:val="22"/>
          <w:szCs w:val="22"/>
          <w:u w:val="none"/>
        </w:rPr>
      </w:pPr>
    </w:p>
    <w:p w:rsidR="00F72DBD" w:rsidRDefault="00F72DBD" w:rsidP="00F72DBD">
      <w:pPr>
        <w:pStyle w:val="Heading1"/>
        <w:jc w:val="both"/>
        <w:rPr>
          <w:rFonts w:ascii="Arial" w:hAnsi="Arial" w:cs="Arial"/>
          <w:color w:val="000000"/>
          <w:sz w:val="22"/>
          <w:szCs w:val="22"/>
          <w:u w:val="none"/>
        </w:rPr>
      </w:pPr>
    </w:p>
    <w:p w:rsidR="001D4BBB" w:rsidRDefault="001D4BBB"/>
    <w:sectPr w:rsidR="001D4B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C3845"/>
    <w:multiLevelType w:val="hybridMultilevel"/>
    <w:tmpl w:val="3DA2F6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BD"/>
    <w:rsid w:val="00095B78"/>
    <w:rsid w:val="0011226D"/>
    <w:rsid w:val="001506BF"/>
    <w:rsid w:val="00157EA0"/>
    <w:rsid w:val="00197DEC"/>
    <w:rsid w:val="001D4BBB"/>
    <w:rsid w:val="002A1E1F"/>
    <w:rsid w:val="002B7154"/>
    <w:rsid w:val="00305C6E"/>
    <w:rsid w:val="003846D7"/>
    <w:rsid w:val="00571053"/>
    <w:rsid w:val="00635072"/>
    <w:rsid w:val="006929CF"/>
    <w:rsid w:val="006B2AC0"/>
    <w:rsid w:val="006D74B6"/>
    <w:rsid w:val="007A0140"/>
    <w:rsid w:val="007E4D6A"/>
    <w:rsid w:val="00921E95"/>
    <w:rsid w:val="00954441"/>
    <w:rsid w:val="00992581"/>
    <w:rsid w:val="00996AE0"/>
    <w:rsid w:val="009B77F8"/>
    <w:rsid w:val="00A85E7F"/>
    <w:rsid w:val="00A90B4C"/>
    <w:rsid w:val="00A958DA"/>
    <w:rsid w:val="00AD1507"/>
    <w:rsid w:val="00C20C67"/>
    <w:rsid w:val="00C21DCC"/>
    <w:rsid w:val="00C67646"/>
    <w:rsid w:val="00D36A37"/>
    <w:rsid w:val="00DA0433"/>
    <w:rsid w:val="00DA5A07"/>
    <w:rsid w:val="00DE1481"/>
    <w:rsid w:val="00EA5B26"/>
    <w:rsid w:val="00EF4295"/>
    <w:rsid w:val="00F72D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CF21E-9442-45AB-AED5-F8BCCE6F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DBD"/>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F72DBD"/>
    <w:pPr>
      <w:keepNext/>
      <w:tabs>
        <w:tab w:val="left" w:pos="720"/>
        <w:tab w:val="left" w:pos="1440"/>
        <w:tab w:val="left" w:pos="2070"/>
      </w:tabs>
      <w:outlineLvl w:val="0"/>
    </w:pPr>
    <w:rPr>
      <w:rFonts w:ascii="Comic Sans MS" w:hAnsi="Comic Sans M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DBD"/>
    <w:rPr>
      <w:rFonts w:ascii="Comic Sans MS" w:eastAsia="Times New Roman" w:hAnsi="Comic Sans MS" w:cs="Times New Roman"/>
      <w:b/>
      <w:sz w:val="20"/>
      <w:szCs w:val="20"/>
      <w:u w:val="single"/>
      <w:lang w:val="en-GB"/>
    </w:rPr>
  </w:style>
  <w:style w:type="character" w:styleId="Hyperlink">
    <w:name w:val="Hyperlink"/>
    <w:basedOn w:val="DefaultParagraphFont"/>
    <w:semiHidden/>
    <w:unhideWhenUsed/>
    <w:rsid w:val="00F72DBD"/>
    <w:rPr>
      <w:color w:val="0000FF"/>
      <w:u w:val="single"/>
    </w:rPr>
  </w:style>
  <w:style w:type="paragraph" w:styleId="BodyText">
    <w:name w:val="Body Text"/>
    <w:basedOn w:val="Normal"/>
    <w:link w:val="BodyTextChar"/>
    <w:semiHidden/>
    <w:unhideWhenUsed/>
    <w:rsid w:val="00F72DBD"/>
    <w:rPr>
      <w:rFonts w:ascii="Comic Sans MS" w:hAnsi="Comic Sans MS"/>
      <w:sz w:val="20"/>
    </w:rPr>
  </w:style>
  <w:style w:type="character" w:customStyle="1" w:styleId="BodyTextChar">
    <w:name w:val="Body Text Char"/>
    <w:basedOn w:val="DefaultParagraphFont"/>
    <w:link w:val="BodyText"/>
    <w:semiHidden/>
    <w:rsid w:val="00F72DBD"/>
    <w:rPr>
      <w:rFonts w:ascii="Comic Sans MS" w:eastAsia="Times New Roman" w:hAnsi="Comic Sans MS" w:cs="Times New Roman"/>
      <w:sz w:val="20"/>
      <w:szCs w:val="20"/>
      <w:lang w:val="en-GB"/>
    </w:rPr>
  </w:style>
  <w:style w:type="paragraph" w:styleId="ListParagraph">
    <w:name w:val="List Paragraph"/>
    <w:basedOn w:val="Normal"/>
    <w:uiPriority w:val="34"/>
    <w:qFormat/>
    <w:rsid w:val="00F72DBD"/>
    <w:pPr>
      <w:ind w:left="720"/>
    </w:pPr>
    <w:rPr>
      <w:sz w:val="20"/>
      <w:lang w:val="en-US"/>
    </w:rPr>
  </w:style>
  <w:style w:type="paragraph" w:customStyle="1" w:styleId="Default">
    <w:name w:val="Default"/>
    <w:rsid w:val="00F72DBD"/>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semiHidden/>
    <w:unhideWhenUsed/>
    <w:rsid w:val="006B2AC0"/>
    <w:pPr>
      <w:spacing w:before="100" w:beforeAutospacing="1" w:after="100" w:afterAutospacing="1"/>
    </w:pPr>
    <w:rPr>
      <w:szCs w:val="24"/>
      <w:lang w:val="en-IE" w:eastAsia="en-IE"/>
    </w:rPr>
  </w:style>
  <w:style w:type="paragraph" w:styleId="BalloonText">
    <w:name w:val="Balloon Text"/>
    <w:basedOn w:val="Normal"/>
    <w:link w:val="BalloonTextChar"/>
    <w:uiPriority w:val="99"/>
    <w:semiHidden/>
    <w:unhideWhenUsed/>
    <w:rsid w:val="005710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053"/>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2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lanning.southdublin.ie/index.php?option=com_docman&amp;task=doc_view&amp;gid=347&amp;Itemid=172&amp;la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9611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Leonard</dc:creator>
  <cp:keywords/>
  <dc:description/>
  <cp:lastModifiedBy>Barbara Reilly</cp:lastModifiedBy>
  <cp:revision>2</cp:revision>
  <cp:lastPrinted>2015-09-08T17:47:00Z</cp:lastPrinted>
  <dcterms:created xsi:type="dcterms:W3CDTF">2015-12-07T14:30:00Z</dcterms:created>
  <dcterms:modified xsi:type="dcterms:W3CDTF">2015-12-07T14:30:00Z</dcterms:modified>
</cp:coreProperties>
</file>