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74" w:rsidRPr="008C146C" w:rsidRDefault="00245774" w:rsidP="00652230">
      <w:pPr>
        <w:jc w:val="center"/>
        <w:rPr>
          <w:b/>
          <w:u w:val="single"/>
          <w:lang w:val="en-IE"/>
        </w:rPr>
      </w:pPr>
      <w:bookmarkStart w:id="0" w:name="_GoBack"/>
      <w:bookmarkEnd w:id="0"/>
      <w:r>
        <w:rPr>
          <w:b/>
          <w:u w:val="single"/>
          <w:lang w:val="en-IE"/>
        </w:rPr>
        <w:t xml:space="preserve">Explanatory </w:t>
      </w:r>
      <w:r w:rsidRPr="003C5F5F">
        <w:rPr>
          <w:b/>
          <w:u w:val="single"/>
          <w:lang w:val="en-IE"/>
        </w:rPr>
        <w:t>Note</w:t>
      </w:r>
      <w:r>
        <w:rPr>
          <w:b/>
          <w:u w:val="single"/>
          <w:lang w:val="en-IE"/>
        </w:rPr>
        <w:t xml:space="preserve"> in relation to the </w:t>
      </w:r>
      <w:r w:rsidR="00652230" w:rsidRPr="008C146C">
        <w:rPr>
          <w:b/>
          <w:u w:val="single"/>
          <w:lang w:val="en-IE"/>
        </w:rPr>
        <w:t>Housing (Miscellaneous Provisions) Act 2014</w:t>
      </w:r>
    </w:p>
    <w:p w:rsidR="00652230" w:rsidRDefault="00652230" w:rsidP="00652230">
      <w:pPr>
        <w:jc w:val="center"/>
        <w:rPr>
          <w:lang w:val="en-IE"/>
        </w:rPr>
      </w:pPr>
    </w:p>
    <w:p w:rsidR="00245774" w:rsidRDefault="00245774" w:rsidP="00652230">
      <w:pPr>
        <w:jc w:val="center"/>
        <w:rPr>
          <w:lang w:val="en-IE"/>
        </w:rPr>
      </w:pPr>
    </w:p>
    <w:p w:rsidR="003C5F5F" w:rsidRDefault="003C5F5F" w:rsidP="00652230">
      <w:pPr>
        <w:jc w:val="center"/>
        <w:rPr>
          <w:lang w:val="en-IE"/>
        </w:rPr>
      </w:pPr>
    </w:p>
    <w:p w:rsidR="003C5F5F" w:rsidRPr="003C5F5F" w:rsidRDefault="003C5F5F" w:rsidP="003C5F5F">
      <w:pPr>
        <w:rPr>
          <w:sz w:val="26"/>
          <w:szCs w:val="16"/>
          <w:lang w:val="en-IE"/>
        </w:rPr>
      </w:pPr>
      <w:r w:rsidRPr="003C5F5F">
        <w:rPr>
          <w:sz w:val="26"/>
          <w:szCs w:val="16"/>
          <w:highlight w:val="yellow"/>
          <w:lang w:val="en-IE"/>
        </w:rPr>
        <w:t xml:space="preserve">For information purposes only and should not be considered to be a definite explanation of the </w:t>
      </w:r>
      <w:hyperlink r:id="rId6" w:history="1">
        <w:r w:rsidRPr="003C5F5F">
          <w:rPr>
            <w:rStyle w:val="Hyperlink"/>
            <w:sz w:val="26"/>
            <w:szCs w:val="16"/>
            <w:highlight w:val="yellow"/>
            <w:lang w:val="en-IE"/>
          </w:rPr>
          <w:t>2014 Housing (Miscellaneous Provisions) Act</w:t>
        </w:r>
      </w:hyperlink>
      <w:r w:rsidRPr="003C5F5F">
        <w:rPr>
          <w:sz w:val="26"/>
          <w:szCs w:val="16"/>
          <w:lang w:val="en-IE"/>
        </w:rPr>
        <w:t xml:space="preserve"> </w:t>
      </w:r>
    </w:p>
    <w:p w:rsidR="003C5F5F" w:rsidRPr="003C5F5F" w:rsidRDefault="003C5F5F" w:rsidP="003C5F5F">
      <w:pPr>
        <w:rPr>
          <w:sz w:val="34"/>
          <w:lang w:val="en-IE"/>
        </w:rPr>
      </w:pPr>
    </w:p>
    <w:p w:rsidR="008C146C" w:rsidRDefault="008C146C" w:rsidP="00652230">
      <w:pPr>
        <w:jc w:val="center"/>
        <w:rPr>
          <w:lang w:val="en-IE"/>
        </w:rPr>
      </w:pPr>
    </w:p>
    <w:p w:rsidR="00652230" w:rsidRDefault="00652230" w:rsidP="00652230">
      <w:pPr>
        <w:rPr>
          <w:lang w:val="en-IE"/>
        </w:rPr>
      </w:pPr>
      <w:r>
        <w:rPr>
          <w:lang w:val="en-IE"/>
        </w:rPr>
        <w:t xml:space="preserve">Part 2 of the </w:t>
      </w:r>
      <w:hyperlink r:id="rId7" w:history="1">
        <w:r w:rsidRPr="00776FFA">
          <w:rPr>
            <w:rStyle w:val="Hyperlink"/>
            <w:lang w:val="en-IE"/>
          </w:rPr>
          <w:t>Housing (Miscellaneous Provisions) Act 2014</w:t>
        </w:r>
      </w:hyperlink>
      <w:r>
        <w:rPr>
          <w:lang w:val="en-IE"/>
        </w:rPr>
        <w:t xml:space="preserve"> commenced on the 14</w:t>
      </w:r>
      <w:r w:rsidRPr="00652230">
        <w:rPr>
          <w:vertAlign w:val="superscript"/>
          <w:lang w:val="en-IE"/>
        </w:rPr>
        <w:t>th</w:t>
      </w:r>
      <w:r>
        <w:rPr>
          <w:lang w:val="en-IE"/>
        </w:rPr>
        <w:t xml:space="preserve"> April 2015 bringing into effect Sections 6-20 </w:t>
      </w:r>
      <w:r w:rsidR="00B0466D">
        <w:rPr>
          <w:lang w:val="en-IE"/>
        </w:rPr>
        <w:t xml:space="preserve">including </w:t>
      </w:r>
      <w:r>
        <w:rPr>
          <w:lang w:val="en-IE"/>
        </w:rPr>
        <w:t xml:space="preserve">repealing </w:t>
      </w:r>
      <w:hyperlink r:id="rId8" w:history="1">
        <w:r w:rsidRPr="00B77CE2">
          <w:rPr>
            <w:rStyle w:val="Hyperlink"/>
            <w:lang w:val="en-IE"/>
          </w:rPr>
          <w:t>Section 62</w:t>
        </w:r>
      </w:hyperlink>
      <w:r>
        <w:rPr>
          <w:lang w:val="en-IE"/>
        </w:rPr>
        <w:t xml:space="preserve"> of the </w:t>
      </w:r>
      <w:r w:rsidR="00B0466D">
        <w:rPr>
          <w:lang w:val="en-IE"/>
        </w:rPr>
        <w:t xml:space="preserve">1966 Housing Act.  Section 62 was used to issue Notices to Quit in respect of anti-social behaviour and rent arrears </w:t>
      </w:r>
      <w:r w:rsidR="00F937AD">
        <w:rPr>
          <w:lang w:val="en-IE"/>
        </w:rPr>
        <w:t xml:space="preserve">in order </w:t>
      </w:r>
      <w:r w:rsidR="00B0466D">
        <w:rPr>
          <w:lang w:val="en-IE"/>
        </w:rPr>
        <w:t>to terminate tenancies.</w:t>
      </w:r>
    </w:p>
    <w:p w:rsidR="00A56D11" w:rsidRDefault="00A56D11" w:rsidP="00652230">
      <w:pPr>
        <w:rPr>
          <w:lang w:val="en-IE"/>
        </w:rPr>
      </w:pPr>
    </w:p>
    <w:p w:rsidR="00A56D11" w:rsidRDefault="00BE02F0" w:rsidP="00A56D11">
      <w:pPr>
        <w:rPr>
          <w:lang w:val="en-IE"/>
        </w:rPr>
      </w:pPr>
      <w:r>
        <w:rPr>
          <w:lang w:val="en-IE"/>
        </w:rPr>
        <w:t xml:space="preserve">Under previous legislation (Section 62 of the 1966 Act) in the event of a breach of a tenancy agreement for any reason </w:t>
      </w:r>
      <w:r w:rsidR="00A56D11">
        <w:rPr>
          <w:lang w:val="en-IE"/>
        </w:rPr>
        <w:t>the pr</w:t>
      </w:r>
      <w:r>
        <w:rPr>
          <w:lang w:val="en-IE"/>
        </w:rPr>
        <w:t xml:space="preserve">ocedure was to issue Notice to </w:t>
      </w:r>
      <w:r w:rsidR="00AB59CC">
        <w:rPr>
          <w:lang w:val="en-IE"/>
        </w:rPr>
        <w:t>Q</w:t>
      </w:r>
      <w:r>
        <w:rPr>
          <w:lang w:val="en-IE"/>
        </w:rPr>
        <w:t xml:space="preserve">uit to the tenant.  This had the effect of terminating their tenancy 28 days later and if they did not surrender the house we went to court for an order granting us possession.   </w:t>
      </w:r>
      <w:r w:rsidR="00A56D11">
        <w:rPr>
          <w:lang w:val="en-IE"/>
        </w:rPr>
        <w:t xml:space="preserve">The Notice </w:t>
      </w:r>
      <w:r>
        <w:rPr>
          <w:lang w:val="en-IE"/>
        </w:rPr>
        <w:t xml:space="preserve">to Quit </w:t>
      </w:r>
      <w:r w:rsidR="00A56D11">
        <w:rPr>
          <w:lang w:val="en-IE"/>
        </w:rPr>
        <w:t>did not require the Council to be specific in respect of the breaches.</w:t>
      </w:r>
    </w:p>
    <w:p w:rsidR="00A56D11" w:rsidRDefault="00A56D11" w:rsidP="00652230">
      <w:pPr>
        <w:rPr>
          <w:lang w:val="en-IE"/>
        </w:rPr>
      </w:pPr>
    </w:p>
    <w:p w:rsidR="00B0466D" w:rsidRDefault="00B0466D" w:rsidP="00652230">
      <w:pPr>
        <w:rPr>
          <w:lang w:val="en-IE"/>
        </w:rPr>
      </w:pPr>
      <w:r>
        <w:rPr>
          <w:lang w:val="en-IE"/>
        </w:rPr>
        <w:t xml:space="preserve">Sections 7, 8, 9, 10, 11 and 12 of the </w:t>
      </w:r>
      <w:r w:rsidR="000C0A7D">
        <w:rPr>
          <w:lang w:val="en-IE"/>
        </w:rPr>
        <w:t xml:space="preserve">2014 Housing Act </w:t>
      </w:r>
      <w:r w:rsidR="00F74EEE">
        <w:rPr>
          <w:lang w:val="en-IE"/>
        </w:rPr>
        <w:t>specify</w:t>
      </w:r>
      <w:r w:rsidR="000C0A7D">
        <w:rPr>
          <w:lang w:val="en-IE"/>
        </w:rPr>
        <w:t xml:space="preserve"> the relevant Notices and procedures the Local Authority is required to follow</w:t>
      </w:r>
      <w:r w:rsidR="00F74EEE">
        <w:rPr>
          <w:lang w:val="en-IE"/>
        </w:rPr>
        <w:t xml:space="preserve"> </w:t>
      </w:r>
      <w:r w:rsidR="000C0A7D">
        <w:rPr>
          <w:lang w:val="en-IE"/>
        </w:rPr>
        <w:t xml:space="preserve">in respect of breaches of Tenancy Agreements, including </w:t>
      </w:r>
      <w:r w:rsidR="00BE02F0">
        <w:rPr>
          <w:lang w:val="en-IE"/>
        </w:rPr>
        <w:t>anti-social</w:t>
      </w:r>
      <w:r w:rsidR="000C0A7D">
        <w:rPr>
          <w:lang w:val="en-IE"/>
        </w:rPr>
        <w:t xml:space="preserve"> behaviour, rent arrears, condition of property, subletting etc.</w:t>
      </w:r>
    </w:p>
    <w:p w:rsidR="002512B7" w:rsidRDefault="002512B7" w:rsidP="00652230">
      <w:pPr>
        <w:rPr>
          <w:lang w:val="en-IE"/>
        </w:rPr>
      </w:pPr>
    </w:p>
    <w:p w:rsidR="001B0776" w:rsidRDefault="002512B7" w:rsidP="00652230">
      <w:pPr>
        <w:rPr>
          <w:lang w:val="en-IE"/>
        </w:rPr>
      </w:pPr>
      <w:r>
        <w:rPr>
          <w:lang w:val="en-IE"/>
        </w:rPr>
        <w:t>Under Sections 7, 8 and 9 of the 2014 Housing Act the Council is now req</w:t>
      </w:r>
      <w:r w:rsidR="001B0776">
        <w:rPr>
          <w:lang w:val="en-IE"/>
        </w:rPr>
        <w:t>uired to issue Tenancy Warnings which must outline the specific nature of the breach of tenancy.</w:t>
      </w:r>
    </w:p>
    <w:p w:rsidR="001B0776" w:rsidRDefault="001B0776" w:rsidP="00652230">
      <w:pPr>
        <w:rPr>
          <w:lang w:val="en-IE"/>
        </w:rPr>
      </w:pPr>
    </w:p>
    <w:p w:rsidR="00FF4C77" w:rsidRDefault="001B0776" w:rsidP="00652230">
      <w:pPr>
        <w:rPr>
          <w:lang w:val="en-IE"/>
        </w:rPr>
      </w:pPr>
      <w:r>
        <w:rPr>
          <w:lang w:val="en-IE"/>
        </w:rPr>
        <w:t>T</w:t>
      </w:r>
      <w:r w:rsidR="002512B7">
        <w:rPr>
          <w:lang w:val="en-IE"/>
        </w:rPr>
        <w:t>he Tenant has the right to seek review</w:t>
      </w:r>
      <w:r w:rsidR="00F74EEE">
        <w:rPr>
          <w:lang w:val="en-IE"/>
        </w:rPr>
        <w:t xml:space="preserve"> of the Tenancy Warning</w:t>
      </w:r>
      <w:r w:rsidR="002512B7">
        <w:rPr>
          <w:lang w:val="en-IE"/>
        </w:rPr>
        <w:t>,</w:t>
      </w:r>
      <w:r>
        <w:rPr>
          <w:lang w:val="en-IE"/>
        </w:rPr>
        <w:t xml:space="preserve"> under Section 10</w:t>
      </w:r>
      <w:r w:rsidR="002512B7">
        <w:rPr>
          <w:lang w:val="en-IE"/>
        </w:rPr>
        <w:t xml:space="preserve"> (can request an Oral Review)</w:t>
      </w:r>
      <w:r w:rsidR="00F74EEE">
        <w:rPr>
          <w:lang w:val="en-IE"/>
        </w:rPr>
        <w:t>. This review must be conducted by a Local Authority Officer of a higher grade than then the Officer who authorised the service of the Notice.</w:t>
      </w:r>
      <w:r w:rsidR="00FF4C77">
        <w:rPr>
          <w:lang w:val="en-IE"/>
        </w:rPr>
        <w:t xml:space="preserve">  </w:t>
      </w:r>
      <w:r w:rsidR="00BE02F0">
        <w:rPr>
          <w:lang w:val="en-IE"/>
        </w:rPr>
        <w:t>There are time limits for this review.</w:t>
      </w:r>
    </w:p>
    <w:p w:rsidR="00A56D11" w:rsidRDefault="00A56D11" w:rsidP="00652230">
      <w:pPr>
        <w:rPr>
          <w:lang w:val="en-IE"/>
        </w:rPr>
      </w:pPr>
    </w:p>
    <w:p w:rsidR="00F31E65" w:rsidRDefault="00FF4C77" w:rsidP="00652230">
      <w:pPr>
        <w:rPr>
          <w:lang w:val="en-IE"/>
        </w:rPr>
      </w:pPr>
      <w:r>
        <w:rPr>
          <w:lang w:val="en-IE"/>
        </w:rPr>
        <w:t>The Tenancy Warning stays in effe</w:t>
      </w:r>
      <w:r w:rsidR="00A56D11">
        <w:rPr>
          <w:lang w:val="en-IE"/>
        </w:rPr>
        <w:t xml:space="preserve">ct for 12 months during which if </w:t>
      </w:r>
      <w:r>
        <w:rPr>
          <w:lang w:val="en-IE"/>
        </w:rPr>
        <w:t>the breaches outlined in the Tenancy Warning continue</w:t>
      </w:r>
      <w:r w:rsidR="0059654E">
        <w:rPr>
          <w:lang w:val="en-IE"/>
        </w:rPr>
        <w:t xml:space="preserve"> or is repeat</w:t>
      </w:r>
      <w:r w:rsidR="00F31E65">
        <w:rPr>
          <w:lang w:val="en-IE"/>
        </w:rPr>
        <w:t>ed</w:t>
      </w:r>
      <w:r>
        <w:rPr>
          <w:lang w:val="en-IE"/>
        </w:rPr>
        <w:t xml:space="preserve"> the Council can apply to the Courts for a Possession Order for the dwelling under Section 12 of the 2014 Act or where appropriate make an application to the Court for an Exclusion Order under Section 3 of the 1997 Act.</w:t>
      </w:r>
      <w:r w:rsidR="00A56D11">
        <w:rPr>
          <w:lang w:val="en-IE"/>
        </w:rPr>
        <w:t xml:space="preserve">  </w:t>
      </w:r>
    </w:p>
    <w:p w:rsidR="00F31E65" w:rsidRDefault="00F31E65" w:rsidP="00652230">
      <w:pPr>
        <w:rPr>
          <w:lang w:val="en-IE"/>
        </w:rPr>
      </w:pPr>
    </w:p>
    <w:p w:rsidR="002512B7" w:rsidRDefault="00BE02F0" w:rsidP="00652230">
      <w:pPr>
        <w:rPr>
          <w:lang w:val="en-IE"/>
        </w:rPr>
      </w:pPr>
      <w:r>
        <w:rPr>
          <w:lang w:val="en-IE"/>
        </w:rPr>
        <w:t>If the Council does intend to go to court a</w:t>
      </w:r>
      <w:r w:rsidR="00A56D11">
        <w:rPr>
          <w:lang w:val="en-IE"/>
        </w:rPr>
        <w:t xml:space="preserve"> further Notice </w:t>
      </w:r>
      <w:r w:rsidR="00F937AD">
        <w:rPr>
          <w:lang w:val="en-IE"/>
        </w:rPr>
        <w:t>under Section 12 informing the tenants</w:t>
      </w:r>
      <w:r w:rsidR="00A56D11">
        <w:rPr>
          <w:lang w:val="en-IE"/>
        </w:rPr>
        <w:t xml:space="preserve"> of the Council’s intention to apply for a Possession Order</w:t>
      </w:r>
      <w:r w:rsidR="00F31E65">
        <w:rPr>
          <w:lang w:val="en-IE"/>
        </w:rPr>
        <w:t xml:space="preserve"> must be served on the tenant </w:t>
      </w:r>
      <w:r w:rsidR="00E54BB1">
        <w:rPr>
          <w:lang w:val="en-IE"/>
        </w:rPr>
        <w:t>at least 10 working days p</w:t>
      </w:r>
      <w:r w:rsidR="001B0776">
        <w:rPr>
          <w:lang w:val="en-IE"/>
        </w:rPr>
        <w:t>rior to the Court date</w:t>
      </w:r>
      <w:r w:rsidR="00E54BB1">
        <w:rPr>
          <w:lang w:val="en-IE"/>
        </w:rPr>
        <w:t>.</w:t>
      </w:r>
      <w:r>
        <w:rPr>
          <w:lang w:val="en-IE"/>
        </w:rPr>
        <w:t xml:space="preserve">  (Court Summons)</w:t>
      </w:r>
    </w:p>
    <w:p w:rsidR="001B0776" w:rsidRDefault="001B0776" w:rsidP="00652230">
      <w:pPr>
        <w:rPr>
          <w:lang w:val="en-IE"/>
        </w:rPr>
      </w:pPr>
    </w:p>
    <w:p w:rsidR="001B0776" w:rsidRDefault="006F45BA" w:rsidP="00652230">
      <w:pPr>
        <w:rPr>
          <w:lang w:val="en-IE"/>
        </w:rPr>
      </w:pPr>
      <w:r>
        <w:rPr>
          <w:lang w:val="en-IE"/>
        </w:rPr>
        <w:t>The Council’</w:t>
      </w:r>
      <w:r w:rsidR="00F937AD">
        <w:rPr>
          <w:lang w:val="en-IE"/>
        </w:rPr>
        <w:t xml:space="preserve">s Law Agent has recommended </w:t>
      </w:r>
      <w:r>
        <w:rPr>
          <w:lang w:val="en-IE"/>
        </w:rPr>
        <w:t>the engagement of</w:t>
      </w:r>
      <w:r w:rsidR="00F937AD">
        <w:rPr>
          <w:lang w:val="en-IE"/>
        </w:rPr>
        <w:t xml:space="preserve"> Legal</w:t>
      </w:r>
      <w:r>
        <w:rPr>
          <w:lang w:val="en-IE"/>
        </w:rPr>
        <w:t xml:space="preserve"> Counsel to draft documents and represent the Council in the initial cases taken under this new legislation to ensure proper implementation</w:t>
      </w:r>
      <w:r w:rsidR="00F937AD">
        <w:rPr>
          <w:lang w:val="en-IE"/>
        </w:rPr>
        <w:t xml:space="preserve"> of the Act</w:t>
      </w:r>
      <w:r>
        <w:rPr>
          <w:lang w:val="en-IE"/>
        </w:rPr>
        <w:t>. There are currently three cases with Counsel:</w:t>
      </w:r>
    </w:p>
    <w:p w:rsidR="006F45BA" w:rsidRPr="006F45BA" w:rsidRDefault="006F45BA" w:rsidP="006F45BA">
      <w:pPr>
        <w:pStyle w:val="ListParagraph"/>
        <w:numPr>
          <w:ilvl w:val="0"/>
          <w:numId w:val="18"/>
        </w:numPr>
        <w:rPr>
          <w:lang w:val="en-IE"/>
        </w:rPr>
      </w:pPr>
      <w:r w:rsidRPr="006F45BA">
        <w:rPr>
          <w:lang w:val="en-IE"/>
        </w:rPr>
        <w:t>Tenancy Warning served under Section 7 – review requested</w:t>
      </w:r>
    </w:p>
    <w:p w:rsidR="006F45BA" w:rsidRPr="006F45BA" w:rsidRDefault="006F45BA" w:rsidP="006F45BA">
      <w:pPr>
        <w:pStyle w:val="ListParagraph"/>
        <w:numPr>
          <w:ilvl w:val="0"/>
          <w:numId w:val="18"/>
        </w:numPr>
        <w:rPr>
          <w:lang w:val="en-IE"/>
        </w:rPr>
      </w:pPr>
      <w:r w:rsidRPr="006F45BA">
        <w:rPr>
          <w:lang w:val="en-IE"/>
        </w:rPr>
        <w:t>Possession Application to Court under Section 13 – illegal occupier</w:t>
      </w:r>
    </w:p>
    <w:p w:rsidR="006F45BA" w:rsidRDefault="006F45BA" w:rsidP="006F45BA">
      <w:pPr>
        <w:pStyle w:val="ListParagraph"/>
        <w:numPr>
          <w:ilvl w:val="0"/>
          <w:numId w:val="18"/>
        </w:numPr>
        <w:rPr>
          <w:lang w:val="en-IE"/>
        </w:rPr>
      </w:pPr>
      <w:r w:rsidRPr="006F45BA">
        <w:rPr>
          <w:lang w:val="en-IE"/>
        </w:rPr>
        <w:lastRenderedPageBreak/>
        <w:t>Possession Application to Court under Section 17 – death of tenant</w:t>
      </w:r>
    </w:p>
    <w:p w:rsidR="006F45BA" w:rsidRDefault="006F45BA" w:rsidP="006F45BA">
      <w:pPr>
        <w:rPr>
          <w:lang w:val="en-IE"/>
        </w:rPr>
      </w:pPr>
    </w:p>
    <w:p w:rsidR="006F45BA" w:rsidRPr="006F45BA" w:rsidRDefault="006F45BA" w:rsidP="006F45BA">
      <w:pPr>
        <w:rPr>
          <w:lang w:val="en-IE"/>
        </w:rPr>
      </w:pPr>
      <w:r>
        <w:rPr>
          <w:lang w:val="en-IE"/>
        </w:rPr>
        <w:t>A number of dwellings have been taking back into stock following termination of tenancy under Section 15 of the Act.</w:t>
      </w:r>
      <w:r w:rsidR="00BE02F0">
        <w:rPr>
          <w:lang w:val="en-IE"/>
        </w:rPr>
        <w:t xml:space="preserve"> (abandoned houses)</w:t>
      </w:r>
    </w:p>
    <w:p w:rsidR="008C146C" w:rsidRDefault="008C146C" w:rsidP="00652230">
      <w:pPr>
        <w:rPr>
          <w:lang w:val="en-IE"/>
        </w:rPr>
      </w:pPr>
    </w:p>
    <w:p w:rsidR="008866AF" w:rsidRDefault="008866AF" w:rsidP="00652230">
      <w:pPr>
        <w:rPr>
          <w:lang w:val="en-IE"/>
        </w:rPr>
      </w:pPr>
    </w:p>
    <w:p w:rsidR="008866AF" w:rsidRPr="008866AF" w:rsidRDefault="008866AF" w:rsidP="00652230">
      <w:pPr>
        <w:rPr>
          <w:b/>
          <w:u w:val="single"/>
          <w:lang w:val="en-IE"/>
        </w:rPr>
      </w:pPr>
      <w:r w:rsidRPr="008866AF">
        <w:rPr>
          <w:b/>
          <w:u w:val="single"/>
          <w:lang w:val="en-IE"/>
        </w:rPr>
        <w:t>Tenancy Warnings come into effect two working days after the expiration of the Review Period.</w:t>
      </w:r>
    </w:p>
    <w:p w:rsidR="000C0A7D" w:rsidRDefault="000C0A7D" w:rsidP="00652230">
      <w:pPr>
        <w:rPr>
          <w:lang w:val="en-IE"/>
        </w:rPr>
      </w:pPr>
    </w:p>
    <w:p w:rsidR="000C0A7D" w:rsidRDefault="0023084F" w:rsidP="00652230">
      <w:pPr>
        <w:rPr>
          <w:lang w:val="en-IE"/>
        </w:rPr>
      </w:pPr>
      <w:hyperlink r:id="rId9" w:history="1">
        <w:r w:rsidR="000C0A7D" w:rsidRPr="00776FFA">
          <w:rPr>
            <w:rStyle w:val="Hyperlink"/>
            <w:b/>
            <w:lang w:val="en-IE"/>
          </w:rPr>
          <w:t>Section 7</w:t>
        </w:r>
      </w:hyperlink>
      <w:r w:rsidR="000C0A7D" w:rsidRPr="00E54BB1">
        <w:rPr>
          <w:b/>
          <w:lang w:val="en-IE"/>
        </w:rPr>
        <w:t xml:space="preserve"> Tenancy Warning </w:t>
      </w:r>
      <w:r w:rsidR="00D6144D" w:rsidRPr="00E54BB1">
        <w:rPr>
          <w:b/>
          <w:lang w:val="en-IE"/>
        </w:rPr>
        <w:t>relating to anti-social behaviour, etc</w:t>
      </w:r>
      <w:r w:rsidR="00D6144D">
        <w:rPr>
          <w:lang w:val="en-IE"/>
        </w:rPr>
        <w:t>.</w:t>
      </w:r>
    </w:p>
    <w:p w:rsidR="00D6144D" w:rsidRPr="00D6144D" w:rsidRDefault="00D6144D" w:rsidP="00D6144D">
      <w:pPr>
        <w:pStyle w:val="ListParagraph"/>
        <w:numPr>
          <w:ilvl w:val="0"/>
          <w:numId w:val="1"/>
        </w:numPr>
        <w:rPr>
          <w:lang w:val="en-IE"/>
        </w:rPr>
      </w:pPr>
      <w:r w:rsidRPr="00D6144D">
        <w:rPr>
          <w:lang w:val="en-IE"/>
        </w:rPr>
        <w:t>anti-social behaviour</w:t>
      </w:r>
    </w:p>
    <w:p w:rsidR="00D6144D" w:rsidRDefault="00D6144D" w:rsidP="00D6144D">
      <w:pPr>
        <w:pStyle w:val="ListParagraph"/>
        <w:numPr>
          <w:ilvl w:val="0"/>
          <w:numId w:val="1"/>
        </w:numPr>
        <w:rPr>
          <w:lang w:val="en-IE"/>
        </w:rPr>
      </w:pPr>
      <w:r w:rsidRPr="00D6144D">
        <w:rPr>
          <w:lang w:val="en-IE"/>
        </w:rPr>
        <w:t>nuisance/annoyance behaviour</w:t>
      </w:r>
    </w:p>
    <w:p w:rsidR="00D6144D" w:rsidRDefault="00D6144D" w:rsidP="00D6144D">
      <w:pPr>
        <w:rPr>
          <w:lang w:val="en-IE"/>
        </w:rPr>
      </w:pPr>
    </w:p>
    <w:p w:rsidR="00D6144D" w:rsidRDefault="00D6144D" w:rsidP="00D6144D">
      <w:pPr>
        <w:rPr>
          <w:lang w:val="en-IE"/>
        </w:rPr>
      </w:pPr>
      <w:r>
        <w:rPr>
          <w:lang w:val="en-IE"/>
        </w:rPr>
        <w:t>Section</w:t>
      </w:r>
      <w:r w:rsidR="00A359D0">
        <w:rPr>
          <w:lang w:val="en-IE"/>
        </w:rPr>
        <w:t xml:space="preserve"> 7 </w:t>
      </w:r>
      <w:r w:rsidR="00D42107">
        <w:rPr>
          <w:lang w:val="en-IE"/>
        </w:rPr>
        <w:t>requires the Council to</w:t>
      </w:r>
      <w:r>
        <w:rPr>
          <w:lang w:val="en-IE"/>
        </w:rPr>
        <w:t xml:space="preserve"> specif</w:t>
      </w:r>
      <w:r w:rsidR="00F74EEE">
        <w:rPr>
          <w:lang w:val="en-IE"/>
        </w:rPr>
        <w:t>y in the Tenancy Warning:</w:t>
      </w:r>
    </w:p>
    <w:p w:rsidR="00D6144D" w:rsidRPr="00F74EEE" w:rsidRDefault="00D6144D" w:rsidP="00F74EEE">
      <w:pPr>
        <w:pStyle w:val="ListParagraph"/>
        <w:numPr>
          <w:ilvl w:val="0"/>
          <w:numId w:val="2"/>
        </w:numPr>
        <w:rPr>
          <w:lang w:val="en-IE"/>
        </w:rPr>
      </w:pPr>
      <w:r w:rsidRPr="00F74EEE">
        <w:rPr>
          <w:lang w:val="en-IE"/>
        </w:rPr>
        <w:t>Clause of Tenancy Agreement breached</w:t>
      </w:r>
    </w:p>
    <w:p w:rsidR="00D6144D" w:rsidRPr="00F74EEE" w:rsidRDefault="00D6144D" w:rsidP="00F74EEE">
      <w:pPr>
        <w:pStyle w:val="ListParagraph"/>
        <w:numPr>
          <w:ilvl w:val="0"/>
          <w:numId w:val="2"/>
        </w:numPr>
        <w:rPr>
          <w:lang w:val="en-IE"/>
        </w:rPr>
      </w:pPr>
      <w:r w:rsidRPr="00F74EEE">
        <w:rPr>
          <w:lang w:val="en-IE"/>
        </w:rPr>
        <w:t>Who breached the Clause, (tenant, member of tenant’s household, visitor to tenant’s household)</w:t>
      </w:r>
    </w:p>
    <w:p w:rsidR="00D6144D" w:rsidRPr="00F74EEE" w:rsidRDefault="00D6144D" w:rsidP="00F74EEE">
      <w:pPr>
        <w:pStyle w:val="ListParagraph"/>
        <w:numPr>
          <w:ilvl w:val="0"/>
          <w:numId w:val="2"/>
        </w:numPr>
        <w:rPr>
          <w:lang w:val="en-IE"/>
        </w:rPr>
      </w:pPr>
      <w:r w:rsidRPr="00F74EEE">
        <w:rPr>
          <w:lang w:val="en-IE"/>
        </w:rPr>
        <w:t>Date and time of breach</w:t>
      </w:r>
    </w:p>
    <w:p w:rsidR="00D6144D" w:rsidRPr="00F74EEE" w:rsidRDefault="00D6144D" w:rsidP="00F74EEE">
      <w:pPr>
        <w:pStyle w:val="ListParagraph"/>
        <w:numPr>
          <w:ilvl w:val="0"/>
          <w:numId w:val="2"/>
        </w:numPr>
        <w:rPr>
          <w:lang w:val="en-IE"/>
        </w:rPr>
      </w:pPr>
      <w:r w:rsidRPr="00F74EEE">
        <w:rPr>
          <w:lang w:val="en-IE"/>
        </w:rPr>
        <w:t xml:space="preserve">Details of breach, (specifics of the </w:t>
      </w:r>
      <w:r w:rsidR="00BE02F0" w:rsidRPr="00F74EEE">
        <w:rPr>
          <w:lang w:val="en-IE"/>
        </w:rPr>
        <w:t>anti-social</w:t>
      </w:r>
      <w:r w:rsidRPr="00F74EEE">
        <w:rPr>
          <w:lang w:val="en-IE"/>
        </w:rPr>
        <w:t xml:space="preserve"> behaviour, nuisance and/or annoyance)</w:t>
      </w:r>
    </w:p>
    <w:p w:rsidR="00F74EEE" w:rsidRDefault="00F74EEE" w:rsidP="00F74EEE">
      <w:pPr>
        <w:pStyle w:val="ListParagraph"/>
        <w:numPr>
          <w:ilvl w:val="0"/>
          <w:numId w:val="2"/>
        </w:numPr>
        <w:rPr>
          <w:lang w:val="en-IE"/>
        </w:rPr>
      </w:pPr>
      <w:r w:rsidRPr="00F74EEE">
        <w:rPr>
          <w:lang w:val="en-IE"/>
        </w:rPr>
        <w:t>What actions the tenant is required to take to ensure that the breach does not continue.</w:t>
      </w:r>
    </w:p>
    <w:p w:rsidR="00A56D11" w:rsidRDefault="00E54BB1" w:rsidP="00F74EEE">
      <w:pPr>
        <w:pStyle w:val="ListParagraph"/>
        <w:numPr>
          <w:ilvl w:val="0"/>
          <w:numId w:val="2"/>
        </w:numPr>
        <w:rPr>
          <w:lang w:val="en-IE"/>
        </w:rPr>
      </w:pPr>
      <w:r>
        <w:rPr>
          <w:lang w:val="en-IE"/>
        </w:rPr>
        <w:t xml:space="preserve">Tenants right to apply for a Review </w:t>
      </w:r>
      <w:r w:rsidR="00F359EE">
        <w:rPr>
          <w:lang w:val="en-IE"/>
        </w:rPr>
        <w:t>under Section 10</w:t>
      </w:r>
    </w:p>
    <w:p w:rsidR="00F31E65" w:rsidRPr="00F31E65" w:rsidRDefault="00F31E65" w:rsidP="00F31E65">
      <w:pPr>
        <w:pStyle w:val="ListParagraph"/>
        <w:numPr>
          <w:ilvl w:val="0"/>
          <w:numId w:val="2"/>
        </w:numPr>
        <w:rPr>
          <w:lang w:val="en-IE"/>
        </w:rPr>
      </w:pPr>
      <w:r w:rsidRPr="00F31E65">
        <w:rPr>
          <w:lang w:val="en-IE"/>
        </w:rPr>
        <w:t>Indicate that if the breach continues or is repeated within 12 months the Council may apply for a Possession Order without issuing a further Tenancy Warning.</w:t>
      </w:r>
    </w:p>
    <w:p w:rsidR="00A359D0" w:rsidRDefault="00A359D0" w:rsidP="00A359D0">
      <w:pPr>
        <w:pStyle w:val="ListParagraph"/>
        <w:rPr>
          <w:lang w:val="en-IE"/>
        </w:rPr>
      </w:pPr>
    </w:p>
    <w:p w:rsidR="00A359D0" w:rsidRDefault="00A359D0" w:rsidP="00A359D0">
      <w:pPr>
        <w:rPr>
          <w:lang w:val="en-IE"/>
        </w:rPr>
      </w:pPr>
      <w:r>
        <w:rPr>
          <w:lang w:val="en-IE"/>
        </w:rPr>
        <w:t>In serving a Tenancy Warning under</w:t>
      </w:r>
      <w:r w:rsidR="00F31E65">
        <w:rPr>
          <w:lang w:val="en-IE"/>
        </w:rPr>
        <w:t xml:space="preserve"> Section 8 the Counci</w:t>
      </w:r>
      <w:r>
        <w:rPr>
          <w:lang w:val="en-IE"/>
        </w:rPr>
        <w:t>l must have due regard to protecting the identity of persons informing the Council of the breach of the tenancy.</w:t>
      </w:r>
    </w:p>
    <w:p w:rsidR="00E54BB1" w:rsidRDefault="00E54BB1" w:rsidP="00E54BB1">
      <w:pPr>
        <w:rPr>
          <w:lang w:val="en-IE"/>
        </w:rPr>
      </w:pPr>
    </w:p>
    <w:p w:rsidR="00E54BB1" w:rsidRDefault="0023084F" w:rsidP="00E54BB1">
      <w:pPr>
        <w:rPr>
          <w:b/>
          <w:lang w:val="en-IE"/>
        </w:rPr>
      </w:pPr>
      <w:hyperlink r:id="rId10" w:history="1">
        <w:r w:rsidR="00E54BB1" w:rsidRPr="00B77CE2">
          <w:rPr>
            <w:rStyle w:val="Hyperlink"/>
            <w:b/>
            <w:lang w:val="en-IE"/>
          </w:rPr>
          <w:t>Section 8</w:t>
        </w:r>
      </w:hyperlink>
      <w:r w:rsidR="00E54BB1" w:rsidRPr="00F359EE">
        <w:rPr>
          <w:b/>
          <w:lang w:val="en-IE"/>
        </w:rPr>
        <w:t xml:space="preserve"> Tenancy Warning relating to rent arrears:</w:t>
      </w:r>
    </w:p>
    <w:p w:rsidR="00F359EE" w:rsidRDefault="00F359EE" w:rsidP="00F359EE">
      <w:pPr>
        <w:pStyle w:val="ListParagraph"/>
        <w:numPr>
          <w:ilvl w:val="0"/>
          <w:numId w:val="3"/>
        </w:numPr>
        <w:rPr>
          <w:lang w:val="en-IE"/>
        </w:rPr>
      </w:pPr>
      <w:r w:rsidRPr="00F359EE">
        <w:rPr>
          <w:lang w:val="en-IE"/>
        </w:rPr>
        <w:t>Issued to tenants who are in breach of their rent related obligations</w:t>
      </w:r>
    </w:p>
    <w:p w:rsidR="00F359EE" w:rsidRDefault="00F359EE" w:rsidP="00F359EE">
      <w:pPr>
        <w:rPr>
          <w:lang w:val="en-IE"/>
        </w:rPr>
      </w:pPr>
    </w:p>
    <w:p w:rsidR="00F359EE" w:rsidRDefault="00F359EE" w:rsidP="00F359EE">
      <w:pPr>
        <w:rPr>
          <w:lang w:val="en-IE"/>
        </w:rPr>
      </w:pPr>
      <w:r>
        <w:rPr>
          <w:lang w:val="en-IE"/>
        </w:rPr>
        <w:t>Section</w:t>
      </w:r>
      <w:r w:rsidR="00A359D0">
        <w:rPr>
          <w:lang w:val="en-IE"/>
        </w:rPr>
        <w:t xml:space="preserve"> 8 </w:t>
      </w:r>
      <w:r>
        <w:rPr>
          <w:lang w:val="en-IE"/>
        </w:rPr>
        <w:t xml:space="preserve">requires the Council </w:t>
      </w:r>
      <w:r w:rsidR="00D42107">
        <w:rPr>
          <w:lang w:val="en-IE"/>
        </w:rPr>
        <w:t xml:space="preserve">to </w:t>
      </w:r>
      <w:r>
        <w:rPr>
          <w:lang w:val="en-IE"/>
        </w:rPr>
        <w:t>specify in the Tenancy Warning:</w:t>
      </w:r>
    </w:p>
    <w:p w:rsidR="00F359EE" w:rsidRPr="00A359D0" w:rsidRDefault="00F359EE" w:rsidP="00A359D0">
      <w:pPr>
        <w:pStyle w:val="ListParagraph"/>
        <w:numPr>
          <w:ilvl w:val="0"/>
          <w:numId w:val="4"/>
        </w:numPr>
        <w:rPr>
          <w:lang w:val="en-IE"/>
        </w:rPr>
      </w:pPr>
      <w:r w:rsidRPr="00A359D0">
        <w:rPr>
          <w:lang w:val="en-IE"/>
        </w:rPr>
        <w:t>Tenant’s rent related obligation that has been breached</w:t>
      </w:r>
    </w:p>
    <w:p w:rsidR="00F359EE" w:rsidRPr="00A359D0" w:rsidRDefault="00F359EE" w:rsidP="00A359D0">
      <w:pPr>
        <w:pStyle w:val="ListParagraph"/>
        <w:numPr>
          <w:ilvl w:val="0"/>
          <w:numId w:val="4"/>
        </w:numPr>
        <w:rPr>
          <w:lang w:val="en-IE"/>
        </w:rPr>
      </w:pPr>
      <w:r w:rsidRPr="00A359D0">
        <w:rPr>
          <w:lang w:val="en-IE"/>
        </w:rPr>
        <w:t>Amount of arrears</w:t>
      </w:r>
    </w:p>
    <w:p w:rsidR="00F359EE" w:rsidRPr="00A359D0" w:rsidRDefault="00F359EE" w:rsidP="00A359D0">
      <w:pPr>
        <w:pStyle w:val="ListParagraph"/>
        <w:numPr>
          <w:ilvl w:val="0"/>
          <w:numId w:val="4"/>
        </w:numPr>
        <w:rPr>
          <w:lang w:val="en-IE"/>
        </w:rPr>
      </w:pPr>
      <w:r w:rsidRPr="00A359D0">
        <w:rPr>
          <w:lang w:val="en-IE"/>
        </w:rPr>
        <w:t>Period for which arrears apply</w:t>
      </w:r>
    </w:p>
    <w:p w:rsidR="00F359EE" w:rsidRPr="00A359D0" w:rsidRDefault="00F359EE" w:rsidP="00A359D0">
      <w:pPr>
        <w:pStyle w:val="ListParagraph"/>
        <w:numPr>
          <w:ilvl w:val="0"/>
          <w:numId w:val="4"/>
        </w:numPr>
        <w:rPr>
          <w:lang w:val="en-IE"/>
        </w:rPr>
      </w:pPr>
      <w:r w:rsidRPr="00A359D0">
        <w:rPr>
          <w:lang w:val="en-IE"/>
        </w:rPr>
        <w:t>Outline any previous rent breaches within the preceding 5 years.</w:t>
      </w:r>
    </w:p>
    <w:p w:rsidR="00F359EE" w:rsidRPr="00A359D0" w:rsidRDefault="00F359EE" w:rsidP="00A359D0">
      <w:pPr>
        <w:pStyle w:val="ListParagraph"/>
        <w:numPr>
          <w:ilvl w:val="0"/>
          <w:numId w:val="4"/>
        </w:numPr>
        <w:rPr>
          <w:lang w:val="en-IE"/>
        </w:rPr>
      </w:pPr>
      <w:r w:rsidRPr="00A359D0">
        <w:rPr>
          <w:lang w:val="en-IE"/>
        </w:rPr>
        <w:t>What the tenant is required to do in order to address the arrears, (immediate payment or arrangement to pay arrears on weekly basis)</w:t>
      </w:r>
    </w:p>
    <w:p w:rsidR="00F359EE" w:rsidRPr="00A359D0" w:rsidRDefault="00F359EE" w:rsidP="00A359D0">
      <w:pPr>
        <w:pStyle w:val="ListParagraph"/>
        <w:numPr>
          <w:ilvl w:val="0"/>
          <w:numId w:val="4"/>
        </w:numPr>
        <w:rPr>
          <w:lang w:val="en-IE"/>
        </w:rPr>
      </w:pPr>
      <w:r w:rsidRPr="00A359D0">
        <w:rPr>
          <w:lang w:val="en-IE"/>
        </w:rPr>
        <w:t>Indicate that if arrears are not paid or arrangement not entered into within 2 months of the date of the Notice the Council will apply for a Possession Order under Section 12 of the 2014 Act.</w:t>
      </w:r>
    </w:p>
    <w:p w:rsidR="00F359EE" w:rsidRPr="00A359D0" w:rsidRDefault="00A359D0" w:rsidP="00A359D0">
      <w:pPr>
        <w:pStyle w:val="ListParagraph"/>
        <w:numPr>
          <w:ilvl w:val="0"/>
          <w:numId w:val="4"/>
        </w:numPr>
        <w:rPr>
          <w:lang w:val="en-IE"/>
        </w:rPr>
      </w:pPr>
      <w:r w:rsidRPr="00A359D0">
        <w:rPr>
          <w:lang w:val="en-IE"/>
        </w:rPr>
        <w:t>Indicate that if the agreed arrangement is not adhered to the Council can apply for a Possession Order under Section 12 without issuing another Tenancy Warning.</w:t>
      </w:r>
    </w:p>
    <w:p w:rsidR="00F359EE" w:rsidRPr="00A359D0" w:rsidRDefault="00A359D0" w:rsidP="00A359D0">
      <w:pPr>
        <w:pStyle w:val="ListParagraph"/>
        <w:numPr>
          <w:ilvl w:val="0"/>
          <w:numId w:val="4"/>
        </w:numPr>
        <w:rPr>
          <w:lang w:val="en-IE"/>
        </w:rPr>
      </w:pPr>
      <w:r w:rsidRPr="00A359D0">
        <w:rPr>
          <w:lang w:val="en-IE"/>
        </w:rPr>
        <w:t>Tenants</w:t>
      </w:r>
      <w:r>
        <w:rPr>
          <w:lang w:val="en-IE"/>
        </w:rPr>
        <w:t>’</w:t>
      </w:r>
      <w:r w:rsidRPr="00A359D0">
        <w:rPr>
          <w:lang w:val="en-IE"/>
        </w:rPr>
        <w:t xml:space="preserve"> </w:t>
      </w:r>
      <w:r w:rsidR="00F359EE" w:rsidRPr="00A359D0">
        <w:rPr>
          <w:lang w:val="en-IE"/>
        </w:rPr>
        <w:t>right to apply for Review under Section 10</w:t>
      </w:r>
      <w:r w:rsidRPr="00A359D0">
        <w:rPr>
          <w:lang w:val="en-IE"/>
        </w:rPr>
        <w:t>.</w:t>
      </w:r>
    </w:p>
    <w:p w:rsidR="00A359D0" w:rsidRDefault="00A359D0" w:rsidP="00A359D0">
      <w:pPr>
        <w:pStyle w:val="ListParagraph"/>
        <w:numPr>
          <w:ilvl w:val="0"/>
          <w:numId w:val="4"/>
        </w:numPr>
        <w:rPr>
          <w:lang w:val="en-IE"/>
        </w:rPr>
      </w:pPr>
      <w:r w:rsidRPr="00A359D0">
        <w:rPr>
          <w:lang w:val="en-IE"/>
        </w:rPr>
        <w:t>If the Council is aware or suspects that the tenant has debts in addition to the rent arrears, the Council must set out information on where the household may obtain debt advice and assistance.</w:t>
      </w:r>
    </w:p>
    <w:p w:rsidR="00A359D0" w:rsidRDefault="00A359D0" w:rsidP="00A359D0">
      <w:pPr>
        <w:rPr>
          <w:lang w:val="en-IE"/>
        </w:rPr>
      </w:pPr>
    </w:p>
    <w:p w:rsidR="00A359D0" w:rsidRDefault="0023084F" w:rsidP="00A359D0">
      <w:pPr>
        <w:rPr>
          <w:b/>
          <w:lang w:val="en-IE"/>
        </w:rPr>
      </w:pPr>
      <w:hyperlink r:id="rId11" w:history="1">
        <w:r w:rsidR="00A359D0" w:rsidRPr="00B77CE2">
          <w:rPr>
            <w:rStyle w:val="Hyperlink"/>
            <w:b/>
            <w:lang w:val="en-IE"/>
          </w:rPr>
          <w:t>Section 9</w:t>
        </w:r>
      </w:hyperlink>
      <w:r w:rsidR="00A359D0" w:rsidRPr="00F359EE">
        <w:rPr>
          <w:b/>
          <w:lang w:val="en-IE"/>
        </w:rPr>
        <w:t xml:space="preserve"> Tenancy Warning relating to </w:t>
      </w:r>
      <w:r w:rsidR="00A359D0">
        <w:rPr>
          <w:b/>
          <w:lang w:val="en-IE"/>
        </w:rPr>
        <w:t>other tenancy breach.</w:t>
      </w:r>
    </w:p>
    <w:p w:rsidR="00A359D0" w:rsidRDefault="00A359D0" w:rsidP="00A359D0">
      <w:pPr>
        <w:pStyle w:val="ListParagraph"/>
        <w:numPr>
          <w:ilvl w:val="0"/>
          <w:numId w:val="3"/>
        </w:numPr>
        <w:rPr>
          <w:lang w:val="en-IE"/>
        </w:rPr>
      </w:pPr>
      <w:r w:rsidRPr="00A359D0">
        <w:rPr>
          <w:lang w:val="en-IE"/>
        </w:rPr>
        <w:t>Issued to tenants in breach of their Tenancy Agreement other than breaches that Section 8 or 9 refer to such as sub-letting of property, condition of property.</w:t>
      </w:r>
    </w:p>
    <w:p w:rsidR="00D42107" w:rsidRDefault="00D42107" w:rsidP="00D42107">
      <w:pPr>
        <w:rPr>
          <w:lang w:val="en-IE"/>
        </w:rPr>
      </w:pPr>
    </w:p>
    <w:p w:rsidR="00D42107" w:rsidRDefault="00D42107" w:rsidP="00D42107">
      <w:pPr>
        <w:rPr>
          <w:lang w:val="en-IE"/>
        </w:rPr>
      </w:pPr>
      <w:r>
        <w:rPr>
          <w:lang w:val="en-IE"/>
        </w:rPr>
        <w:t>Section 9 requires the Council to specify in the Tenancy Warning:</w:t>
      </w:r>
    </w:p>
    <w:p w:rsidR="00D42107" w:rsidRPr="00F31E65" w:rsidRDefault="00D42107" w:rsidP="00F31E65">
      <w:pPr>
        <w:pStyle w:val="ListParagraph"/>
        <w:numPr>
          <w:ilvl w:val="0"/>
          <w:numId w:val="5"/>
        </w:numPr>
        <w:rPr>
          <w:lang w:val="en-IE"/>
        </w:rPr>
      </w:pPr>
      <w:r w:rsidRPr="00F31E65">
        <w:rPr>
          <w:lang w:val="en-IE"/>
        </w:rPr>
        <w:t>Basis for Tenancy Warning</w:t>
      </w:r>
    </w:p>
    <w:p w:rsidR="00D42107" w:rsidRPr="00F31E65" w:rsidRDefault="00D42107" w:rsidP="00F31E65">
      <w:pPr>
        <w:pStyle w:val="ListParagraph"/>
        <w:numPr>
          <w:ilvl w:val="0"/>
          <w:numId w:val="5"/>
        </w:numPr>
        <w:rPr>
          <w:lang w:val="en-IE"/>
        </w:rPr>
      </w:pPr>
      <w:r w:rsidRPr="00F31E65">
        <w:rPr>
          <w:lang w:val="en-IE"/>
        </w:rPr>
        <w:t>Name of person causing breach</w:t>
      </w:r>
    </w:p>
    <w:p w:rsidR="00D42107" w:rsidRPr="00F31E65" w:rsidRDefault="00D42107" w:rsidP="00F31E65">
      <w:pPr>
        <w:pStyle w:val="ListParagraph"/>
        <w:numPr>
          <w:ilvl w:val="0"/>
          <w:numId w:val="5"/>
        </w:numPr>
        <w:rPr>
          <w:lang w:val="en-IE"/>
        </w:rPr>
      </w:pPr>
      <w:r w:rsidRPr="00F31E65">
        <w:rPr>
          <w:lang w:val="en-IE"/>
        </w:rPr>
        <w:t>Specify what action is required by the tenant and/or members of their household to comply with Tenancy Warning</w:t>
      </w:r>
    </w:p>
    <w:p w:rsidR="00D42107" w:rsidRDefault="00D42107" w:rsidP="00F31E65">
      <w:pPr>
        <w:pStyle w:val="ListParagraph"/>
        <w:numPr>
          <w:ilvl w:val="0"/>
          <w:numId w:val="5"/>
        </w:numPr>
        <w:rPr>
          <w:lang w:val="en-IE"/>
        </w:rPr>
      </w:pPr>
      <w:r w:rsidRPr="00F31E65">
        <w:rPr>
          <w:lang w:val="en-IE"/>
        </w:rPr>
        <w:t>Indicate that if the breach continues or is repeated within 12 months the Council may apply for a Possess</w:t>
      </w:r>
      <w:r w:rsidR="00F31E65" w:rsidRPr="00F31E65">
        <w:rPr>
          <w:lang w:val="en-IE"/>
        </w:rPr>
        <w:t>ion Order without issuing a further Tenancy Warning.</w:t>
      </w:r>
    </w:p>
    <w:p w:rsidR="00F31E65" w:rsidRDefault="00F31E65" w:rsidP="00F31E65">
      <w:pPr>
        <w:pStyle w:val="ListParagraph"/>
        <w:rPr>
          <w:lang w:val="en-IE"/>
        </w:rPr>
      </w:pPr>
    </w:p>
    <w:p w:rsidR="00F31E65" w:rsidRDefault="0023084F" w:rsidP="00F31E65">
      <w:pPr>
        <w:rPr>
          <w:b/>
          <w:lang w:val="en-IE"/>
        </w:rPr>
      </w:pPr>
      <w:hyperlink r:id="rId12" w:history="1">
        <w:r w:rsidR="00F31E65" w:rsidRPr="00B77CE2">
          <w:rPr>
            <w:rStyle w:val="Hyperlink"/>
            <w:b/>
            <w:lang w:val="en-IE"/>
          </w:rPr>
          <w:t>Section 10</w:t>
        </w:r>
      </w:hyperlink>
      <w:r w:rsidR="00F31E65">
        <w:rPr>
          <w:b/>
          <w:lang w:val="en-IE"/>
        </w:rPr>
        <w:t xml:space="preserve"> Review of Tenancy Warning</w:t>
      </w:r>
    </w:p>
    <w:p w:rsidR="008866AF" w:rsidRDefault="008866AF" w:rsidP="008866AF">
      <w:pPr>
        <w:pStyle w:val="ListParagraph"/>
        <w:numPr>
          <w:ilvl w:val="0"/>
          <w:numId w:val="3"/>
        </w:numPr>
        <w:rPr>
          <w:lang w:val="en-IE"/>
        </w:rPr>
      </w:pPr>
      <w:r w:rsidRPr="008866AF">
        <w:rPr>
          <w:lang w:val="en-IE"/>
        </w:rPr>
        <w:t>Where a tenant does not accept that a breach has occurred in the terms set out in Tenancy Warning served under Sections 7,</w:t>
      </w:r>
      <w:r>
        <w:rPr>
          <w:lang w:val="en-IE"/>
        </w:rPr>
        <w:t xml:space="preserve"> </w:t>
      </w:r>
      <w:r w:rsidRPr="008866AF">
        <w:rPr>
          <w:lang w:val="en-IE"/>
        </w:rPr>
        <w:t>8 and 9 they may request a review of the Tenancy Warning within 10 working days of the date the Notice comes into effect.</w:t>
      </w:r>
    </w:p>
    <w:p w:rsidR="008866AF" w:rsidRDefault="008866AF" w:rsidP="008866AF">
      <w:pPr>
        <w:rPr>
          <w:lang w:val="en-IE"/>
        </w:rPr>
      </w:pPr>
    </w:p>
    <w:p w:rsidR="008866AF" w:rsidRDefault="00B23D3E" w:rsidP="008866AF">
      <w:pPr>
        <w:rPr>
          <w:lang w:val="en-IE"/>
        </w:rPr>
      </w:pPr>
      <w:r>
        <w:rPr>
          <w:lang w:val="en-IE"/>
        </w:rPr>
        <w:t xml:space="preserve">The request must </w:t>
      </w:r>
    </w:p>
    <w:p w:rsidR="008866AF" w:rsidRPr="00AC11D5" w:rsidRDefault="00B23D3E" w:rsidP="00AC11D5">
      <w:pPr>
        <w:pStyle w:val="ListParagraph"/>
        <w:numPr>
          <w:ilvl w:val="0"/>
          <w:numId w:val="6"/>
        </w:numPr>
        <w:rPr>
          <w:lang w:val="en-IE"/>
        </w:rPr>
      </w:pPr>
      <w:r w:rsidRPr="00AC11D5">
        <w:rPr>
          <w:lang w:val="en-IE"/>
        </w:rPr>
        <w:t>Be i</w:t>
      </w:r>
      <w:r w:rsidR="008866AF" w:rsidRPr="00AC11D5">
        <w:rPr>
          <w:lang w:val="en-IE"/>
        </w:rPr>
        <w:t>n writing</w:t>
      </w:r>
    </w:p>
    <w:p w:rsidR="008866AF" w:rsidRPr="00AC11D5" w:rsidRDefault="008866AF" w:rsidP="00AC11D5">
      <w:pPr>
        <w:pStyle w:val="ListParagraph"/>
        <w:numPr>
          <w:ilvl w:val="0"/>
          <w:numId w:val="6"/>
        </w:numPr>
        <w:rPr>
          <w:i/>
          <w:sz w:val="20"/>
          <w:szCs w:val="20"/>
          <w:lang w:val="en-IE"/>
        </w:rPr>
      </w:pPr>
      <w:r w:rsidRPr="00AC11D5">
        <w:rPr>
          <w:lang w:val="en-IE"/>
        </w:rPr>
        <w:t>Be received by the Council within 10 working days fr</w:t>
      </w:r>
      <w:r w:rsidR="00B23D3E" w:rsidRPr="00AC11D5">
        <w:rPr>
          <w:lang w:val="en-IE"/>
        </w:rPr>
        <w:t xml:space="preserve">om the date the Tenancy Warning. </w:t>
      </w:r>
      <w:r w:rsidR="00B23D3E" w:rsidRPr="003C5F5F">
        <w:rPr>
          <w:i/>
          <w:szCs w:val="20"/>
          <w:lang w:val="en-IE"/>
        </w:rPr>
        <w:t>(NOTE: Tenancy Warning does not come into effect until 2 working days following the expiration of the period to request a review).</w:t>
      </w:r>
    </w:p>
    <w:p w:rsidR="00B23D3E" w:rsidRPr="00AC11D5" w:rsidRDefault="00B23D3E" w:rsidP="00AC11D5">
      <w:pPr>
        <w:pStyle w:val="ListParagraph"/>
        <w:numPr>
          <w:ilvl w:val="0"/>
          <w:numId w:val="6"/>
        </w:numPr>
        <w:rPr>
          <w:lang w:val="en-IE"/>
        </w:rPr>
      </w:pPr>
      <w:r w:rsidRPr="00AC11D5">
        <w:rPr>
          <w:lang w:val="en-IE"/>
        </w:rPr>
        <w:t xml:space="preserve">Outline the grounds upon which the tenant disputes the </w:t>
      </w:r>
      <w:r w:rsidR="00AC11D5" w:rsidRPr="00AC11D5">
        <w:rPr>
          <w:lang w:val="en-IE"/>
        </w:rPr>
        <w:t>basis for the tenancy warning and must be accompanied by any relevant documentary evidence.</w:t>
      </w:r>
    </w:p>
    <w:p w:rsidR="00AC11D5" w:rsidRDefault="00AC11D5" w:rsidP="00AC11D5">
      <w:pPr>
        <w:pStyle w:val="ListParagraph"/>
        <w:numPr>
          <w:ilvl w:val="0"/>
          <w:numId w:val="6"/>
        </w:numPr>
        <w:rPr>
          <w:lang w:val="en-IE"/>
        </w:rPr>
      </w:pPr>
      <w:r w:rsidRPr="00AC11D5">
        <w:rPr>
          <w:lang w:val="en-IE"/>
        </w:rPr>
        <w:t>State whether the tenant wishes to request an oral hearing.</w:t>
      </w:r>
    </w:p>
    <w:p w:rsidR="00AC11D5" w:rsidRDefault="00AC11D5" w:rsidP="00AC11D5">
      <w:pPr>
        <w:rPr>
          <w:lang w:val="en-IE"/>
        </w:rPr>
      </w:pPr>
    </w:p>
    <w:p w:rsidR="00AC11D5" w:rsidRDefault="00AC11D5" w:rsidP="00AC11D5">
      <w:pPr>
        <w:rPr>
          <w:lang w:val="en-IE"/>
        </w:rPr>
      </w:pPr>
      <w:r>
        <w:rPr>
          <w:lang w:val="en-IE"/>
        </w:rPr>
        <w:t>Review</w:t>
      </w:r>
    </w:p>
    <w:p w:rsidR="00AC11D5" w:rsidRPr="0059654E" w:rsidRDefault="00AC11D5" w:rsidP="0059654E">
      <w:pPr>
        <w:pStyle w:val="ListParagraph"/>
        <w:numPr>
          <w:ilvl w:val="0"/>
          <w:numId w:val="3"/>
        </w:numPr>
        <w:rPr>
          <w:lang w:val="en-IE"/>
        </w:rPr>
      </w:pPr>
      <w:r w:rsidRPr="0059654E">
        <w:rPr>
          <w:lang w:val="en-IE"/>
        </w:rPr>
        <w:t>Period for review may be extended or a further 10 working days by order of Chief Executive of the Council</w:t>
      </w:r>
    </w:p>
    <w:p w:rsidR="00AC11D5" w:rsidRPr="0059654E" w:rsidRDefault="00AC11D5" w:rsidP="0059654E">
      <w:pPr>
        <w:pStyle w:val="ListParagraph"/>
        <w:numPr>
          <w:ilvl w:val="0"/>
          <w:numId w:val="3"/>
        </w:numPr>
        <w:rPr>
          <w:lang w:val="en-IE"/>
        </w:rPr>
      </w:pPr>
      <w:r w:rsidRPr="0059654E">
        <w:rPr>
          <w:lang w:val="en-IE"/>
        </w:rPr>
        <w:t>If a valid Review request is accepted is must be reviewed by an Officer who was not involved in the decision to issue the Tenancy Warning and who is of higher grade to the Officer who authorised the serving on the Tenancy Warning.</w:t>
      </w:r>
    </w:p>
    <w:p w:rsidR="00AC11D5" w:rsidRDefault="00AC11D5" w:rsidP="0059654E">
      <w:pPr>
        <w:pStyle w:val="ListParagraph"/>
        <w:numPr>
          <w:ilvl w:val="0"/>
          <w:numId w:val="3"/>
        </w:numPr>
        <w:rPr>
          <w:lang w:val="en-IE"/>
        </w:rPr>
      </w:pPr>
      <w:r w:rsidRPr="0059654E">
        <w:rPr>
          <w:lang w:val="en-IE"/>
        </w:rPr>
        <w:t>The period for review is 30 working days, but this may be extended by agreement.</w:t>
      </w:r>
    </w:p>
    <w:p w:rsidR="00AE7F30" w:rsidRPr="0059654E" w:rsidRDefault="00AE7F30" w:rsidP="0059654E">
      <w:pPr>
        <w:pStyle w:val="ListParagraph"/>
        <w:numPr>
          <w:ilvl w:val="0"/>
          <w:numId w:val="3"/>
        </w:numPr>
        <w:rPr>
          <w:lang w:val="en-IE"/>
        </w:rPr>
      </w:pPr>
      <w:r>
        <w:rPr>
          <w:lang w:val="en-IE"/>
        </w:rPr>
        <w:t>The Reviewer must have due regard to protecting the identity of persons informing the Council of the breach of the tenancy</w:t>
      </w:r>
    </w:p>
    <w:p w:rsidR="00AC11D5" w:rsidRDefault="00AC11D5" w:rsidP="00AC11D5">
      <w:pPr>
        <w:rPr>
          <w:lang w:val="en-IE"/>
        </w:rPr>
      </w:pPr>
    </w:p>
    <w:p w:rsidR="00AC11D5" w:rsidRDefault="00AC11D5" w:rsidP="00AC11D5">
      <w:pPr>
        <w:rPr>
          <w:lang w:val="en-IE"/>
        </w:rPr>
      </w:pPr>
      <w:r>
        <w:rPr>
          <w:lang w:val="en-IE"/>
        </w:rPr>
        <w:t>The Reviewer may</w:t>
      </w:r>
    </w:p>
    <w:p w:rsidR="00AC11D5" w:rsidRPr="0059654E" w:rsidRDefault="00AC11D5" w:rsidP="0059654E">
      <w:pPr>
        <w:pStyle w:val="ListParagraph"/>
        <w:numPr>
          <w:ilvl w:val="0"/>
          <w:numId w:val="8"/>
        </w:numPr>
        <w:rPr>
          <w:lang w:val="en-IE"/>
        </w:rPr>
      </w:pPr>
      <w:r w:rsidRPr="0059654E">
        <w:rPr>
          <w:lang w:val="en-IE"/>
        </w:rPr>
        <w:t>Confirm the tenancy warning in its original terms,</w:t>
      </w:r>
    </w:p>
    <w:p w:rsidR="00AC11D5" w:rsidRPr="0059654E" w:rsidRDefault="00AC11D5" w:rsidP="0059654E">
      <w:pPr>
        <w:pStyle w:val="ListParagraph"/>
        <w:numPr>
          <w:ilvl w:val="0"/>
          <w:numId w:val="8"/>
        </w:numPr>
        <w:rPr>
          <w:lang w:val="en-IE"/>
        </w:rPr>
      </w:pPr>
      <w:r w:rsidRPr="0059654E">
        <w:rPr>
          <w:lang w:val="en-IE"/>
        </w:rPr>
        <w:t>Vary the tenancy warning in specified terms, or</w:t>
      </w:r>
    </w:p>
    <w:p w:rsidR="00AC11D5" w:rsidRPr="0059654E" w:rsidRDefault="00AC11D5" w:rsidP="0059654E">
      <w:pPr>
        <w:pStyle w:val="ListParagraph"/>
        <w:numPr>
          <w:ilvl w:val="0"/>
          <w:numId w:val="8"/>
        </w:numPr>
        <w:rPr>
          <w:lang w:val="en-IE"/>
        </w:rPr>
      </w:pPr>
      <w:r w:rsidRPr="0059654E">
        <w:rPr>
          <w:lang w:val="en-IE"/>
        </w:rPr>
        <w:t>Annul the tenancy warning</w:t>
      </w:r>
    </w:p>
    <w:p w:rsidR="00AC11D5" w:rsidRDefault="00AC11D5" w:rsidP="00AC11D5">
      <w:pPr>
        <w:rPr>
          <w:lang w:val="en-IE"/>
        </w:rPr>
      </w:pPr>
      <w:r>
        <w:rPr>
          <w:lang w:val="en-IE"/>
        </w:rPr>
        <w:t>State reasons for doing so, a copy of the Reviewer’s decision and reasons must be sent to the tenant.</w:t>
      </w:r>
    </w:p>
    <w:p w:rsidR="0059654E" w:rsidRDefault="0059654E" w:rsidP="00AC11D5">
      <w:pPr>
        <w:rPr>
          <w:lang w:val="en-IE"/>
        </w:rPr>
      </w:pPr>
    </w:p>
    <w:p w:rsidR="0059654E" w:rsidRDefault="0023084F" w:rsidP="00AC11D5">
      <w:pPr>
        <w:rPr>
          <w:b/>
          <w:lang w:val="en-IE"/>
        </w:rPr>
      </w:pPr>
      <w:hyperlink r:id="rId13" w:history="1">
        <w:r w:rsidR="0059654E" w:rsidRPr="00B77CE2">
          <w:rPr>
            <w:rStyle w:val="Hyperlink"/>
            <w:b/>
            <w:lang w:val="en-IE"/>
          </w:rPr>
          <w:t>Section 11</w:t>
        </w:r>
      </w:hyperlink>
      <w:r w:rsidR="0059654E" w:rsidRPr="0059654E">
        <w:rPr>
          <w:b/>
          <w:lang w:val="en-IE"/>
        </w:rPr>
        <w:t xml:space="preserve"> Day that tenancy warning comes into effect</w:t>
      </w:r>
    </w:p>
    <w:p w:rsidR="0059654E" w:rsidRDefault="0059654E" w:rsidP="0059654E">
      <w:pPr>
        <w:pStyle w:val="ListParagraph"/>
        <w:numPr>
          <w:ilvl w:val="0"/>
          <w:numId w:val="9"/>
        </w:numPr>
        <w:rPr>
          <w:lang w:val="en-IE"/>
        </w:rPr>
      </w:pPr>
      <w:r w:rsidRPr="0059654E">
        <w:rPr>
          <w:lang w:val="en-IE"/>
        </w:rPr>
        <w:lastRenderedPageBreak/>
        <w:t>Tenancy Warning comes into effect 2 working days after the expiration of the period within which a request to review warning could be received.</w:t>
      </w:r>
    </w:p>
    <w:p w:rsidR="0059654E" w:rsidRDefault="0059654E" w:rsidP="0059654E">
      <w:pPr>
        <w:pStyle w:val="ListParagraph"/>
        <w:numPr>
          <w:ilvl w:val="0"/>
          <w:numId w:val="9"/>
        </w:numPr>
        <w:rPr>
          <w:lang w:val="en-IE"/>
        </w:rPr>
      </w:pPr>
      <w:r>
        <w:rPr>
          <w:lang w:val="en-IE"/>
        </w:rPr>
        <w:t>If a Tenancy Warning is reviewed and if either if it is confirmed or varied it comes into effect 2 working days after the decision of the Reviewer has been issued to the Tenant.</w:t>
      </w:r>
    </w:p>
    <w:p w:rsidR="0059654E" w:rsidRDefault="0059654E" w:rsidP="0059654E">
      <w:pPr>
        <w:pStyle w:val="ListParagraph"/>
        <w:numPr>
          <w:ilvl w:val="0"/>
          <w:numId w:val="9"/>
        </w:numPr>
        <w:rPr>
          <w:lang w:val="en-IE"/>
        </w:rPr>
      </w:pPr>
      <w:r>
        <w:rPr>
          <w:lang w:val="en-IE"/>
        </w:rPr>
        <w:t>If the request for review is withdrawn the Tenancy Warning comes into effect 2 working days after notification of withdrawal</w:t>
      </w:r>
      <w:r w:rsidR="00AE7F30">
        <w:rPr>
          <w:lang w:val="en-IE"/>
        </w:rPr>
        <w:t>.</w:t>
      </w:r>
    </w:p>
    <w:p w:rsidR="00AE7F30" w:rsidRDefault="00AE7F30" w:rsidP="00AE7F30">
      <w:pPr>
        <w:rPr>
          <w:lang w:val="en-IE"/>
        </w:rPr>
      </w:pPr>
    </w:p>
    <w:p w:rsidR="00AE7F30" w:rsidRPr="00AE7F30" w:rsidRDefault="0023084F" w:rsidP="00AE7F30">
      <w:pPr>
        <w:rPr>
          <w:b/>
          <w:lang w:val="en-IE"/>
        </w:rPr>
      </w:pPr>
      <w:hyperlink r:id="rId14" w:history="1">
        <w:r w:rsidR="00AE7F30" w:rsidRPr="00B77CE2">
          <w:rPr>
            <w:rStyle w:val="Hyperlink"/>
            <w:b/>
            <w:lang w:val="en-IE"/>
          </w:rPr>
          <w:t>Section 12</w:t>
        </w:r>
      </w:hyperlink>
      <w:r w:rsidR="00AE7F30" w:rsidRPr="00AE7F30">
        <w:rPr>
          <w:b/>
          <w:lang w:val="en-IE"/>
        </w:rPr>
        <w:t xml:space="preserve"> Proceedings for possession of local authority dwelling</w:t>
      </w:r>
    </w:p>
    <w:p w:rsidR="00AE7F30" w:rsidRDefault="00AE7F30" w:rsidP="00AE7F30">
      <w:pPr>
        <w:pStyle w:val="ListParagraph"/>
        <w:numPr>
          <w:ilvl w:val="0"/>
          <w:numId w:val="10"/>
        </w:numPr>
        <w:rPr>
          <w:lang w:val="en-IE"/>
        </w:rPr>
      </w:pPr>
      <w:r w:rsidRPr="00AE7F30">
        <w:rPr>
          <w:lang w:val="en-IE"/>
        </w:rPr>
        <w:t>Where continued or repeated breaches of Tenancy occur following the serving of Tenancy Warning under Sections 7, 8 or 9, the Council may apply to the District Court for a Possession Order under Section 12.</w:t>
      </w:r>
    </w:p>
    <w:p w:rsidR="00AE7F30" w:rsidRDefault="00AE7F30" w:rsidP="00AE7F30">
      <w:pPr>
        <w:rPr>
          <w:lang w:val="en-IE"/>
        </w:rPr>
      </w:pPr>
    </w:p>
    <w:p w:rsidR="00AE7F30" w:rsidRDefault="00AE7F30" w:rsidP="00AE7F30">
      <w:pPr>
        <w:rPr>
          <w:lang w:val="en-IE"/>
        </w:rPr>
      </w:pPr>
      <w:r>
        <w:rPr>
          <w:lang w:val="en-IE"/>
        </w:rPr>
        <w:t>The Council must serve Notice on the Tenant at least 10 working days prior to date of Court Proceeds of it intention of apply for Possession Order. The Notice must contain:</w:t>
      </w:r>
    </w:p>
    <w:p w:rsidR="00AE7F30" w:rsidRPr="00AE7F30" w:rsidRDefault="00AE7F30" w:rsidP="00AE7F30">
      <w:pPr>
        <w:pStyle w:val="ListParagraph"/>
        <w:numPr>
          <w:ilvl w:val="0"/>
          <w:numId w:val="11"/>
        </w:numPr>
        <w:rPr>
          <w:lang w:val="en-IE"/>
        </w:rPr>
      </w:pPr>
      <w:r w:rsidRPr="00AE7F30">
        <w:rPr>
          <w:lang w:val="en-IE"/>
        </w:rPr>
        <w:t>The information to be included in the application</w:t>
      </w:r>
    </w:p>
    <w:p w:rsidR="00AE7F30" w:rsidRDefault="00AE7F30" w:rsidP="00AE7F30">
      <w:pPr>
        <w:pStyle w:val="ListParagraph"/>
        <w:numPr>
          <w:ilvl w:val="0"/>
          <w:numId w:val="11"/>
        </w:numPr>
        <w:rPr>
          <w:lang w:val="en-IE"/>
        </w:rPr>
      </w:pPr>
      <w:r w:rsidRPr="00AE7F30">
        <w:rPr>
          <w:lang w:val="en-IE"/>
        </w:rPr>
        <w:t>The date the application will be made to the Courts</w:t>
      </w:r>
    </w:p>
    <w:p w:rsidR="00AE7F30" w:rsidRDefault="00AE7F30" w:rsidP="00AE7F30">
      <w:pPr>
        <w:rPr>
          <w:lang w:val="en-IE"/>
        </w:rPr>
      </w:pPr>
    </w:p>
    <w:p w:rsidR="00AE7F30" w:rsidRDefault="00AE7F30" w:rsidP="00AE7F30">
      <w:pPr>
        <w:rPr>
          <w:lang w:val="en-IE"/>
        </w:rPr>
      </w:pPr>
      <w:r>
        <w:rPr>
          <w:lang w:val="en-IE"/>
        </w:rPr>
        <w:t xml:space="preserve">When </w:t>
      </w:r>
      <w:r w:rsidR="00C42071">
        <w:rPr>
          <w:lang w:val="en-IE"/>
        </w:rPr>
        <w:t>determining whether or not to grant a Possession Order the Court</w:t>
      </w:r>
    </w:p>
    <w:p w:rsidR="00C42071" w:rsidRPr="00C42071" w:rsidRDefault="00C42071" w:rsidP="00C42071">
      <w:pPr>
        <w:pStyle w:val="ListParagraph"/>
        <w:numPr>
          <w:ilvl w:val="0"/>
          <w:numId w:val="10"/>
        </w:numPr>
        <w:rPr>
          <w:lang w:val="en-IE"/>
        </w:rPr>
      </w:pPr>
      <w:r w:rsidRPr="00C42071">
        <w:rPr>
          <w:lang w:val="en-IE"/>
        </w:rPr>
        <w:t>May decide as an alternative to determining the Possession Order to treat the application as an application for an Exclusion Order against specific members of the tenants’ household.</w:t>
      </w:r>
    </w:p>
    <w:p w:rsidR="00AE7F30" w:rsidRPr="00AE7F30" w:rsidRDefault="00AE7F30" w:rsidP="00AE7F30">
      <w:pPr>
        <w:rPr>
          <w:lang w:val="en-IE"/>
        </w:rPr>
      </w:pPr>
    </w:p>
    <w:p w:rsidR="00AC11D5" w:rsidRDefault="00AC11D5" w:rsidP="008866AF">
      <w:pPr>
        <w:rPr>
          <w:lang w:val="en-IE"/>
        </w:rPr>
      </w:pPr>
    </w:p>
    <w:p w:rsidR="00C42071" w:rsidRDefault="0023084F" w:rsidP="008866AF">
      <w:pPr>
        <w:rPr>
          <w:lang w:val="en-IE"/>
        </w:rPr>
      </w:pPr>
      <w:hyperlink r:id="rId15" w:history="1">
        <w:r w:rsidR="00C42071" w:rsidRPr="00B77CE2">
          <w:rPr>
            <w:rStyle w:val="Hyperlink"/>
            <w:b/>
            <w:lang w:val="en-IE"/>
          </w:rPr>
          <w:t>Section 13</w:t>
        </w:r>
      </w:hyperlink>
      <w:r w:rsidR="00C42071" w:rsidRPr="00C42071">
        <w:rPr>
          <w:b/>
          <w:lang w:val="en-IE"/>
        </w:rPr>
        <w:t xml:space="preserve"> Proceedings for possession against person in occupation of local authority dwelling</w:t>
      </w:r>
      <w:r w:rsidR="00C42071">
        <w:rPr>
          <w:lang w:val="en-IE"/>
        </w:rPr>
        <w:t xml:space="preserve"> – (Illegal occupier/</w:t>
      </w:r>
      <w:r w:rsidR="003C5F5F">
        <w:rPr>
          <w:lang w:val="en-IE"/>
        </w:rPr>
        <w:t>sublet</w:t>
      </w:r>
      <w:r w:rsidR="00C42071">
        <w:rPr>
          <w:lang w:val="en-IE"/>
        </w:rPr>
        <w:t>)</w:t>
      </w:r>
    </w:p>
    <w:p w:rsidR="00C42071" w:rsidRPr="00C42071" w:rsidRDefault="00C42071" w:rsidP="00C42071">
      <w:pPr>
        <w:pStyle w:val="ListParagraph"/>
        <w:numPr>
          <w:ilvl w:val="0"/>
          <w:numId w:val="12"/>
        </w:numPr>
        <w:rPr>
          <w:lang w:val="en-IE"/>
        </w:rPr>
      </w:pPr>
      <w:r w:rsidRPr="00C42071">
        <w:rPr>
          <w:lang w:val="en-IE"/>
        </w:rPr>
        <w:t>Notice required to be served on occupier</w:t>
      </w:r>
    </w:p>
    <w:p w:rsidR="00C42071" w:rsidRDefault="00C42071" w:rsidP="00C42071">
      <w:pPr>
        <w:pStyle w:val="ListParagraph"/>
        <w:numPr>
          <w:ilvl w:val="0"/>
          <w:numId w:val="12"/>
        </w:numPr>
        <w:rPr>
          <w:lang w:val="en-IE"/>
        </w:rPr>
      </w:pPr>
      <w:r w:rsidRPr="00C42071">
        <w:rPr>
          <w:lang w:val="en-IE"/>
        </w:rPr>
        <w:t>Application to District Court for Possession Order</w:t>
      </w:r>
    </w:p>
    <w:p w:rsidR="00C42071" w:rsidRDefault="00C42071" w:rsidP="00C42071">
      <w:pPr>
        <w:rPr>
          <w:lang w:val="en-IE"/>
        </w:rPr>
      </w:pPr>
    </w:p>
    <w:p w:rsidR="00C42071" w:rsidRDefault="0023084F" w:rsidP="008A62AA">
      <w:pPr>
        <w:rPr>
          <w:b/>
          <w:lang w:val="en-IE"/>
        </w:rPr>
      </w:pPr>
      <w:hyperlink r:id="rId16" w:history="1">
        <w:r w:rsidR="00C42071" w:rsidRPr="00B77CE2">
          <w:rPr>
            <w:rStyle w:val="Hyperlink"/>
            <w:b/>
            <w:lang w:val="en-IE"/>
          </w:rPr>
          <w:t>Section</w:t>
        </w:r>
        <w:r w:rsidR="008A62AA" w:rsidRPr="00B77CE2">
          <w:rPr>
            <w:rStyle w:val="Hyperlink"/>
            <w:b/>
            <w:lang w:val="en-IE"/>
          </w:rPr>
          <w:t>s</w:t>
        </w:r>
        <w:r w:rsidR="00C42071" w:rsidRPr="00B77CE2">
          <w:rPr>
            <w:rStyle w:val="Hyperlink"/>
            <w:b/>
            <w:lang w:val="en-IE"/>
          </w:rPr>
          <w:t xml:space="preserve"> 14 </w:t>
        </w:r>
      </w:hyperlink>
      <w:r w:rsidR="008A62AA">
        <w:rPr>
          <w:b/>
          <w:lang w:val="en-IE"/>
        </w:rPr>
        <w:t xml:space="preserve"> &amp; </w:t>
      </w:r>
      <w:hyperlink r:id="rId17" w:history="1">
        <w:r w:rsidR="008A62AA" w:rsidRPr="00B77CE2">
          <w:rPr>
            <w:rStyle w:val="Hyperlink"/>
            <w:b/>
            <w:lang w:val="en-IE"/>
          </w:rPr>
          <w:t>15</w:t>
        </w:r>
      </w:hyperlink>
      <w:r w:rsidR="008A62AA">
        <w:rPr>
          <w:b/>
          <w:lang w:val="en-IE"/>
        </w:rPr>
        <w:t xml:space="preserve"> </w:t>
      </w:r>
      <w:r w:rsidR="00C42071" w:rsidRPr="00C42071">
        <w:rPr>
          <w:b/>
          <w:lang w:val="en-IE"/>
        </w:rPr>
        <w:t>Abandoned local authority dwelling</w:t>
      </w:r>
      <w:r w:rsidR="00C42071">
        <w:rPr>
          <w:b/>
          <w:lang w:val="en-IE"/>
        </w:rPr>
        <w:t xml:space="preserve"> </w:t>
      </w:r>
    </w:p>
    <w:p w:rsidR="008A62AA" w:rsidRPr="008A62AA" w:rsidRDefault="008A62AA" w:rsidP="008A62AA">
      <w:pPr>
        <w:pStyle w:val="ListParagraph"/>
        <w:numPr>
          <w:ilvl w:val="0"/>
          <w:numId w:val="14"/>
        </w:numPr>
        <w:rPr>
          <w:lang w:val="en-IE"/>
        </w:rPr>
      </w:pPr>
      <w:r w:rsidRPr="008A62AA">
        <w:rPr>
          <w:lang w:val="en-IE"/>
        </w:rPr>
        <w:t>Where rent has not been paid for 4 week period or more</w:t>
      </w:r>
    </w:p>
    <w:p w:rsidR="008A62AA" w:rsidRPr="008A62AA" w:rsidRDefault="008A62AA" w:rsidP="008A62AA">
      <w:pPr>
        <w:pStyle w:val="ListParagraph"/>
        <w:numPr>
          <w:ilvl w:val="0"/>
          <w:numId w:val="14"/>
        </w:numPr>
        <w:rPr>
          <w:lang w:val="en-IE"/>
        </w:rPr>
      </w:pPr>
      <w:r w:rsidRPr="008A62AA">
        <w:rPr>
          <w:lang w:val="en-IE"/>
        </w:rPr>
        <w:t>The dwelling has not been occupied by the tenant or members of their household for a period of six weeks or more</w:t>
      </w:r>
    </w:p>
    <w:p w:rsidR="008A62AA" w:rsidRDefault="008A62AA" w:rsidP="008A62AA">
      <w:pPr>
        <w:pStyle w:val="ListParagraph"/>
        <w:numPr>
          <w:ilvl w:val="0"/>
          <w:numId w:val="14"/>
        </w:numPr>
        <w:rPr>
          <w:lang w:val="en-IE"/>
        </w:rPr>
      </w:pPr>
      <w:r w:rsidRPr="008A62AA">
        <w:rPr>
          <w:lang w:val="en-IE"/>
        </w:rPr>
        <w:t>The Council is of the opinion that the household does not intend to occup</w:t>
      </w:r>
      <w:r>
        <w:rPr>
          <w:lang w:val="en-IE"/>
        </w:rPr>
        <w:t>y</w:t>
      </w:r>
      <w:r w:rsidRPr="008A62AA">
        <w:rPr>
          <w:lang w:val="en-IE"/>
        </w:rPr>
        <w:t xml:space="preserve"> the dwelling as its normal place of residence.</w:t>
      </w:r>
    </w:p>
    <w:p w:rsidR="008A62AA" w:rsidRDefault="008A62AA" w:rsidP="008A62AA">
      <w:pPr>
        <w:pStyle w:val="ListParagraph"/>
        <w:rPr>
          <w:lang w:val="en-IE"/>
        </w:rPr>
      </w:pPr>
    </w:p>
    <w:p w:rsidR="008A62AA" w:rsidRDefault="008A62AA" w:rsidP="008A62AA">
      <w:pPr>
        <w:rPr>
          <w:lang w:val="en-IE"/>
        </w:rPr>
      </w:pPr>
      <w:r>
        <w:rPr>
          <w:lang w:val="en-IE"/>
        </w:rPr>
        <w:t xml:space="preserve">Procedure </w:t>
      </w:r>
    </w:p>
    <w:p w:rsidR="008A62AA" w:rsidRPr="00174D4E" w:rsidRDefault="008A62AA" w:rsidP="00174D4E">
      <w:pPr>
        <w:pStyle w:val="ListParagraph"/>
        <w:numPr>
          <w:ilvl w:val="0"/>
          <w:numId w:val="15"/>
        </w:numPr>
        <w:rPr>
          <w:lang w:val="en-IE"/>
        </w:rPr>
      </w:pPr>
      <w:r w:rsidRPr="00174D4E">
        <w:rPr>
          <w:lang w:val="en-IE"/>
        </w:rPr>
        <w:t>Notice to be served on each tenant</w:t>
      </w:r>
    </w:p>
    <w:p w:rsidR="008A62AA" w:rsidRDefault="008A62AA" w:rsidP="00174D4E">
      <w:pPr>
        <w:pStyle w:val="ListParagraph"/>
        <w:numPr>
          <w:ilvl w:val="0"/>
          <w:numId w:val="15"/>
        </w:numPr>
        <w:rPr>
          <w:lang w:val="en-IE"/>
        </w:rPr>
      </w:pPr>
      <w:r w:rsidRPr="00174D4E">
        <w:rPr>
          <w:lang w:val="en-IE"/>
        </w:rPr>
        <w:t xml:space="preserve">If no written notification is received from the tenants within four weeks notifying the Council of their intention to </w:t>
      </w:r>
      <w:r w:rsidR="00174D4E" w:rsidRPr="00174D4E">
        <w:rPr>
          <w:lang w:val="en-IE"/>
        </w:rPr>
        <w:t>their intention to occupy the dwelling as their normal place of residence then the Council will terminate the tenancy by way of Chief Executive Order and Notice of Termination s</w:t>
      </w:r>
      <w:r w:rsidR="00174D4E">
        <w:rPr>
          <w:lang w:val="en-IE"/>
        </w:rPr>
        <w:t>erved.</w:t>
      </w:r>
    </w:p>
    <w:p w:rsidR="003C5F5F" w:rsidRDefault="003C5F5F" w:rsidP="00174D4E">
      <w:pPr>
        <w:pStyle w:val="ListParagraph"/>
        <w:numPr>
          <w:ilvl w:val="0"/>
          <w:numId w:val="15"/>
        </w:numPr>
        <w:rPr>
          <w:lang w:val="en-IE"/>
        </w:rPr>
      </w:pPr>
      <w:r>
        <w:rPr>
          <w:lang w:val="en-IE"/>
        </w:rPr>
        <w:t xml:space="preserve">The contents of the property must be </w:t>
      </w:r>
      <w:r w:rsidR="00AB59CC">
        <w:rPr>
          <w:lang w:val="en-IE"/>
        </w:rPr>
        <w:t>returned to the tenant if they require it and therefore we must retain it</w:t>
      </w:r>
      <w:r>
        <w:rPr>
          <w:lang w:val="en-IE"/>
        </w:rPr>
        <w:t xml:space="preserve"> for a period</w:t>
      </w:r>
      <w:r w:rsidR="00AB59CC">
        <w:rPr>
          <w:lang w:val="en-IE"/>
        </w:rPr>
        <w:t xml:space="preserve">.  It can then be </w:t>
      </w:r>
      <w:r>
        <w:rPr>
          <w:lang w:val="en-IE"/>
        </w:rPr>
        <w:t xml:space="preserve">sold if possible to pay arrears and or other costs. </w:t>
      </w:r>
    </w:p>
    <w:p w:rsidR="003C5F5F" w:rsidRPr="003C5F5F" w:rsidRDefault="003C5F5F" w:rsidP="003C5F5F">
      <w:pPr>
        <w:rPr>
          <w:lang w:val="en-IE"/>
        </w:rPr>
      </w:pPr>
    </w:p>
    <w:p w:rsidR="00174D4E" w:rsidRDefault="00174D4E" w:rsidP="00174D4E">
      <w:pPr>
        <w:rPr>
          <w:lang w:val="en-IE"/>
        </w:rPr>
      </w:pPr>
    </w:p>
    <w:p w:rsidR="00174D4E" w:rsidRDefault="0023084F" w:rsidP="00174D4E">
      <w:pPr>
        <w:rPr>
          <w:b/>
          <w:lang w:val="en-IE"/>
        </w:rPr>
      </w:pPr>
      <w:hyperlink r:id="rId18" w:history="1">
        <w:r w:rsidR="00174D4E" w:rsidRPr="00B77CE2">
          <w:rPr>
            <w:rStyle w:val="Hyperlink"/>
            <w:b/>
            <w:lang w:val="en-IE"/>
          </w:rPr>
          <w:t>Section 16</w:t>
        </w:r>
      </w:hyperlink>
      <w:r w:rsidR="00174D4E" w:rsidRPr="00174D4E">
        <w:rPr>
          <w:b/>
          <w:lang w:val="en-IE"/>
        </w:rPr>
        <w:t xml:space="preserve"> Application to court in respect of tenancy terminated under </w:t>
      </w:r>
      <w:hyperlink r:id="rId19" w:history="1">
        <w:r w:rsidR="00174D4E" w:rsidRPr="00B77CE2">
          <w:rPr>
            <w:rStyle w:val="Hyperlink"/>
            <w:b/>
            <w:lang w:val="en-IE"/>
          </w:rPr>
          <w:t>Section 15</w:t>
        </w:r>
      </w:hyperlink>
    </w:p>
    <w:p w:rsidR="00174D4E" w:rsidRDefault="00174D4E" w:rsidP="00174D4E">
      <w:pPr>
        <w:pStyle w:val="ListParagraph"/>
        <w:numPr>
          <w:ilvl w:val="0"/>
          <w:numId w:val="10"/>
        </w:numPr>
        <w:rPr>
          <w:lang w:val="en-IE"/>
        </w:rPr>
      </w:pPr>
      <w:r w:rsidRPr="00174D4E">
        <w:rPr>
          <w:lang w:val="en-IE"/>
        </w:rPr>
        <w:lastRenderedPageBreak/>
        <w:t xml:space="preserve">Where a tenancy has been terminated under Section 15 a tenant may apply to the District Court within six months from date of termination to have the termination rescinded.  </w:t>
      </w:r>
    </w:p>
    <w:p w:rsidR="00174D4E" w:rsidRDefault="00174D4E" w:rsidP="00174D4E">
      <w:pPr>
        <w:pStyle w:val="ListParagraph"/>
        <w:rPr>
          <w:lang w:val="en-IE"/>
        </w:rPr>
      </w:pPr>
    </w:p>
    <w:p w:rsidR="00174D4E" w:rsidRDefault="00174D4E" w:rsidP="00174D4E">
      <w:pPr>
        <w:rPr>
          <w:lang w:val="en-IE"/>
        </w:rPr>
      </w:pPr>
      <w:r>
        <w:rPr>
          <w:lang w:val="en-IE"/>
        </w:rPr>
        <w:t>If the Courts find in favour of the tenant they may direct the Council to reinstate the tenancy or where the house has been relet allocate adequate suitable housing that is located as near as practicable to the dwelling to which the termination applies.</w:t>
      </w:r>
    </w:p>
    <w:p w:rsidR="00174D4E" w:rsidRDefault="00174D4E" w:rsidP="00174D4E">
      <w:pPr>
        <w:rPr>
          <w:lang w:val="en-IE"/>
        </w:rPr>
      </w:pPr>
    </w:p>
    <w:p w:rsidR="0068409B" w:rsidRDefault="0068409B" w:rsidP="00174D4E">
      <w:pPr>
        <w:rPr>
          <w:lang w:val="en-IE"/>
        </w:rPr>
      </w:pPr>
    </w:p>
    <w:p w:rsidR="0068409B" w:rsidRDefault="0068409B" w:rsidP="00174D4E">
      <w:pPr>
        <w:rPr>
          <w:lang w:val="en-IE"/>
        </w:rPr>
      </w:pPr>
    </w:p>
    <w:p w:rsidR="00174D4E" w:rsidRDefault="0023084F" w:rsidP="00174D4E">
      <w:pPr>
        <w:rPr>
          <w:b/>
          <w:lang w:val="en-IE"/>
        </w:rPr>
      </w:pPr>
      <w:hyperlink r:id="rId20" w:history="1">
        <w:r w:rsidR="008C146C" w:rsidRPr="00B77CE2">
          <w:rPr>
            <w:rStyle w:val="Hyperlink"/>
            <w:b/>
            <w:lang w:val="en-IE"/>
          </w:rPr>
          <w:t>Section 17</w:t>
        </w:r>
      </w:hyperlink>
      <w:r w:rsidR="008C146C" w:rsidRPr="008C146C">
        <w:rPr>
          <w:b/>
          <w:lang w:val="en-IE"/>
        </w:rPr>
        <w:t xml:space="preserve"> Death of tenant and recovery of possession in certain cases.</w:t>
      </w:r>
    </w:p>
    <w:p w:rsidR="008C146C" w:rsidRPr="008C146C" w:rsidRDefault="008C146C" w:rsidP="008C146C">
      <w:pPr>
        <w:rPr>
          <w:lang w:val="en-IE"/>
        </w:rPr>
      </w:pPr>
      <w:r w:rsidRPr="008C146C">
        <w:rPr>
          <w:lang w:val="en-IE"/>
        </w:rPr>
        <w:t>Where a tenancy has ended due to the death of the tenant and the dwelling is occupied by:</w:t>
      </w:r>
    </w:p>
    <w:p w:rsidR="008C146C" w:rsidRPr="008C146C" w:rsidRDefault="008C146C" w:rsidP="008C146C">
      <w:pPr>
        <w:pStyle w:val="ListParagraph"/>
        <w:numPr>
          <w:ilvl w:val="0"/>
          <w:numId w:val="16"/>
        </w:numPr>
        <w:rPr>
          <w:lang w:val="en-IE"/>
        </w:rPr>
      </w:pPr>
      <w:r w:rsidRPr="008C146C">
        <w:rPr>
          <w:lang w:val="en-IE"/>
        </w:rPr>
        <w:t>A member of the tenant’s household who is not entitled to become a tenant of the dwelling as a consequence of that death, or</w:t>
      </w:r>
    </w:p>
    <w:p w:rsidR="008C146C" w:rsidRDefault="008C146C" w:rsidP="008C146C">
      <w:pPr>
        <w:pStyle w:val="ListParagraph"/>
        <w:numPr>
          <w:ilvl w:val="0"/>
          <w:numId w:val="16"/>
        </w:numPr>
        <w:rPr>
          <w:lang w:val="en-IE"/>
        </w:rPr>
      </w:pPr>
      <w:r w:rsidRPr="008C146C">
        <w:rPr>
          <w:lang w:val="en-IE"/>
        </w:rPr>
        <w:t>By a person purporting to be a member of the tenant’s household</w:t>
      </w:r>
    </w:p>
    <w:p w:rsidR="008C146C" w:rsidRDefault="008C146C" w:rsidP="008C146C">
      <w:pPr>
        <w:rPr>
          <w:lang w:val="en-IE"/>
        </w:rPr>
      </w:pPr>
    </w:p>
    <w:p w:rsidR="008C146C" w:rsidRDefault="008C146C" w:rsidP="008C146C">
      <w:pPr>
        <w:rPr>
          <w:lang w:val="en-IE"/>
        </w:rPr>
      </w:pPr>
      <w:r>
        <w:rPr>
          <w:lang w:val="en-IE"/>
        </w:rPr>
        <w:t>The Council may apply to the District Court for a Possession Order.</w:t>
      </w:r>
    </w:p>
    <w:p w:rsidR="008C146C" w:rsidRDefault="008C146C" w:rsidP="008C146C">
      <w:pPr>
        <w:rPr>
          <w:lang w:val="en-IE"/>
        </w:rPr>
      </w:pPr>
    </w:p>
    <w:p w:rsidR="008C146C" w:rsidRDefault="008C146C" w:rsidP="008C146C">
      <w:pPr>
        <w:rPr>
          <w:lang w:val="en-IE"/>
        </w:rPr>
      </w:pPr>
      <w:r>
        <w:rPr>
          <w:lang w:val="en-IE"/>
        </w:rPr>
        <w:t xml:space="preserve">Procedure </w:t>
      </w:r>
    </w:p>
    <w:p w:rsidR="008C146C" w:rsidRPr="00C42071" w:rsidRDefault="008C146C" w:rsidP="008C146C">
      <w:pPr>
        <w:pStyle w:val="ListParagraph"/>
        <w:numPr>
          <w:ilvl w:val="0"/>
          <w:numId w:val="17"/>
        </w:numPr>
        <w:rPr>
          <w:lang w:val="en-IE"/>
        </w:rPr>
      </w:pPr>
      <w:r w:rsidRPr="00C42071">
        <w:rPr>
          <w:lang w:val="en-IE"/>
        </w:rPr>
        <w:t>Notice required to be served on occupier</w:t>
      </w:r>
    </w:p>
    <w:p w:rsidR="008C146C" w:rsidRDefault="008C146C" w:rsidP="008C146C">
      <w:pPr>
        <w:pStyle w:val="ListParagraph"/>
        <w:numPr>
          <w:ilvl w:val="0"/>
          <w:numId w:val="17"/>
        </w:numPr>
        <w:rPr>
          <w:lang w:val="en-IE"/>
        </w:rPr>
      </w:pPr>
      <w:r w:rsidRPr="00C42071">
        <w:rPr>
          <w:lang w:val="en-IE"/>
        </w:rPr>
        <w:t>Application to District Court for Possession Order</w:t>
      </w:r>
      <w:r>
        <w:rPr>
          <w:lang w:val="en-IE"/>
        </w:rPr>
        <w:t>.</w:t>
      </w:r>
    </w:p>
    <w:p w:rsidR="00AB59CC" w:rsidRDefault="00AB59CC" w:rsidP="00AB59CC">
      <w:pPr>
        <w:rPr>
          <w:lang w:val="en-IE"/>
        </w:rPr>
      </w:pPr>
    </w:p>
    <w:p w:rsidR="00AB59CC" w:rsidRDefault="00AB59CC" w:rsidP="00AB59CC">
      <w:pPr>
        <w:rPr>
          <w:lang w:val="en-IE"/>
        </w:rPr>
      </w:pPr>
    </w:p>
    <w:p w:rsidR="00AB59CC" w:rsidRDefault="00AB59CC" w:rsidP="00AB59CC">
      <w:pPr>
        <w:rPr>
          <w:lang w:val="en-IE"/>
        </w:rPr>
      </w:pPr>
    </w:p>
    <w:p w:rsidR="00AB59CC" w:rsidRPr="00AB59CC" w:rsidRDefault="00AB59CC" w:rsidP="00AB59CC">
      <w:pPr>
        <w:rPr>
          <w:b/>
          <w:sz w:val="32"/>
          <w:u w:val="single"/>
          <w:lang w:val="en-IE"/>
        </w:rPr>
      </w:pPr>
      <w:r w:rsidRPr="00AB59CC">
        <w:rPr>
          <w:b/>
          <w:sz w:val="32"/>
          <w:u w:val="single"/>
          <w:lang w:val="en-IE"/>
        </w:rPr>
        <w:t xml:space="preserve">Additional notes in relation to Part 2 </w:t>
      </w:r>
    </w:p>
    <w:p w:rsidR="0068409B" w:rsidRDefault="0068409B" w:rsidP="0068409B">
      <w:pPr>
        <w:rPr>
          <w:lang w:val="en-IE"/>
        </w:rPr>
      </w:pPr>
    </w:p>
    <w:p w:rsidR="00AB59CC" w:rsidRDefault="00AB59CC" w:rsidP="00AB59CC">
      <w:pPr>
        <w:rPr>
          <w:b/>
          <w:u w:val="single"/>
          <w:lang w:val="en-IE"/>
        </w:rPr>
      </w:pPr>
      <w:r>
        <w:rPr>
          <w:b/>
          <w:u w:val="single"/>
          <w:lang w:val="en-IE"/>
        </w:rPr>
        <w:t>Warning notices</w:t>
      </w:r>
    </w:p>
    <w:p w:rsidR="00AB59CC" w:rsidRDefault="00AB59CC" w:rsidP="00AB59CC">
      <w:pPr>
        <w:rPr>
          <w:b/>
          <w:u w:val="single"/>
          <w:lang w:val="en-IE"/>
        </w:rPr>
      </w:pPr>
      <w:r>
        <w:rPr>
          <w:b/>
          <w:u w:val="single"/>
          <w:lang w:val="en-IE"/>
        </w:rPr>
        <w:t xml:space="preserve"> </w:t>
      </w:r>
    </w:p>
    <w:p w:rsidR="00AB59CC" w:rsidRDefault="00AB59CC" w:rsidP="00AB59CC">
      <w:pPr>
        <w:numPr>
          <w:ilvl w:val="0"/>
          <w:numId w:val="19"/>
        </w:numPr>
        <w:rPr>
          <w:lang w:val="en-IE"/>
        </w:rPr>
      </w:pPr>
      <w:r>
        <w:rPr>
          <w:lang w:val="en-IE"/>
        </w:rPr>
        <w:t>Can be fitted into any stage of existing procedures</w:t>
      </w:r>
    </w:p>
    <w:p w:rsidR="00AB59CC" w:rsidRDefault="00AB59CC" w:rsidP="00AB59CC">
      <w:pPr>
        <w:numPr>
          <w:ilvl w:val="0"/>
          <w:numId w:val="19"/>
        </w:numPr>
        <w:rPr>
          <w:lang w:val="en-IE"/>
        </w:rPr>
      </w:pPr>
      <w:r>
        <w:rPr>
          <w:lang w:val="en-IE"/>
        </w:rPr>
        <w:t>Council can apply for possession order without issuing tenancy warning but court can take that into account in deciding on order</w:t>
      </w:r>
    </w:p>
    <w:p w:rsidR="00AB59CC" w:rsidRDefault="00AB59CC" w:rsidP="00AB59CC">
      <w:pPr>
        <w:numPr>
          <w:ilvl w:val="0"/>
          <w:numId w:val="19"/>
        </w:numPr>
        <w:rPr>
          <w:lang w:val="en-IE"/>
        </w:rPr>
      </w:pPr>
      <w:r>
        <w:rPr>
          <w:lang w:val="en-IE"/>
        </w:rPr>
        <w:t>Warning relates to breach of tenancy agreement and different provisions apply to warnings relating to ASB, rent and other breaches</w:t>
      </w:r>
    </w:p>
    <w:p w:rsidR="00AB59CC" w:rsidRDefault="00AB59CC" w:rsidP="00AB59CC">
      <w:pPr>
        <w:numPr>
          <w:ilvl w:val="0"/>
          <w:numId w:val="19"/>
        </w:numPr>
      </w:pPr>
      <w:r>
        <w:rPr>
          <w:lang w:val="en-IE"/>
        </w:rPr>
        <w:t>Provision re Council protecting identity of persons giving information</w:t>
      </w:r>
    </w:p>
    <w:p w:rsidR="00AB59CC" w:rsidRDefault="00AB59CC" w:rsidP="00AB59CC">
      <w:pPr>
        <w:rPr>
          <w:lang w:val="en-IE"/>
        </w:rPr>
      </w:pPr>
    </w:p>
    <w:p w:rsidR="00AB59CC" w:rsidRDefault="00AB59CC" w:rsidP="00AB59CC">
      <w:pPr>
        <w:rPr>
          <w:b/>
          <w:bCs/>
          <w:u w:val="single"/>
          <w:lang w:val="en-IE"/>
        </w:rPr>
      </w:pPr>
      <w:r>
        <w:rPr>
          <w:b/>
          <w:bCs/>
          <w:u w:val="single"/>
          <w:lang w:val="en-IE"/>
        </w:rPr>
        <w:t>If breach continues following warning:</w:t>
      </w:r>
    </w:p>
    <w:p w:rsidR="00AB59CC" w:rsidRDefault="00AB59CC" w:rsidP="00AB59CC">
      <w:pPr>
        <w:rPr>
          <w:u w:val="single"/>
          <w:lang w:val="en-IE"/>
        </w:rPr>
      </w:pPr>
    </w:p>
    <w:p w:rsidR="00AB59CC" w:rsidRDefault="00AB59CC" w:rsidP="00AB59CC">
      <w:pPr>
        <w:numPr>
          <w:ilvl w:val="0"/>
          <w:numId w:val="20"/>
        </w:numPr>
        <w:rPr>
          <w:lang w:val="en-IE"/>
        </w:rPr>
      </w:pPr>
      <w:r>
        <w:rPr>
          <w:lang w:val="en-IE"/>
        </w:rPr>
        <w:t>Application for possession order</w:t>
      </w:r>
    </w:p>
    <w:p w:rsidR="00AB59CC" w:rsidRDefault="00AB59CC" w:rsidP="00AB59CC">
      <w:pPr>
        <w:numPr>
          <w:ilvl w:val="0"/>
          <w:numId w:val="20"/>
        </w:numPr>
        <w:rPr>
          <w:lang w:val="en-IE"/>
        </w:rPr>
      </w:pPr>
      <w:r>
        <w:rPr>
          <w:u w:val="single"/>
          <w:lang w:val="en-IE"/>
        </w:rPr>
        <w:t>In case of ASB:</w:t>
      </w:r>
      <w:r>
        <w:rPr>
          <w:lang w:val="en-IE"/>
        </w:rPr>
        <w:t xml:space="preserve">   For 3 years after warning comes into force, HA may take warning into account in considering whether to refuse to allocate/sell etc. a dwelling</w:t>
      </w:r>
    </w:p>
    <w:p w:rsidR="00AB59CC" w:rsidRDefault="00AB59CC" w:rsidP="00AB59CC">
      <w:pPr>
        <w:numPr>
          <w:ilvl w:val="0"/>
          <w:numId w:val="20"/>
        </w:numPr>
        <w:rPr>
          <w:lang w:val="en-IE"/>
        </w:rPr>
      </w:pPr>
      <w:r>
        <w:rPr>
          <w:u w:val="single"/>
          <w:lang w:val="en-IE"/>
        </w:rPr>
        <w:t>In case of rent:</w:t>
      </w:r>
      <w:r>
        <w:rPr>
          <w:lang w:val="en-IE"/>
        </w:rPr>
        <w:t xml:space="preserve">    Household loses entitlement to social housing support, cannot  purchase the dwelling</w:t>
      </w:r>
    </w:p>
    <w:p w:rsidR="00AB59CC" w:rsidRDefault="00AB59CC" w:rsidP="00AB59CC">
      <w:pPr>
        <w:rPr>
          <w:lang w:val="en-US"/>
        </w:rPr>
      </w:pPr>
    </w:p>
    <w:p w:rsidR="00AB59CC" w:rsidRDefault="00AB59CC" w:rsidP="00AB59CC">
      <w:pPr>
        <w:rPr>
          <w:b/>
          <w:u w:val="single"/>
          <w:lang w:val="en-US"/>
        </w:rPr>
      </w:pPr>
      <w:r>
        <w:rPr>
          <w:b/>
          <w:u w:val="single"/>
          <w:lang w:val="en-US"/>
        </w:rPr>
        <w:t>Reviews</w:t>
      </w:r>
    </w:p>
    <w:p w:rsidR="00AB59CC" w:rsidRDefault="00AB59CC" w:rsidP="00AB59CC">
      <w:pPr>
        <w:rPr>
          <w:b/>
          <w:u w:val="single"/>
          <w:lang w:val="en-US"/>
        </w:rPr>
      </w:pPr>
    </w:p>
    <w:p w:rsidR="00AB59CC" w:rsidRDefault="00AB59CC" w:rsidP="00AB59CC">
      <w:pPr>
        <w:numPr>
          <w:ilvl w:val="0"/>
          <w:numId w:val="20"/>
        </w:numPr>
        <w:rPr>
          <w:lang w:val="en-US"/>
        </w:rPr>
      </w:pPr>
      <w:r>
        <w:rPr>
          <w:lang w:val="en-US"/>
        </w:rPr>
        <w:t>Review by official not involved in the decision to issue warning and senior in rank to the officer who decided to issue warning (can be in any LA)</w:t>
      </w:r>
    </w:p>
    <w:p w:rsidR="00AB59CC" w:rsidRDefault="00AB59CC" w:rsidP="00AB59CC">
      <w:pPr>
        <w:numPr>
          <w:ilvl w:val="0"/>
          <w:numId w:val="20"/>
        </w:numPr>
        <w:rPr>
          <w:lang w:val="en-US"/>
        </w:rPr>
      </w:pPr>
      <w:r>
        <w:rPr>
          <w:lang w:val="en-US"/>
        </w:rPr>
        <w:t>Household generally has 2 weeks to request review, which must be done in 4 weeks or, in case of oral hearing, etc., 6 weeks</w:t>
      </w:r>
    </w:p>
    <w:p w:rsidR="00AB59CC" w:rsidRDefault="00AB59CC" w:rsidP="00AB59CC">
      <w:pPr>
        <w:numPr>
          <w:ilvl w:val="0"/>
          <w:numId w:val="20"/>
        </w:numPr>
      </w:pPr>
      <w:r>
        <w:rPr>
          <w:lang w:val="en-US"/>
        </w:rPr>
        <w:t>Reviewer may accept Garda or LA official statement of ASB as evidence of ASB in cases of intimidation</w:t>
      </w:r>
    </w:p>
    <w:p w:rsidR="00AB59CC" w:rsidRDefault="00AB59CC" w:rsidP="00AB59CC"/>
    <w:p w:rsidR="00AB59CC" w:rsidRDefault="00AB59CC" w:rsidP="00AB59CC">
      <w:pPr>
        <w:rPr>
          <w:b/>
          <w:u w:val="single"/>
        </w:rPr>
      </w:pPr>
      <w:r>
        <w:rPr>
          <w:b/>
          <w:u w:val="single"/>
        </w:rPr>
        <w:t xml:space="preserve">Types of Possession hearings </w:t>
      </w:r>
    </w:p>
    <w:p w:rsidR="00AB59CC" w:rsidRDefault="00AB59CC" w:rsidP="00AB59CC">
      <w:pPr>
        <w:rPr>
          <w:b/>
          <w:u w:val="single"/>
        </w:rPr>
      </w:pPr>
    </w:p>
    <w:p w:rsidR="00AB59CC" w:rsidRDefault="00AB59CC" w:rsidP="00AB59CC">
      <w:pPr>
        <w:numPr>
          <w:ilvl w:val="0"/>
          <w:numId w:val="21"/>
        </w:numPr>
        <w:rPr>
          <w:lang w:val="en-IE"/>
        </w:rPr>
      </w:pPr>
      <w:r>
        <w:rPr>
          <w:b/>
          <w:bCs/>
          <w:lang w:val="en-IE"/>
        </w:rPr>
        <w:t>Section 12</w:t>
      </w:r>
      <w:r>
        <w:rPr>
          <w:lang w:val="en-IE"/>
        </w:rPr>
        <w:t>:  Breaches of tenancy agreement (ASB, rent, etc.).  Possession terminates the tenancy</w:t>
      </w:r>
    </w:p>
    <w:p w:rsidR="00AB59CC" w:rsidRDefault="00AB59CC" w:rsidP="00AB59CC">
      <w:pPr>
        <w:numPr>
          <w:ilvl w:val="0"/>
          <w:numId w:val="21"/>
        </w:numPr>
        <w:rPr>
          <w:lang w:val="en-IE"/>
        </w:rPr>
      </w:pPr>
      <w:r>
        <w:rPr>
          <w:b/>
          <w:bCs/>
          <w:lang w:val="en-IE"/>
        </w:rPr>
        <w:t>Section 13</w:t>
      </w:r>
      <w:r>
        <w:rPr>
          <w:lang w:val="en-IE"/>
        </w:rPr>
        <w:t>:  Squatters.  Includes offence of squatting (subsection (14).  See section 20 of 1997 Act re Garda power to direct squatters engaged in ASB to leave dwelling and, if necessary to arrest him/her.</w:t>
      </w:r>
    </w:p>
    <w:p w:rsidR="00AB59CC" w:rsidRDefault="00AB59CC" w:rsidP="00AB59CC">
      <w:pPr>
        <w:numPr>
          <w:ilvl w:val="0"/>
          <w:numId w:val="21"/>
        </w:numPr>
        <w:rPr>
          <w:lang w:val="en-IE"/>
        </w:rPr>
      </w:pPr>
      <w:r>
        <w:rPr>
          <w:b/>
          <w:bCs/>
          <w:lang w:val="en-IE"/>
        </w:rPr>
        <w:t>Section 15</w:t>
      </w:r>
      <w:r>
        <w:rPr>
          <w:lang w:val="en-IE"/>
        </w:rPr>
        <w:t>: Abandoned dwellings.  Notice procedure only, which terminates tenancy.  Aggrieved former tenant may seek court redress (section 16).</w:t>
      </w:r>
    </w:p>
    <w:p w:rsidR="00AB59CC" w:rsidRDefault="00AB59CC" w:rsidP="00AB59CC">
      <w:pPr>
        <w:numPr>
          <w:ilvl w:val="0"/>
          <w:numId w:val="21"/>
        </w:numPr>
      </w:pPr>
      <w:r>
        <w:rPr>
          <w:b/>
          <w:bCs/>
          <w:lang w:val="en-IE"/>
        </w:rPr>
        <w:t>Section 17</w:t>
      </w:r>
      <w:r>
        <w:rPr>
          <w:lang w:val="en-IE"/>
        </w:rPr>
        <w:t>: Tenant deceased and succession refused to household member.</w:t>
      </w:r>
    </w:p>
    <w:p w:rsidR="00AB59CC" w:rsidRDefault="00AB59CC" w:rsidP="00AB59CC"/>
    <w:p w:rsidR="00AB59CC" w:rsidRDefault="00AB59CC" w:rsidP="00AB59CC">
      <w:pPr>
        <w:rPr>
          <w:b/>
          <w:u w:val="single"/>
        </w:rPr>
      </w:pPr>
      <w:r>
        <w:rPr>
          <w:b/>
          <w:u w:val="single"/>
        </w:rPr>
        <w:t xml:space="preserve">Common features of possession proceedings </w:t>
      </w:r>
    </w:p>
    <w:p w:rsidR="00AB59CC" w:rsidRDefault="00AB59CC" w:rsidP="00AB59CC">
      <w:pPr>
        <w:rPr>
          <w:b/>
          <w:u w:val="single"/>
        </w:rPr>
      </w:pPr>
    </w:p>
    <w:p w:rsidR="00AB59CC" w:rsidRDefault="00AB59CC" w:rsidP="00AB59CC">
      <w:pPr>
        <w:numPr>
          <w:ilvl w:val="0"/>
          <w:numId w:val="22"/>
        </w:numPr>
        <w:rPr>
          <w:lang w:val="en-IE"/>
        </w:rPr>
      </w:pPr>
      <w:r>
        <w:rPr>
          <w:lang w:val="en-IE"/>
        </w:rPr>
        <w:t xml:space="preserve">Ten days notice to tenant of date of court hearing except in case of serious ASB. </w:t>
      </w:r>
    </w:p>
    <w:p w:rsidR="00AB59CC" w:rsidRDefault="00AB59CC" w:rsidP="00AB59CC">
      <w:pPr>
        <w:numPr>
          <w:ilvl w:val="0"/>
          <w:numId w:val="22"/>
        </w:numPr>
        <w:rPr>
          <w:lang w:val="en-US"/>
        </w:rPr>
      </w:pPr>
      <w:r>
        <w:rPr>
          <w:lang w:val="en-US"/>
        </w:rPr>
        <w:t>Court application may set out grounds for possession by information on oath.</w:t>
      </w:r>
    </w:p>
    <w:p w:rsidR="00AB59CC" w:rsidRDefault="00AB59CC" w:rsidP="00AB59CC">
      <w:pPr>
        <w:numPr>
          <w:ilvl w:val="0"/>
          <w:numId w:val="22"/>
        </w:numPr>
        <w:rPr>
          <w:lang w:val="en-US"/>
        </w:rPr>
      </w:pPr>
      <w:r>
        <w:rPr>
          <w:lang w:val="en-US"/>
        </w:rPr>
        <w:t>If tenant does not attend court and HA makes prima facie case for possession, Court may grant the order.</w:t>
      </w:r>
    </w:p>
    <w:p w:rsidR="00AB59CC" w:rsidRDefault="00AB59CC" w:rsidP="00AB59CC">
      <w:pPr>
        <w:numPr>
          <w:ilvl w:val="0"/>
          <w:numId w:val="22"/>
        </w:numPr>
        <w:rPr>
          <w:lang w:val="en-US"/>
        </w:rPr>
      </w:pPr>
      <w:r>
        <w:rPr>
          <w:lang w:val="en-US"/>
        </w:rPr>
        <w:t xml:space="preserve">Court may adjourn proceedings with or without conditions and decide to hold all or part of hearing in private. </w:t>
      </w:r>
    </w:p>
    <w:p w:rsidR="00AB59CC" w:rsidRPr="00AB59CC" w:rsidRDefault="00AB59CC" w:rsidP="00AB59CC">
      <w:pPr>
        <w:numPr>
          <w:ilvl w:val="0"/>
          <w:numId w:val="22"/>
        </w:numPr>
        <w:rPr>
          <w:u w:val="single"/>
          <w:lang w:val="en-US"/>
        </w:rPr>
      </w:pPr>
      <w:r w:rsidRPr="00AB59CC">
        <w:rPr>
          <w:u w:val="single"/>
          <w:lang w:val="en-US"/>
        </w:rPr>
        <w:t>Criteria for making possession order includes ECHR-related requirement that order is proportionate to grounds for possession.</w:t>
      </w:r>
    </w:p>
    <w:p w:rsidR="00AB59CC" w:rsidRDefault="00AB59CC" w:rsidP="00AB59CC">
      <w:pPr>
        <w:numPr>
          <w:ilvl w:val="0"/>
          <w:numId w:val="22"/>
        </w:numPr>
        <w:rPr>
          <w:lang w:val="en-US"/>
        </w:rPr>
      </w:pPr>
      <w:r>
        <w:rPr>
          <w:lang w:val="en-US"/>
        </w:rPr>
        <w:t>District Court decision is appealable to Circuit Court and point of law may be referred to High Court.</w:t>
      </w:r>
    </w:p>
    <w:p w:rsidR="00AB59CC" w:rsidRDefault="00AB59CC" w:rsidP="00AB59CC">
      <w:pPr>
        <w:numPr>
          <w:ilvl w:val="0"/>
          <w:numId w:val="22"/>
        </w:numPr>
        <w:rPr>
          <w:lang w:val="en-US"/>
        </w:rPr>
      </w:pPr>
      <w:r>
        <w:rPr>
          <w:lang w:val="en-IE"/>
        </w:rPr>
        <w:t>Updated offence of intimidation (section 19(11))</w:t>
      </w:r>
    </w:p>
    <w:p w:rsidR="00AB59CC" w:rsidRDefault="00AB59CC" w:rsidP="00AB59CC">
      <w:pPr>
        <w:rPr>
          <w:lang w:val="en-IE"/>
        </w:rPr>
      </w:pPr>
    </w:p>
    <w:p w:rsidR="00AB59CC" w:rsidRDefault="00AB59CC" w:rsidP="00AB59CC">
      <w:pPr>
        <w:rPr>
          <w:b/>
          <w:u w:val="single"/>
          <w:lang w:val="en-IE"/>
        </w:rPr>
      </w:pPr>
      <w:r>
        <w:rPr>
          <w:b/>
          <w:u w:val="single"/>
          <w:lang w:val="en-IE"/>
        </w:rPr>
        <w:t>Specific features</w:t>
      </w:r>
    </w:p>
    <w:p w:rsidR="00AB59CC" w:rsidRDefault="00AB59CC" w:rsidP="00AB59CC">
      <w:pPr>
        <w:rPr>
          <w:b/>
          <w:u w:val="single"/>
          <w:lang w:val="en-IE"/>
        </w:rPr>
      </w:pPr>
    </w:p>
    <w:p w:rsidR="00AB59CC" w:rsidRDefault="00AB59CC" w:rsidP="00AB59CC">
      <w:pPr>
        <w:numPr>
          <w:ilvl w:val="0"/>
          <w:numId w:val="23"/>
        </w:numPr>
        <w:tabs>
          <w:tab w:val="num" w:pos="360"/>
        </w:tabs>
        <w:ind w:left="360"/>
        <w:rPr>
          <w:b/>
          <w:bCs/>
          <w:lang w:val="en-IE"/>
        </w:rPr>
      </w:pPr>
      <w:r>
        <w:rPr>
          <w:b/>
          <w:bCs/>
          <w:lang w:val="en-IE"/>
        </w:rPr>
        <w:t xml:space="preserve">ASB tenancy breach proceedings:  </w:t>
      </w:r>
    </w:p>
    <w:p w:rsidR="00AB59CC" w:rsidRDefault="00AB59CC" w:rsidP="00AB59CC">
      <w:pPr>
        <w:numPr>
          <w:ilvl w:val="1"/>
          <w:numId w:val="23"/>
        </w:numPr>
        <w:tabs>
          <w:tab w:val="num" w:pos="1080"/>
        </w:tabs>
        <w:ind w:left="1080"/>
        <w:rPr>
          <w:lang w:val="en-IE"/>
        </w:rPr>
      </w:pPr>
      <w:r>
        <w:rPr>
          <w:lang w:val="en-IE"/>
        </w:rPr>
        <w:t>In case of serious ASB, notice of application to tenant at latest on date of court hearing</w:t>
      </w:r>
    </w:p>
    <w:p w:rsidR="00AB59CC" w:rsidRDefault="00AB59CC" w:rsidP="00AB59CC">
      <w:pPr>
        <w:numPr>
          <w:ilvl w:val="1"/>
          <w:numId w:val="23"/>
        </w:numPr>
        <w:tabs>
          <w:tab w:val="num" w:pos="1080"/>
        </w:tabs>
        <w:ind w:left="1080"/>
        <w:rPr>
          <w:lang w:val="en-IE"/>
        </w:rPr>
      </w:pPr>
      <w:r>
        <w:rPr>
          <w:lang w:val="en-IE"/>
        </w:rPr>
        <w:t>Court may, on giving notice, decide to treat proceedings as excluding order application</w:t>
      </w:r>
    </w:p>
    <w:p w:rsidR="00AB59CC" w:rsidRDefault="00AB59CC" w:rsidP="00AB59CC">
      <w:pPr>
        <w:numPr>
          <w:ilvl w:val="1"/>
          <w:numId w:val="23"/>
        </w:numPr>
        <w:tabs>
          <w:tab w:val="num" w:pos="1080"/>
        </w:tabs>
        <w:ind w:left="1080"/>
        <w:rPr>
          <w:lang w:val="en-IE"/>
        </w:rPr>
      </w:pPr>
      <w:r>
        <w:rPr>
          <w:lang w:val="en-IE"/>
        </w:rPr>
        <w:t>Court may, where there is intimidation, accept Garda or LA official statement of ASB as evidence of ASB.</w:t>
      </w:r>
    </w:p>
    <w:p w:rsidR="00AB59CC" w:rsidRDefault="00AB59CC" w:rsidP="00AB59CC">
      <w:pPr>
        <w:rPr>
          <w:lang w:val="en-IE"/>
        </w:rPr>
      </w:pPr>
    </w:p>
    <w:p w:rsidR="00AB59CC" w:rsidRDefault="00AB59CC" w:rsidP="00AB59CC">
      <w:pPr>
        <w:numPr>
          <w:ilvl w:val="0"/>
          <w:numId w:val="23"/>
        </w:numPr>
        <w:tabs>
          <w:tab w:val="num" w:pos="360"/>
        </w:tabs>
        <w:ind w:left="360"/>
        <w:rPr>
          <w:lang w:val="en-IE"/>
        </w:rPr>
      </w:pPr>
      <w:r>
        <w:rPr>
          <w:b/>
          <w:bCs/>
          <w:lang w:val="en-IE"/>
        </w:rPr>
        <w:t xml:space="preserve">Tenancy breach proceedings </w:t>
      </w:r>
      <w:r>
        <w:rPr>
          <w:lang w:val="en-IE"/>
        </w:rPr>
        <w:t xml:space="preserve">Court specifies when period of right to possession commences and its duration between 2 and 9 months. </w:t>
      </w:r>
    </w:p>
    <w:p w:rsidR="00AB59CC" w:rsidRDefault="00AB59CC" w:rsidP="00AB59CC">
      <w:pPr>
        <w:numPr>
          <w:ilvl w:val="0"/>
          <w:numId w:val="23"/>
        </w:numPr>
        <w:tabs>
          <w:tab w:val="clear" w:pos="720"/>
          <w:tab w:val="num" w:pos="360"/>
          <w:tab w:val="num" w:pos="426"/>
        </w:tabs>
        <w:ind w:hanging="720"/>
        <w:rPr>
          <w:lang w:val="en-IE"/>
        </w:rPr>
      </w:pPr>
      <w:r w:rsidRPr="00AB59CC">
        <w:rPr>
          <w:b/>
          <w:bCs/>
          <w:lang w:val="en-IE"/>
        </w:rPr>
        <w:t>Tenancy breach and squatters proceedings:</w:t>
      </w:r>
      <w:r w:rsidRPr="00AB59CC">
        <w:rPr>
          <w:lang w:val="en-IE"/>
        </w:rPr>
        <w:t xml:space="preserve">  Provision re HA protecting identity of persons giving information</w:t>
      </w:r>
    </w:p>
    <w:p w:rsidR="00AB59CC" w:rsidRPr="00AB59CC" w:rsidRDefault="00AB59CC" w:rsidP="00AB59CC">
      <w:pPr>
        <w:numPr>
          <w:ilvl w:val="0"/>
          <w:numId w:val="23"/>
        </w:numPr>
        <w:tabs>
          <w:tab w:val="clear" w:pos="720"/>
          <w:tab w:val="num" w:pos="426"/>
        </w:tabs>
        <w:ind w:hanging="720"/>
        <w:rPr>
          <w:lang w:val="en-IE"/>
        </w:rPr>
      </w:pPr>
      <w:r w:rsidRPr="00AB59CC">
        <w:rPr>
          <w:b/>
          <w:bCs/>
          <w:lang w:val="en-IE"/>
        </w:rPr>
        <w:t>Abandoned dwellings:</w:t>
      </w:r>
      <w:r w:rsidRPr="00AB59CC">
        <w:rPr>
          <w:lang w:val="en-IE"/>
        </w:rPr>
        <w:t xml:space="preserve">   </w:t>
      </w:r>
    </w:p>
    <w:p w:rsidR="00AB59CC" w:rsidRDefault="00AB59CC" w:rsidP="00AB59CC">
      <w:pPr>
        <w:numPr>
          <w:ilvl w:val="2"/>
          <w:numId w:val="23"/>
        </w:numPr>
        <w:tabs>
          <w:tab w:val="num" w:pos="1800"/>
        </w:tabs>
        <w:ind w:left="1800"/>
        <w:rPr>
          <w:lang w:val="en-IE"/>
        </w:rPr>
      </w:pPr>
      <w:r>
        <w:rPr>
          <w:lang w:val="en-IE"/>
        </w:rPr>
        <w:t>Aggrieved former tenant may seek court redress</w:t>
      </w:r>
    </w:p>
    <w:p w:rsidR="00AB59CC" w:rsidRDefault="00AB59CC" w:rsidP="00AB59CC">
      <w:pPr>
        <w:numPr>
          <w:ilvl w:val="2"/>
          <w:numId w:val="23"/>
        </w:numPr>
        <w:tabs>
          <w:tab w:val="num" w:pos="1800"/>
        </w:tabs>
        <w:ind w:left="1800"/>
        <w:rPr>
          <w:lang w:val="en-IE"/>
        </w:rPr>
      </w:pPr>
      <w:r>
        <w:rPr>
          <w:lang w:val="en-IE"/>
        </w:rPr>
        <w:t>Return of property found in abandoned dwellings to tenant and other persons</w:t>
      </w:r>
    </w:p>
    <w:p w:rsidR="00AB59CC" w:rsidRDefault="00AB59CC" w:rsidP="00AB59CC">
      <w:pPr>
        <w:ind w:left="1440"/>
        <w:rPr>
          <w:lang w:val="en-IE"/>
        </w:rPr>
      </w:pPr>
    </w:p>
    <w:p w:rsidR="00AB59CC" w:rsidRDefault="00AB59CC" w:rsidP="00AB59CC">
      <w:pPr>
        <w:rPr>
          <w:lang w:val="en-IE"/>
        </w:rPr>
      </w:pPr>
    </w:p>
    <w:p w:rsidR="00AB59CC" w:rsidRDefault="00AB59CC" w:rsidP="00AB59CC">
      <w:pPr>
        <w:rPr>
          <w:b/>
          <w:u w:val="single"/>
          <w:lang w:val="en-IE"/>
        </w:rPr>
      </w:pPr>
      <w:r>
        <w:rPr>
          <w:b/>
          <w:u w:val="single"/>
          <w:lang w:val="en-IE"/>
        </w:rPr>
        <w:t>Abandoned Houses</w:t>
      </w:r>
    </w:p>
    <w:p w:rsidR="00AB59CC" w:rsidRDefault="00AB59CC" w:rsidP="00AB59CC">
      <w:pPr>
        <w:rPr>
          <w:lang w:val="en-IE"/>
        </w:rPr>
      </w:pPr>
    </w:p>
    <w:p w:rsidR="00AB59CC" w:rsidRDefault="00AB59CC" w:rsidP="00AB59CC">
      <w:pPr>
        <w:numPr>
          <w:ilvl w:val="0"/>
          <w:numId w:val="24"/>
        </w:numPr>
        <w:rPr>
          <w:lang w:val="en-IE"/>
        </w:rPr>
      </w:pPr>
      <w:r>
        <w:rPr>
          <w:b/>
          <w:bCs/>
          <w:lang w:val="en-IE"/>
        </w:rPr>
        <w:t>Paragraph 5 of Article 40 (Personal Rights) of Constitution states:</w:t>
      </w:r>
      <w:r>
        <w:rPr>
          <w:lang w:val="en-IE"/>
        </w:rPr>
        <w:t xml:space="preserve"> </w:t>
      </w:r>
    </w:p>
    <w:p w:rsidR="00AB59CC" w:rsidRDefault="00AB59CC" w:rsidP="00AB59CC">
      <w:pPr>
        <w:rPr>
          <w:lang w:val="en-US"/>
        </w:rPr>
      </w:pPr>
      <w:r>
        <w:rPr>
          <w:lang w:val="en-US"/>
        </w:rPr>
        <w:t>“The dwelling of every citizen is inviolable and shall not be forcibly entered save in accordance with law.”</w:t>
      </w:r>
    </w:p>
    <w:p w:rsidR="00AB59CC" w:rsidRDefault="00AB59CC" w:rsidP="00AB59CC">
      <w:pPr>
        <w:rPr>
          <w:lang w:val="en-US"/>
        </w:rPr>
      </w:pPr>
    </w:p>
    <w:p w:rsidR="00AB59CC" w:rsidRDefault="00AB59CC" w:rsidP="00AB59CC">
      <w:pPr>
        <w:numPr>
          <w:ilvl w:val="0"/>
          <w:numId w:val="25"/>
        </w:numPr>
        <w:rPr>
          <w:lang w:val="en-US"/>
        </w:rPr>
      </w:pPr>
      <w:r>
        <w:rPr>
          <w:lang w:val="en-US"/>
        </w:rPr>
        <w:t>Council right of entry in abandoned dwelling where there are rent arrears of at least one month AND risk of non-minor damage OR action is needed to prevent unauthorised access.</w:t>
      </w:r>
    </w:p>
    <w:p w:rsidR="00AB59CC" w:rsidRDefault="00AB59CC" w:rsidP="00AB59CC">
      <w:pPr>
        <w:ind w:left="360"/>
        <w:rPr>
          <w:lang w:val="en-US"/>
        </w:rPr>
      </w:pPr>
      <w:r>
        <w:rPr>
          <w:lang w:val="en-US"/>
        </w:rPr>
        <w:t>Council must have tenant’s consent OR District Court warrant OR, where damage is occurring or imminent, written authorisation by CEO or his/her nominee,</w:t>
      </w:r>
    </w:p>
    <w:p w:rsidR="00AB59CC" w:rsidRDefault="00AB59CC" w:rsidP="00AB59CC">
      <w:pPr>
        <w:numPr>
          <w:ilvl w:val="0"/>
          <w:numId w:val="25"/>
        </w:numPr>
        <w:rPr>
          <w:lang w:val="en-US"/>
        </w:rPr>
      </w:pPr>
      <w:r>
        <w:rPr>
          <w:lang w:val="en-US"/>
        </w:rPr>
        <w:t xml:space="preserve">Protection for Council against liability for damages following securing of dwelling. </w:t>
      </w:r>
    </w:p>
    <w:p w:rsidR="00AB59CC" w:rsidRDefault="00AB59CC" w:rsidP="00AB59CC">
      <w:pPr>
        <w:rPr>
          <w:lang w:val="en-IE"/>
        </w:rPr>
      </w:pPr>
    </w:p>
    <w:p w:rsidR="00AB59CC" w:rsidRDefault="00AB59CC" w:rsidP="00AB59CC">
      <w:pPr>
        <w:rPr>
          <w:lang w:val="en-US"/>
        </w:rPr>
      </w:pPr>
    </w:p>
    <w:p w:rsidR="00AB59CC" w:rsidRDefault="00AB59CC" w:rsidP="00AB59CC"/>
    <w:p w:rsidR="00AB59CC" w:rsidRDefault="00AB59CC" w:rsidP="00AB59CC"/>
    <w:p w:rsidR="00AB59CC" w:rsidRDefault="00AB59CC" w:rsidP="0068409B">
      <w:pPr>
        <w:rPr>
          <w:lang w:val="en-IE"/>
        </w:rPr>
      </w:pPr>
    </w:p>
    <w:p w:rsidR="0068409B" w:rsidRDefault="0068409B" w:rsidP="0068409B">
      <w:pPr>
        <w:rPr>
          <w:lang w:val="en-IE"/>
        </w:rPr>
      </w:pPr>
    </w:p>
    <w:p w:rsidR="008C146C" w:rsidRDefault="008C146C" w:rsidP="008C146C">
      <w:pPr>
        <w:rPr>
          <w:lang w:val="en-IE"/>
        </w:rPr>
      </w:pPr>
    </w:p>
    <w:p w:rsidR="008C146C" w:rsidRPr="008C146C" w:rsidRDefault="008C146C" w:rsidP="008C146C">
      <w:pPr>
        <w:rPr>
          <w:lang w:val="en-IE"/>
        </w:rPr>
      </w:pPr>
    </w:p>
    <w:sectPr w:rsidR="008C146C" w:rsidRPr="008C14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79F7"/>
    <w:multiLevelType w:val="hybridMultilevel"/>
    <w:tmpl w:val="8876B5DE"/>
    <w:lvl w:ilvl="0" w:tplc="AADA1092">
      <w:start w:val="1"/>
      <w:numFmt w:val="bullet"/>
      <w:lvlText w:val="•"/>
      <w:lvlJc w:val="left"/>
      <w:pPr>
        <w:tabs>
          <w:tab w:val="num" w:pos="360"/>
        </w:tabs>
        <w:ind w:left="360" w:hanging="360"/>
      </w:pPr>
      <w:rPr>
        <w:rFonts w:ascii="Arial" w:hAnsi="Arial" w:cs="Times New Roman" w:hint="default"/>
      </w:rPr>
    </w:lvl>
    <w:lvl w:ilvl="1" w:tplc="19067D8C">
      <w:start w:val="1"/>
      <w:numFmt w:val="bullet"/>
      <w:lvlText w:val="•"/>
      <w:lvlJc w:val="left"/>
      <w:pPr>
        <w:tabs>
          <w:tab w:val="num" w:pos="1080"/>
        </w:tabs>
        <w:ind w:left="1080" w:hanging="360"/>
      </w:pPr>
      <w:rPr>
        <w:rFonts w:ascii="Arial" w:hAnsi="Arial" w:cs="Times New Roman" w:hint="default"/>
      </w:rPr>
    </w:lvl>
    <w:lvl w:ilvl="2" w:tplc="E9E6BDEC">
      <w:start w:val="1"/>
      <w:numFmt w:val="bullet"/>
      <w:lvlText w:val="•"/>
      <w:lvlJc w:val="left"/>
      <w:pPr>
        <w:tabs>
          <w:tab w:val="num" w:pos="1800"/>
        </w:tabs>
        <w:ind w:left="1800" w:hanging="360"/>
      </w:pPr>
      <w:rPr>
        <w:rFonts w:ascii="Arial" w:hAnsi="Arial" w:cs="Times New Roman" w:hint="default"/>
      </w:rPr>
    </w:lvl>
    <w:lvl w:ilvl="3" w:tplc="982EAA76">
      <w:start w:val="1"/>
      <w:numFmt w:val="bullet"/>
      <w:lvlText w:val="•"/>
      <w:lvlJc w:val="left"/>
      <w:pPr>
        <w:tabs>
          <w:tab w:val="num" w:pos="2520"/>
        </w:tabs>
        <w:ind w:left="2520" w:hanging="360"/>
      </w:pPr>
      <w:rPr>
        <w:rFonts w:ascii="Arial" w:hAnsi="Arial" w:cs="Times New Roman" w:hint="default"/>
      </w:rPr>
    </w:lvl>
    <w:lvl w:ilvl="4" w:tplc="0B0038A4">
      <w:start w:val="1"/>
      <w:numFmt w:val="bullet"/>
      <w:lvlText w:val="•"/>
      <w:lvlJc w:val="left"/>
      <w:pPr>
        <w:tabs>
          <w:tab w:val="num" w:pos="3240"/>
        </w:tabs>
        <w:ind w:left="3240" w:hanging="360"/>
      </w:pPr>
      <w:rPr>
        <w:rFonts w:ascii="Arial" w:hAnsi="Arial" w:cs="Times New Roman" w:hint="default"/>
      </w:rPr>
    </w:lvl>
    <w:lvl w:ilvl="5" w:tplc="52B6939E">
      <w:start w:val="1"/>
      <w:numFmt w:val="bullet"/>
      <w:lvlText w:val="•"/>
      <w:lvlJc w:val="left"/>
      <w:pPr>
        <w:tabs>
          <w:tab w:val="num" w:pos="3960"/>
        </w:tabs>
        <w:ind w:left="3960" w:hanging="360"/>
      </w:pPr>
      <w:rPr>
        <w:rFonts w:ascii="Arial" w:hAnsi="Arial" w:cs="Times New Roman" w:hint="default"/>
      </w:rPr>
    </w:lvl>
    <w:lvl w:ilvl="6" w:tplc="99225914">
      <w:start w:val="1"/>
      <w:numFmt w:val="bullet"/>
      <w:lvlText w:val="•"/>
      <w:lvlJc w:val="left"/>
      <w:pPr>
        <w:tabs>
          <w:tab w:val="num" w:pos="4680"/>
        </w:tabs>
        <w:ind w:left="4680" w:hanging="360"/>
      </w:pPr>
      <w:rPr>
        <w:rFonts w:ascii="Arial" w:hAnsi="Arial" w:cs="Times New Roman" w:hint="default"/>
      </w:rPr>
    </w:lvl>
    <w:lvl w:ilvl="7" w:tplc="DCC03854">
      <w:start w:val="1"/>
      <w:numFmt w:val="bullet"/>
      <w:lvlText w:val="•"/>
      <w:lvlJc w:val="left"/>
      <w:pPr>
        <w:tabs>
          <w:tab w:val="num" w:pos="5400"/>
        </w:tabs>
        <w:ind w:left="5400" w:hanging="360"/>
      </w:pPr>
      <w:rPr>
        <w:rFonts w:ascii="Arial" w:hAnsi="Arial" w:cs="Times New Roman" w:hint="default"/>
      </w:rPr>
    </w:lvl>
    <w:lvl w:ilvl="8" w:tplc="7F485A94">
      <w:start w:val="1"/>
      <w:numFmt w:val="bullet"/>
      <w:lvlText w:val="•"/>
      <w:lvlJc w:val="left"/>
      <w:pPr>
        <w:tabs>
          <w:tab w:val="num" w:pos="6120"/>
        </w:tabs>
        <w:ind w:left="6120" w:hanging="360"/>
      </w:pPr>
      <w:rPr>
        <w:rFonts w:ascii="Arial" w:hAnsi="Arial" w:cs="Times New Roman" w:hint="default"/>
      </w:rPr>
    </w:lvl>
  </w:abstractNum>
  <w:abstractNum w:abstractNumId="1" w15:restartNumberingAfterBreak="0">
    <w:nsid w:val="0F142781"/>
    <w:multiLevelType w:val="hybridMultilevel"/>
    <w:tmpl w:val="ECF2AF2E"/>
    <w:lvl w:ilvl="0" w:tplc="A9AE1528">
      <w:start w:val="1"/>
      <w:numFmt w:val="bullet"/>
      <w:lvlText w:val="•"/>
      <w:lvlJc w:val="left"/>
      <w:pPr>
        <w:tabs>
          <w:tab w:val="num" w:pos="360"/>
        </w:tabs>
        <w:ind w:left="360" w:hanging="360"/>
      </w:pPr>
      <w:rPr>
        <w:rFonts w:ascii="Arial" w:hAnsi="Arial" w:cs="Times New Roman" w:hint="default"/>
      </w:rPr>
    </w:lvl>
    <w:lvl w:ilvl="1" w:tplc="1366A70E">
      <w:start w:val="88"/>
      <w:numFmt w:val="bullet"/>
      <w:lvlText w:val="•"/>
      <w:lvlJc w:val="left"/>
      <w:pPr>
        <w:tabs>
          <w:tab w:val="num" w:pos="1080"/>
        </w:tabs>
        <w:ind w:left="1080" w:hanging="360"/>
      </w:pPr>
      <w:rPr>
        <w:rFonts w:ascii="Arial" w:hAnsi="Arial" w:cs="Times New Roman" w:hint="default"/>
      </w:rPr>
    </w:lvl>
    <w:lvl w:ilvl="2" w:tplc="5502B856">
      <w:start w:val="1"/>
      <w:numFmt w:val="bullet"/>
      <w:lvlText w:val="•"/>
      <w:lvlJc w:val="left"/>
      <w:pPr>
        <w:tabs>
          <w:tab w:val="num" w:pos="1800"/>
        </w:tabs>
        <w:ind w:left="1800" w:hanging="360"/>
      </w:pPr>
      <w:rPr>
        <w:rFonts w:ascii="Arial" w:hAnsi="Arial" w:cs="Times New Roman" w:hint="default"/>
      </w:rPr>
    </w:lvl>
    <w:lvl w:ilvl="3" w:tplc="65A86326">
      <w:start w:val="1"/>
      <w:numFmt w:val="bullet"/>
      <w:lvlText w:val="•"/>
      <w:lvlJc w:val="left"/>
      <w:pPr>
        <w:tabs>
          <w:tab w:val="num" w:pos="2520"/>
        </w:tabs>
        <w:ind w:left="2520" w:hanging="360"/>
      </w:pPr>
      <w:rPr>
        <w:rFonts w:ascii="Arial" w:hAnsi="Arial" w:cs="Times New Roman" w:hint="default"/>
      </w:rPr>
    </w:lvl>
    <w:lvl w:ilvl="4" w:tplc="02BC6672">
      <w:start w:val="1"/>
      <w:numFmt w:val="bullet"/>
      <w:lvlText w:val="•"/>
      <w:lvlJc w:val="left"/>
      <w:pPr>
        <w:tabs>
          <w:tab w:val="num" w:pos="3240"/>
        </w:tabs>
        <w:ind w:left="3240" w:hanging="360"/>
      </w:pPr>
      <w:rPr>
        <w:rFonts w:ascii="Arial" w:hAnsi="Arial" w:cs="Times New Roman" w:hint="default"/>
      </w:rPr>
    </w:lvl>
    <w:lvl w:ilvl="5" w:tplc="825EECAC">
      <w:start w:val="1"/>
      <w:numFmt w:val="bullet"/>
      <w:lvlText w:val="•"/>
      <w:lvlJc w:val="left"/>
      <w:pPr>
        <w:tabs>
          <w:tab w:val="num" w:pos="3960"/>
        </w:tabs>
        <w:ind w:left="3960" w:hanging="360"/>
      </w:pPr>
      <w:rPr>
        <w:rFonts w:ascii="Arial" w:hAnsi="Arial" w:cs="Times New Roman" w:hint="default"/>
      </w:rPr>
    </w:lvl>
    <w:lvl w:ilvl="6" w:tplc="485C88BE">
      <w:start w:val="1"/>
      <w:numFmt w:val="bullet"/>
      <w:lvlText w:val="•"/>
      <w:lvlJc w:val="left"/>
      <w:pPr>
        <w:tabs>
          <w:tab w:val="num" w:pos="4680"/>
        </w:tabs>
        <w:ind w:left="4680" w:hanging="360"/>
      </w:pPr>
      <w:rPr>
        <w:rFonts w:ascii="Arial" w:hAnsi="Arial" w:cs="Times New Roman" w:hint="default"/>
      </w:rPr>
    </w:lvl>
    <w:lvl w:ilvl="7" w:tplc="686A06DA">
      <w:start w:val="1"/>
      <w:numFmt w:val="bullet"/>
      <w:lvlText w:val="•"/>
      <w:lvlJc w:val="left"/>
      <w:pPr>
        <w:tabs>
          <w:tab w:val="num" w:pos="5400"/>
        </w:tabs>
        <w:ind w:left="5400" w:hanging="360"/>
      </w:pPr>
      <w:rPr>
        <w:rFonts w:ascii="Arial" w:hAnsi="Arial" w:cs="Times New Roman" w:hint="default"/>
      </w:rPr>
    </w:lvl>
    <w:lvl w:ilvl="8" w:tplc="2DB28342">
      <w:start w:val="1"/>
      <w:numFmt w:val="bullet"/>
      <w:lvlText w:val="•"/>
      <w:lvlJc w:val="left"/>
      <w:pPr>
        <w:tabs>
          <w:tab w:val="num" w:pos="6120"/>
        </w:tabs>
        <w:ind w:left="6120" w:hanging="360"/>
      </w:pPr>
      <w:rPr>
        <w:rFonts w:ascii="Arial" w:hAnsi="Arial" w:cs="Times New Roman" w:hint="default"/>
      </w:rPr>
    </w:lvl>
  </w:abstractNum>
  <w:abstractNum w:abstractNumId="2" w15:restartNumberingAfterBreak="0">
    <w:nsid w:val="15EA7600"/>
    <w:multiLevelType w:val="hybridMultilevel"/>
    <w:tmpl w:val="85661E3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09507D4"/>
    <w:multiLevelType w:val="hybridMultilevel"/>
    <w:tmpl w:val="E9E0B6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412182"/>
    <w:multiLevelType w:val="hybridMultilevel"/>
    <w:tmpl w:val="6A162B3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4427FC"/>
    <w:multiLevelType w:val="hybridMultilevel"/>
    <w:tmpl w:val="4D8C64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AC4DEA"/>
    <w:multiLevelType w:val="hybridMultilevel"/>
    <w:tmpl w:val="844866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F94CC7"/>
    <w:multiLevelType w:val="hybridMultilevel"/>
    <w:tmpl w:val="5C6294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9C3A35"/>
    <w:multiLevelType w:val="hybridMultilevel"/>
    <w:tmpl w:val="65EC82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13220B"/>
    <w:multiLevelType w:val="hybridMultilevel"/>
    <w:tmpl w:val="52CA7AC8"/>
    <w:lvl w:ilvl="0" w:tplc="C0AAC130">
      <w:start w:val="1"/>
      <w:numFmt w:val="bullet"/>
      <w:lvlText w:val="•"/>
      <w:lvlJc w:val="left"/>
      <w:pPr>
        <w:tabs>
          <w:tab w:val="num" w:pos="360"/>
        </w:tabs>
        <w:ind w:left="360" w:hanging="360"/>
      </w:pPr>
      <w:rPr>
        <w:rFonts w:ascii="Arial" w:hAnsi="Arial" w:cs="Times New Roman" w:hint="default"/>
      </w:rPr>
    </w:lvl>
    <w:lvl w:ilvl="1" w:tplc="C8F01592">
      <w:start w:val="1"/>
      <w:numFmt w:val="bullet"/>
      <w:lvlText w:val="•"/>
      <w:lvlJc w:val="left"/>
      <w:pPr>
        <w:tabs>
          <w:tab w:val="num" w:pos="1080"/>
        </w:tabs>
        <w:ind w:left="1080" w:hanging="360"/>
      </w:pPr>
      <w:rPr>
        <w:rFonts w:ascii="Arial" w:hAnsi="Arial" w:cs="Times New Roman" w:hint="default"/>
      </w:rPr>
    </w:lvl>
    <w:lvl w:ilvl="2" w:tplc="E47618F8">
      <w:start w:val="1"/>
      <w:numFmt w:val="bullet"/>
      <w:lvlText w:val="•"/>
      <w:lvlJc w:val="left"/>
      <w:pPr>
        <w:tabs>
          <w:tab w:val="num" w:pos="1800"/>
        </w:tabs>
        <w:ind w:left="1800" w:hanging="360"/>
      </w:pPr>
      <w:rPr>
        <w:rFonts w:ascii="Arial" w:hAnsi="Arial" w:cs="Times New Roman" w:hint="default"/>
      </w:rPr>
    </w:lvl>
    <w:lvl w:ilvl="3" w:tplc="22509ECA">
      <w:start w:val="1"/>
      <w:numFmt w:val="bullet"/>
      <w:lvlText w:val="•"/>
      <w:lvlJc w:val="left"/>
      <w:pPr>
        <w:tabs>
          <w:tab w:val="num" w:pos="2520"/>
        </w:tabs>
        <w:ind w:left="2520" w:hanging="360"/>
      </w:pPr>
      <w:rPr>
        <w:rFonts w:ascii="Arial" w:hAnsi="Arial" w:cs="Times New Roman" w:hint="default"/>
      </w:rPr>
    </w:lvl>
    <w:lvl w:ilvl="4" w:tplc="3238F0A4">
      <w:start w:val="1"/>
      <w:numFmt w:val="bullet"/>
      <w:lvlText w:val="•"/>
      <w:lvlJc w:val="left"/>
      <w:pPr>
        <w:tabs>
          <w:tab w:val="num" w:pos="3240"/>
        </w:tabs>
        <w:ind w:left="3240" w:hanging="360"/>
      </w:pPr>
      <w:rPr>
        <w:rFonts w:ascii="Arial" w:hAnsi="Arial" w:cs="Times New Roman" w:hint="default"/>
      </w:rPr>
    </w:lvl>
    <w:lvl w:ilvl="5" w:tplc="8DF8CE9E">
      <w:start w:val="1"/>
      <w:numFmt w:val="bullet"/>
      <w:lvlText w:val="•"/>
      <w:lvlJc w:val="left"/>
      <w:pPr>
        <w:tabs>
          <w:tab w:val="num" w:pos="3960"/>
        </w:tabs>
        <w:ind w:left="3960" w:hanging="360"/>
      </w:pPr>
      <w:rPr>
        <w:rFonts w:ascii="Arial" w:hAnsi="Arial" w:cs="Times New Roman" w:hint="default"/>
      </w:rPr>
    </w:lvl>
    <w:lvl w:ilvl="6" w:tplc="43244B36">
      <w:start w:val="1"/>
      <w:numFmt w:val="bullet"/>
      <w:lvlText w:val="•"/>
      <w:lvlJc w:val="left"/>
      <w:pPr>
        <w:tabs>
          <w:tab w:val="num" w:pos="4680"/>
        </w:tabs>
        <w:ind w:left="4680" w:hanging="360"/>
      </w:pPr>
      <w:rPr>
        <w:rFonts w:ascii="Arial" w:hAnsi="Arial" w:cs="Times New Roman" w:hint="default"/>
      </w:rPr>
    </w:lvl>
    <w:lvl w:ilvl="7" w:tplc="BE8C7446">
      <w:start w:val="1"/>
      <w:numFmt w:val="bullet"/>
      <w:lvlText w:val="•"/>
      <w:lvlJc w:val="left"/>
      <w:pPr>
        <w:tabs>
          <w:tab w:val="num" w:pos="5400"/>
        </w:tabs>
        <w:ind w:left="5400" w:hanging="360"/>
      </w:pPr>
      <w:rPr>
        <w:rFonts w:ascii="Arial" w:hAnsi="Arial" w:cs="Times New Roman" w:hint="default"/>
      </w:rPr>
    </w:lvl>
    <w:lvl w:ilvl="8" w:tplc="34643616">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43C061E2"/>
    <w:multiLevelType w:val="hybridMultilevel"/>
    <w:tmpl w:val="AEDCC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4A6F54"/>
    <w:multiLevelType w:val="hybridMultilevel"/>
    <w:tmpl w:val="7FC0885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2943505"/>
    <w:multiLevelType w:val="hybridMultilevel"/>
    <w:tmpl w:val="8D102B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2E7398"/>
    <w:multiLevelType w:val="hybridMultilevel"/>
    <w:tmpl w:val="4C664C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7907C78"/>
    <w:multiLevelType w:val="hybridMultilevel"/>
    <w:tmpl w:val="81200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0920818"/>
    <w:multiLevelType w:val="hybridMultilevel"/>
    <w:tmpl w:val="F9D03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C6292E"/>
    <w:multiLevelType w:val="hybridMultilevel"/>
    <w:tmpl w:val="019049D8"/>
    <w:lvl w:ilvl="0" w:tplc="4B5A1A94">
      <w:start w:val="1"/>
      <w:numFmt w:val="bullet"/>
      <w:lvlText w:val="•"/>
      <w:lvlJc w:val="left"/>
      <w:pPr>
        <w:tabs>
          <w:tab w:val="num" w:pos="360"/>
        </w:tabs>
        <w:ind w:left="360" w:hanging="360"/>
      </w:pPr>
      <w:rPr>
        <w:rFonts w:ascii="Arial" w:hAnsi="Arial" w:cs="Times New Roman" w:hint="default"/>
      </w:rPr>
    </w:lvl>
    <w:lvl w:ilvl="1" w:tplc="1504C1CE">
      <w:start w:val="1"/>
      <w:numFmt w:val="bullet"/>
      <w:lvlText w:val="•"/>
      <w:lvlJc w:val="left"/>
      <w:pPr>
        <w:tabs>
          <w:tab w:val="num" w:pos="1080"/>
        </w:tabs>
        <w:ind w:left="1080" w:hanging="360"/>
      </w:pPr>
      <w:rPr>
        <w:rFonts w:ascii="Arial" w:hAnsi="Arial" w:cs="Times New Roman" w:hint="default"/>
      </w:rPr>
    </w:lvl>
    <w:lvl w:ilvl="2" w:tplc="A530CA2E">
      <w:start w:val="1"/>
      <w:numFmt w:val="bullet"/>
      <w:lvlText w:val="•"/>
      <w:lvlJc w:val="left"/>
      <w:pPr>
        <w:tabs>
          <w:tab w:val="num" w:pos="1800"/>
        </w:tabs>
        <w:ind w:left="1800" w:hanging="360"/>
      </w:pPr>
      <w:rPr>
        <w:rFonts w:ascii="Arial" w:hAnsi="Arial" w:cs="Times New Roman" w:hint="default"/>
      </w:rPr>
    </w:lvl>
    <w:lvl w:ilvl="3" w:tplc="E534A9CA">
      <w:start w:val="1"/>
      <w:numFmt w:val="bullet"/>
      <w:lvlText w:val="•"/>
      <w:lvlJc w:val="left"/>
      <w:pPr>
        <w:tabs>
          <w:tab w:val="num" w:pos="2520"/>
        </w:tabs>
        <w:ind w:left="2520" w:hanging="360"/>
      </w:pPr>
      <w:rPr>
        <w:rFonts w:ascii="Arial" w:hAnsi="Arial" w:cs="Times New Roman" w:hint="default"/>
      </w:rPr>
    </w:lvl>
    <w:lvl w:ilvl="4" w:tplc="26F29402">
      <w:start w:val="1"/>
      <w:numFmt w:val="bullet"/>
      <w:lvlText w:val="•"/>
      <w:lvlJc w:val="left"/>
      <w:pPr>
        <w:tabs>
          <w:tab w:val="num" w:pos="3240"/>
        </w:tabs>
        <w:ind w:left="3240" w:hanging="360"/>
      </w:pPr>
      <w:rPr>
        <w:rFonts w:ascii="Arial" w:hAnsi="Arial" w:cs="Times New Roman" w:hint="default"/>
      </w:rPr>
    </w:lvl>
    <w:lvl w:ilvl="5" w:tplc="78D03B68">
      <w:start w:val="1"/>
      <w:numFmt w:val="bullet"/>
      <w:lvlText w:val="•"/>
      <w:lvlJc w:val="left"/>
      <w:pPr>
        <w:tabs>
          <w:tab w:val="num" w:pos="3960"/>
        </w:tabs>
        <w:ind w:left="3960" w:hanging="360"/>
      </w:pPr>
      <w:rPr>
        <w:rFonts w:ascii="Arial" w:hAnsi="Arial" w:cs="Times New Roman" w:hint="default"/>
      </w:rPr>
    </w:lvl>
    <w:lvl w:ilvl="6" w:tplc="5EA07774">
      <w:start w:val="1"/>
      <w:numFmt w:val="bullet"/>
      <w:lvlText w:val="•"/>
      <w:lvlJc w:val="left"/>
      <w:pPr>
        <w:tabs>
          <w:tab w:val="num" w:pos="4680"/>
        </w:tabs>
        <w:ind w:left="4680" w:hanging="360"/>
      </w:pPr>
      <w:rPr>
        <w:rFonts w:ascii="Arial" w:hAnsi="Arial" w:cs="Times New Roman" w:hint="default"/>
      </w:rPr>
    </w:lvl>
    <w:lvl w:ilvl="7" w:tplc="4176D660">
      <w:start w:val="1"/>
      <w:numFmt w:val="bullet"/>
      <w:lvlText w:val="•"/>
      <w:lvlJc w:val="left"/>
      <w:pPr>
        <w:tabs>
          <w:tab w:val="num" w:pos="5400"/>
        </w:tabs>
        <w:ind w:left="5400" w:hanging="360"/>
      </w:pPr>
      <w:rPr>
        <w:rFonts w:ascii="Arial" w:hAnsi="Arial" w:cs="Times New Roman" w:hint="default"/>
      </w:rPr>
    </w:lvl>
    <w:lvl w:ilvl="8" w:tplc="AD0E9370">
      <w:start w:val="1"/>
      <w:numFmt w:val="bullet"/>
      <w:lvlText w:val="•"/>
      <w:lvlJc w:val="left"/>
      <w:pPr>
        <w:tabs>
          <w:tab w:val="num" w:pos="6120"/>
        </w:tabs>
        <w:ind w:left="6120" w:hanging="360"/>
      </w:pPr>
      <w:rPr>
        <w:rFonts w:ascii="Arial" w:hAnsi="Arial" w:cs="Times New Roman" w:hint="default"/>
      </w:rPr>
    </w:lvl>
  </w:abstractNum>
  <w:abstractNum w:abstractNumId="17" w15:restartNumberingAfterBreak="0">
    <w:nsid w:val="66173EE3"/>
    <w:multiLevelType w:val="hybridMultilevel"/>
    <w:tmpl w:val="AC2CC89E"/>
    <w:lvl w:ilvl="0" w:tplc="077204E4">
      <w:start w:val="1"/>
      <w:numFmt w:val="bullet"/>
      <w:lvlText w:val="•"/>
      <w:lvlJc w:val="left"/>
      <w:pPr>
        <w:tabs>
          <w:tab w:val="num" w:pos="360"/>
        </w:tabs>
        <w:ind w:left="360" w:hanging="360"/>
      </w:pPr>
      <w:rPr>
        <w:rFonts w:ascii="Arial" w:hAnsi="Arial" w:cs="Times New Roman" w:hint="default"/>
      </w:rPr>
    </w:lvl>
    <w:lvl w:ilvl="1" w:tplc="EA52EB3E">
      <w:start w:val="1"/>
      <w:numFmt w:val="bullet"/>
      <w:lvlText w:val="•"/>
      <w:lvlJc w:val="left"/>
      <w:pPr>
        <w:tabs>
          <w:tab w:val="num" w:pos="1080"/>
        </w:tabs>
        <w:ind w:left="1080" w:hanging="360"/>
      </w:pPr>
      <w:rPr>
        <w:rFonts w:ascii="Arial" w:hAnsi="Arial" w:cs="Times New Roman" w:hint="default"/>
      </w:rPr>
    </w:lvl>
    <w:lvl w:ilvl="2" w:tplc="6CFC8084">
      <w:start w:val="1"/>
      <w:numFmt w:val="bullet"/>
      <w:lvlText w:val="•"/>
      <w:lvlJc w:val="left"/>
      <w:pPr>
        <w:tabs>
          <w:tab w:val="num" w:pos="1800"/>
        </w:tabs>
        <w:ind w:left="1800" w:hanging="360"/>
      </w:pPr>
      <w:rPr>
        <w:rFonts w:ascii="Arial" w:hAnsi="Arial" w:cs="Times New Roman" w:hint="default"/>
      </w:rPr>
    </w:lvl>
    <w:lvl w:ilvl="3" w:tplc="A5ECBE96">
      <w:start w:val="1"/>
      <w:numFmt w:val="bullet"/>
      <w:lvlText w:val="•"/>
      <w:lvlJc w:val="left"/>
      <w:pPr>
        <w:tabs>
          <w:tab w:val="num" w:pos="2520"/>
        </w:tabs>
        <w:ind w:left="2520" w:hanging="360"/>
      </w:pPr>
      <w:rPr>
        <w:rFonts w:ascii="Arial" w:hAnsi="Arial" w:cs="Times New Roman" w:hint="default"/>
      </w:rPr>
    </w:lvl>
    <w:lvl w:ilvl="4" w:tplc="24A656E0">
      <w:start w:val="1"/>
      <w:numFmt w:val="bullet"/>
      <w:lvlText w:val="•"/>
      <w:lvlJc w:val="left"/>
      <w:pPr>
        <w:tabs>
          <w:tab w:val="num" w:pos="3240"/>
        </w:tabs>
        <w:ind w:left="3240" w:hanging="360"/>
      </w:pPr>
      <w:rPr>
        <w:rFonts w:ascii="Arial" w:hAnsi="Arial" w:cs="Times New Roman" w:hint="default"/>
      </w:rPr>
    </w:lvl>
    <w:lvl w:ilvl="5" w:tplc="5D0ACD92">
      <w:start w:val="1"/>
      <w:numFmt w:val="bullet"/>
      <w:lvlText w:val="•"/>
      <w:lvlJc w:val="left"/>
      <w:pPr>
        <w:tabs>
          <w:tab w:val="num" w:pos="3960"/>
        </w:tabs>
        <w:ind w:left="3960" w:hanging="360"/>
      </w:pPr>
      <w:rPr>
        <w:rFonts w:ascii="Arial" w:hAnsi="Arial" w:cs="Times New Roman" w:hint="default"/>
      </w:rPr>
    </w:lvl>
    <w:lvl w:ilvl="6" w:tplc="F0B4F2EC">
      <w:start w:val="1"/>
      <w:numFmt w:val="bullet"/>
      <w:lvlText w:val="•"/>
      <w:lvlJc w:val="left"/>
      <w:pPr>
        <w:tabs>
          <w:tab w:val="num" w:pos="4680"/>
        </w:tabs>
        <w:ind w:left="4680" w:hanging="360"/>
      </w:pPr>
      <w:rPr>
        <w:rFonts w:ascii="Arial" w:hAnsi="Arial" w:cs="Times New Roman" w:hint="default"/>
      </w:rPr>
    </w:lvl>
    <w:lvl w:ilvl="7" w:tplc="D3B0BD78">
      <w:start w:val="1"/>
      <w:numFmt w:val="bullet"/>
      <w:lvlText w:val="•"/>
      <w:lvlJc w:val="left"/>
      <w:pPr>
        <w:tabs>
          <w:tab w:val="num" w:pos="5400"/>
        </w:tabs>
        <w:ind w:left="5400" w:hanging="360"/>
      </w:pPr>
      <w:rPr>
        <w:rFonts w:ascii="Arial" w:hAnsi="Arial" w:cs="Times New Roman" w:hint="default"/>
      </w:rPr>
    </w:lvl>
    <w:lvl w:ilvl="8" w:tplc="4EA69BC4">
      <w:start w:val="1"/>
      <w:numFmt w:val="bullet"/>
      <w:lvlText w:val="•"/>
      <w:lvlJc w:val="left"/>
      <w:pPr>
        <w:tabs>
          <w:tab w:val="num" w:pos="6120"/>
        </w:tabs>
        <w:ind w:left="6120" w:hanging="360"/>
      </w:pPr>
      <w:rPr>
        <w:rFonts w:ascii="Arial" w:hAnsi="Arial" w:cs="Times New Roman" w:hint="default"/>
      </w:rPr>
    </w:lvl>
  </w:abstractNum>
  <w:abstractNum w:abstractNumId="18" w15:restartNumberingAfterBreak="0">
    <w:nsid w:val="677F421C"/>
    <w:multiLevelType w:val="hybridMultilevel"/>
    <w:tmpl w:val="ECD2BB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2207F8"/>
    <w:multiLevelType w:val="hybridMultilevel"/>
    <w:tmpl w:val="CAAEF4B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C970DE"/>
    <w:multiLevelType w:val="hybridMultilevel"/>
    <w:tmpl w:val="1062E5D8"/>
    <w:lvl w:ilvl="0" w:tplc="B040060E">
      <w:start w:val="1"/>
      <w:numFmt w:val="bullet"/>
      <w:lvlText w:val="•"/>
      <w:lvlJc w:val="left"/>
      <w:pPr>
        <w:tabs>
          <w:tab w:val="num" w:pos="720"/>
        </w:tabs>
        <w:ind w:left="720" w:hanging="360"/>
      </w:pPr>
      <w:rPr>
        <w:rFonts w:ascii="Arial" w:hAnsi="Arial" w:cs="Times New Roman" w:hint="default"/>
      </w:rPr>
    </w:lvl>
    <w:lvl w:ilvl="1" w:tplc="C6401044">
      <w:start w:val="88"/>
      <w:numFmt w:val="bullet"/>
      <w:lvlText w:val="o"/>
      <w:lvlJc w:val="left"/>
      <w:pPr>
        <w:tabs>
          <w:tab w:val="num" w:pos="1440"/>
        </w:tabs>
        <w:ind w:left="1440" w:hanging="360"/>
      </w:pPr>
      <w:rPr>
        <w:rFonts w:ascii="Courier New" w:hAnsi="Courier New" w:cs="Times New Roman" w:hint="default"/>
      </w:rPr>
    </w:lvl>
    <w:lvl w:ilvl="2" w:tplc="3C225334">
      <w:start w:val="88"/>
      <w:numFmt w:val="bullet"/>
      <w:lvlText w:val="o"/>
      <w:lvlJc w:val="left"/>
      <w:pPr>
        <w:tabs>
          <w:tab w:val="num" w:pos="2160"/>
        </w:tabs>
        <w:ind w:left="2160" w:hanging="360"/>
      </w:pPr>
      <w:rPr>
        <w:rFonts w:ascii="Courier New" w:hAnsi="Courier New" w:cs="Times New Roman" w:hint="default"/>
      </w:rPr>
    </w:lvl>
    <w:lvl w:ilvl="3" w:tplc="4B14C656">
      <w:start w:val="1"/>
      <w:numFmt w:val="bullet"/>
      <w:lvlText w:val="•"/>
      <w:lvlJc w:val="left"/>
      <w:pPr>
        <w:tabs>
          <w:tab w:val="num" w:pos="2880"/>
        </w:tabs>
        <w:ind w:left="2880" w:hanging="360"/>
      </w:pPr>
      <w:rPr>
        <w:rFonts w:ascii="Arial" w:hAnsi="Arial" w:cs="Times New Roman" w:hint="default"/>
      </w:rPr>
    </w:lvl>
    <w:lvl w:ilvl="4" w:tplc="6CE8748A">
      <w:start w:val="1"/>
      <w:numFmt w:val="bullet"/>
      <w:lvlText w:val="•"/>
      <w:lvlJc w:val="left"/>
      <w:pPr>
        <w:tabs>
          <w:tab w:val="num" w:pos="3600"/>
        </w:tabs>
        <w:ind w:left="3600" w:hanging="360"/>
      </w:pPr>
      <w:rPr>
        <w:rFonts w:ascii="Arial" w:hAnsi="Arial" w:cs="Times New Roman" w:hint="default"/>
      </w:rPr>
    </w:lvl>
    <w:lvl w:ilvl="5" w:tplc="56E647AC">
      <w:start w:val="1"/>
      <w:numFmt w:val="bullet"/>
      <w:lvlText w:val="•"/>
      <w:lvlJc w:val="left"/>
      <w:pPr>
        <w:tabs>
          <w:tab w:val="num" w:pos="4320"/>
        </w:tabs>
        <w:ind w:left="4320" w:hanging="360"/>
      </w:pPr>
      <w:rPr>
        <w:rFonts w:ascii="Arial" w:hAnsi="Arial" w:cs="Times New Roman" w:hint="default"/>
      </w:rPr>
    </w:lvl>
    <w:lvl w:ilvl="6" w:tplc="14008CF8">
      <w:start w:val="1"/>
      <w:numFmt w:val="bullet"/>
      <w:lvlText w:val="•"/>
      <w:lvlJc w:val="left"/>
      <w:pPr>
        <w:tabs>
          <w:tab w:val="num" w:pos="5040"/>
        </w:tabs>
        <w:ind w:left="5040" w:hanging="360"/>
      </w:pPr>
      <w:rPr>
        <w:rFonts w:ascii="Arial" w:hAnsi="Arial" w:cs="Times New Roman" w:hint="default"/>
      </w:rPr>
    </w:lvl>
    <w:lvl w:ilvl="7" w:tplc="AD9608D0">
      <w:start w:val="1"/>
      <w:numFmt w:val="bullet"/>
      <w:lvlText w:val="•"/>
      <w:lvlJc w:val="left"/>
      <w:pPr>
        <w:tabs>
          <w:tab w:val="num" w:pos="5760"/>
        </w:tabs>
        <w:ind w:left="5760" w:hanging="360"/>
      </w:pPr>
      <w:rPr>
        <w:rFonts w:ascii="Arial" w:hAnsi="Arial" w:cs="Times New Roman" w:hint="default"/>
      </w:rPr>
    </w:lvl>
    <w:lvl w:ilvl="8" w:tplc="7BE8F614">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74F53637"/>
    <w:multiLevelType w:val="hybridMultilevel"/>
    <w:tmpl w:val="4C664C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5B32E02"/>
    <w:multiLevelType w:val="hybridMultilevel"/>
    <w:tmpl w:val="66765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677365"/>
    <w:multiLevelType w:val="hybridMultilevel"/>
    <w:tmpl w:val="625E4CCC"/>
    <w:lvl w:ilvl="0" w:tplc="837A4E92">
      <w:start w:val="1"/>
      <w:numFmt w:val="bullet"/>
      <w:lvlText w:val="•"/>
      <w:lvlJc w:val="left"/>
      <w:pPr>
        <w:tabs>
          <w:tab w:val="num" w:pos="360"/>
        </w:tabs>
        <w:ind w:left="360" w:hanging="360"/>
      </w:pPr>
      <w:rPr>
        <w:rFonts w:ascii="Arial" w:hAnsi="Arial" w:cs="Times New Roman" w:hint="default"/>
      </w:rPr>
    </w:lvl>
    <w:lvl w:ilvl="1" w:tplc="A82086C8">
      <w:start w:val="1"/>
      <w:numFmt w:val="bullet"/>
      <w:lvlText w:val="•"/>
      <w:lvlJc w:val="left"/>
      <w:pPr>
        <w:tabs>
          <w:tab w:val="num" w:pos="1080"/>
        </w:tabs>
        <w:ind w:left="1080" w:hanging="360"/>
      </w:pPr>
      <w:rPr>
        <w:rFonts w:ascii="Arial" w:hAnsi="Arial" w:cs="Times New Roman" w:hint="default"/>
      </w:rPr>
    </w:lvl>
    <w:lvl w:ilvl="2" w:tplc="35C05800">
      <w:start w:val="1"/>
      <w:numFmt w:val="bullet"/>
      <w:lvlText w:val="•"/>
      <w:lvlJc w:val="left"/>
      <w:pPr>
        <w:tabs>
          <w:tab w:val="num" w:pos="1800"/>
        </w:tabs>
        <w:ind w:left="1800" w:hanging="360"/>
      </w:pPr>
      <w:rPr>
        <w:rFonts w:ascii="Arial" w:hAnsi="Arial" w:cs="Times New Roman" w:hint="default"/>
      </w:rPr>
    </w:lvl>
    <w:lvl w:ilvl="3" w:tplc="59663846">
      <w:start w:val="1"/>
      <w:numFmt w:val="bullet"/>
      <w:lvlText w:val="•"/>
      <w:lvlJc w:val="left"/>
      <w:pPr>
        <w:tabs>
          <w:tab w:val="num" w:pos="2520"/>
        </w:tabs>
        <w:ind w:left="2520" w:hanging="360"/>
      </w:pPr>
      <w:rPr>
        <w:rFonts w:ascii="Arial" w:hAnsi="Arial" w:cs="Times New Roman" w:hint="default"/>
      </w:rPr>
    </w:lvl>
    <w:lvl w:ilvl="4" w:tplc="59C07528">
      <w:start w:val="1"/>
      <w:numFmt w:val="bullet"/>
      <w:lvlText w:val="•"/>
      <w:lvlJc w:val="left"/>
      <w:pPr>
        <w:tabs>
          <w:tab w:val="num" w:pos="3240"/>
        </w:tabs>
        <w:ind w:left="3240" w:hanging="360"/>
      </w:pPr>
      <w:rPr>
        <w:rFonts w:ascii="Arial" w:hAnsi="Arial" w:cs="Times New Roman" w:hint="default"/>
      </w:rPr>
    </w:lvl>
    <w:lvl w:ilvl="5" w:tplc="02D02932">
      <w:start w:val="1"/>
      <w:numFmt w:val="bullet"/>
      <w:lvlText w:val="•"/>
      <w:lvlJc w:val="left"/>
      <w:pPr>
        <w:tabs>
          <w:tab w:val="num" w:pos="3960"/>
        </w:tabs>
        <w:ind w:left="3960" w:hanging="360"/>
      </w:pPr>
      <w:rPr>
        <w:rFonts w:ascii="Arial" w:hAnsi="Arial" w:cs="Times New Roman" w:hint="default"/>
      </w:rPr>
    </w:lvl>
    <w:lvl w:ilvl="6" w:tplc="D89A3634">
      <w:start w:val="1"/>
      <w:numFmt w:val="bullet"/>
      <w:lvlText w:val="•"/>
      <w:lvlJc w:val="left"/>
      <w:pPr>
        <w:tabs>
          <w:tab w:val="num" w:pos="4680"/>
        </w:tabs>
        <w:ind w:left="4680" w:hanging="360"/>
      </w:pPr>
      <w:rPr>
        <w:rFonts w:ascii="Arial" w:hAnsi="Arial" w:cs="Times New Roman" w:hint="default"/>
      </w:rPr>
    </w:lvl>
    <w:lvl w:ilvl="7" w:tplc="DA80E272">
      <w:start w:val="1"/>
      <w:numFmt w:val="bullet"/>
      <w:lvlText w:val="•"/>
      <w:lvlJc w:val="left"/>
      <w:pPr>
        <w:tabs>
          <w:tab w:val="num" w:pos="5400"/>
        </w:tabs>
        <w:ind w:left="5400" w:hanging="360"/>
      </w:pPr>
      <w:rPr>
        <w:rFonts w:ascii="Arial" w:hAnsi="Arial" w:cs="Times New Roman" w:hint="default"/>
      </w:rPr>
    </w:lvl>
    <w:lvl w:ilvl="8" w:tplc="D89C69D0">
      <w:start w:val="1"/>
      <w:numFmt w:val="bullet"/>
      <w:lvlText w:val="•"/>
      <w:lvlJc w:val="left"/>
      <w:pPr>
        <w:tabs>
          <w:tab w:val="num" w:pos="6120"/>
        </w:tabs>
        <w:ind w:left="6120" w:hanging="360"/>
      </w:pPr>
      <w:rPr>
        <w:rFonts w:ascii="Arial" w:hAnsi="Arial" w:cs="Times New Roman" w:hint="default"/>
      </w:rPr>
    </w:lvl>
  </w:abstractNum>
  <w:abstractNum w:abstractNumId="24" w15:restartNumberingAfterBreak="0">
    <w:nsid w:val="7A457B87"/>
    <w:multiLevelType w:val="hybridMultilevel"/>
    <w:tmpl w:val="7B34DC4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2"/>
  </w:num>
  <w:num w:numId="2">
    <w:abstractNumId w:val="5"/>
  </w:num>
  <w:num w:numId="3">
    <w:abstractNumId w:val="14"/>
  </w:num>
  <w:num w:numId="4">
    <w:abstractNumId w:val="10"/>
  </w:num>
  <w:num w:numId="5">
    <w:abstractNumId w:val="3"/>
  </w:num>
  <w:num w:numId="6">
    <w:abstractNumId w:val="12"/>
  </w:num>
  <w:num w:numId="7">
    <w:abstractNumId w:val="6"/>
  </w:num>
  <w:num w:numId="8">
    <w:abstractNumId w:val="24"/>
  </w:num>
  <w:num w:numId="9">
    <w:abstractNumId w:val="18"/>
  </w:num>
  <w:num w:numId="10">
    <w:abstractNumId w:val="15"/>
  </w:num>
  <w:num w:numId="11">
    <w:abstractNumId w:val="2"/>
  </w:num>
  <w:num w:numId="12">
    <w:abstractNumId w:val="21"/>
  </w:num>
  <w:num w:numId="13">
    <w:abstractNumId w:val="19"/>
  </w:num>
  <w:num w:numId="14">
    <w:abstractNumId w:val="8"/>
  </w:num>
  <w:num w:numId="15">
    <w:abstractNumId w:val="4"/>
  </w:num>
  <w:num w:numId="16">
    <w:abstractNumId w:val="11"/>
  </w:num>
  <w:num w:numId="17">
    <w:abstractNumId w:val="13"/>
  </w:num>
  <w:num w:numId="18">
    <w:abstractNumId w:val="7"/>
  </w:num>
  <w:num w:numId="19">
    <w:abstractNumId w:val="1"/>
  </w:num>
  <w:num w:numId="20">
    <w:abstractNumId w:val="17"/>
  </w:num>
  <w:num w:numId="21">
    <w:abstractNumId w:val="16"/>
  </w:num>
  <w:num w:numId="22">
    <w:abstractNumId w:val="9"/>
  </w:num>
  <w:num w:numId="23">
    <w:abstractNumId w:val="20"/>
  </w:num>
  <w:num w:numId="24">
    <w:abstractNumId w:val="0"/>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30"/>
    <w:rsid w:val="00001854"/>
    <w:rsid w:val="00002A36"/>
    <w:rsid w:val="00002BEE"/>
    <w:rsid w:val="000033BF"/>
    <w:rsid w:val="00007134"/>
    <w:rsid w:val="000078A4"/>
    <w:rsid w:val="00007C59"/>
    <w:rsid w:val="00021E64"/>
    <w:rsid w:val="000263EA"/>
    <w:rsid w:val="00027108"/>
    <w:rsid w:val="000275F9"/>
    <w:rsid w:val="00030161"/>
    <w:rsid w:val="000305C9"/>
    <w:rsid w:val="00031628"/>
    <w:rsid w:val="000350CC"/>
    <w:rsid w:val="00035629"/>
    <w:rsid w:val="00035F8B"/>
    <w:rsid w:val="00041AA1"/>
    <w:rsid w:val="00042A4C"/>
    <w:rsid w:val="000437B0"/>
    <w:rsid w:val="00043CA8"/>
    <w:rsid w:val="00044975"/>
    <w:rsid w:val="0004522F"/>
    <w:rsid w:val="00045268"/>
    <w:rsid w:val="000455F8"/>
    <w:rsid w:val="00045F13"/>
    <w:rsid w:val="00046FBA"/>
    <w:rsid w:val="0004719E"/>
    <w:rsid w:val="00047F94"/>
    <w:rsid w:val="00050AC7"/>
    <w:rsid w:val="000521A3"/>
    <w:rsid w:val="000549FA"/>
    <w:rsid w:val="00056607"/>
    <w:rsid w:val="00061C5A"/>
    <w:rsid w:val="0006294E"/>
    <w:rsid w:val="00062C4B"/>
    <w:rsid w:val="00063B7C"/>
    <w:rsid w:val="000641DC"/>
    <w:rsid w:val="00064453"/>
    <w:rsid w:val="00066FB0"/>
    <w:rsid w:val="000673B3"/>
    <w:rsid w:val="00070088"/>
    <w:rsid w:val="00070BFD"/>
    <w:rsid w:val="0007115E"/>
    <w:rsid w:val="0007238D"/>
    <w:rsid w:val="00073489"/>
    <w:rsid w:val="00073CC7"/>
    <w:rsid w:val="00080947"/>
    <w:rsid w:val="00080DAA"/>
    <w:rsid w:val="00081E80"/>
    <w:rsid w:val="000857FF"/>
    <w:rsid w:val="0008679E"/>
    <w:rsid w:val="00086FF4"/>
    <w:rsid w:val="00090C3B"/>
    <w:rsid w:val="00091B21"/>
    <w:rsid w:val="000948B5"/>
    <w:rsid w:val="00094A2D"/>
    <w:rsid w:val="00094E5E"/>
    <w:rsid w:val="00096A65"/>
    <w:rsid w:val="00097391"/>
    <w:rsid w:val="0009798A"/>
    <w:rsid w:val="00097CB6"/>
    <w:rsid w:val="000A28C8"/>
    <w:rsid w:val="000A5784"/>
    <w:rsid w:val="000A5A70"/>
    <w:rsid w:val="000A7D85"/>
    <w:rsid w:val="000B04D7"/>
    <w:rsid w:val="000B2BDC"/>
    <w:rsid w:val="000B3E75"/>
    <w:rsid w:val="000B4FA9"/>
    <w:rsid w:val="000B573D"/>
    <w:rsid w:val="000B5D30"/>
    <w:rsid w:val="000C0A7D"/>
    <w:rsid w:val="000C2C2F"/>
    <w:rsid w:val="000C36A7"/>
    <w:rsid w:val="000C4300"/>
    <w:rsid w:val="000C51E2"/>
    <w:rsid w:val="000D0D3D"/>
    <w:rsid w:val="000D391A"/>
    <w:rsid w:val="000D3CDA"/>
    <w:rsid w:val="000D5114"/>
    <w:rsid w:val="000D782D"/>
    <w:rsid w:val="000D796A"/>
    <w:rsid w:val="000E0A95"/>
    <w:rsid w:val="000E28AC"/>
    <w:rsid w:val="000E5466"/>
    <w:rsid w:val="000E746D"/>
    <w:rsid w:val="000F007A"/>
    <w:rsid w:val="000F0360"/>
    <w:rsid w:val="000F182C"/>
    <w:rsid w:val="000F4E25"/>
    <w:rsid w:val="000F4F68"/>
    <w:rsid w:val="000F550C"/>
    <w:rsid w:val="000F5D83"/>
    <w:rsid w:val="000F6FE9"/>
    <w:rsid w:val="0010085E"/>
    <w:rsid w:val="0010272F"/>
    <w:rsid w:val="00102946"/>
    <w:rsid w:val="00102DD4"/>
    <w:rsid w:val="00105032"/>
    <w:rsid w:val="00107120"/>
    <w:rsid w:val="001112D1"/>
    <w:rsid w:val="0011136C"/>
    <w:rsid w:val="00111458"/>
    <w:rsid w:val="0011184C"/>
    <w:rsid w:val="001119BE"/>
    <w:rsid w:val="00113A16"/>
    <w:rsid w:val="00115C19"/>
    <w:rsid w:val="0012276B"/>
    <w:rsid w:val="00123664"/>
    <w:rsid w:val="00125148"/>
    <w:rsid w:val="001275C9"/>
    <w:rsid w:val="00127EFF"/>
    <w:rsid w:val="00132614"/>
    <w:rsid w:val="00133A80"/>
    <w:rsid w:val="00136828"/>
    <w:rsid w:val="00137543"/>
    <w:rsid w:val="0014059B"/>
    <w:rsid w:val="00142C71"/>
    <w:rsid w:val="0014307F"/>
    <w:rsid w:val="00143281"/>
    <w:rsid w:val="00143C33"/>
    <w:rsid w:val="00145002"/>
    <w:rsid w:val="00147C1B"/>
    <w:rsid w:val="00147F75"/>
    <w:rsid w:val="00150B62"/>
    <w:rsid w:val="001540B5"/>
    <w:rsid w:val="001541BB"/>
    <w:rsid w:val="00155580"/>
    <w:rsid w:val="001565F4"/>
    <w:rsid w:val="00157DA6"/>
    <w:rsid w:val="00157FB9"/>
    <w:rsid w:val="001640B4"/>
    <w:rsid w:val="00164CF4"/>
    <w:rsid w:val="0017124C"/>
    <w:rsid w:val="0017171A"/>
    <w:rsid w:val="00174D4E"/>
    <w:rsid w:val="00175533"/>
    <w:rsid w:val="00177124"/>
    <w:rsid w:val="0017769F"/>
    <w:rsid w:val="001830D6"/>
    <w:rsid w:val="001840F0"/>
    <w:rsid w:val="00184AC8"/>
    <w:rsid w:val="00185D28"/>
    <w:rsid w:val="00190328"/>
    <w:rsid w:val="00192E90"/>
    <w:rsid w:val="001A0198"/>
    <w:rsid w:val="001A0FEB"/>
    <w:rsid w:val="001A1DF9"/>
    <w:rsid w:val="001A2D83"/>
    <w:rsid w:val="001A33D8"/>
    <w:rsid w:val="001A4874"/>
    <w:rsid w:val="001A66E9"/>
    <w:rsid w:val="001A6E99"/>
    <w:rsid w:val="001A7D9C"/>
    <w:rsid w:val="001B0075"/>
    <w:rsid w:val="001B0776"/>
    <w:rsid w:val="001B0D6E"/>
    <w:rsid w:val="001B201F"/>
    <w:rsid w:val="001B49CE"/>
    <w:rsid w:val="001B5A57"/>
    <w:rsid w:val="001B6627"/>
    <w:rsid w:val="001B7032"/>
    <w:rsid w:val="001B77F7"/>
    <w:rsid w:val="001C0B62"/>
    <w:rsid w:val="001C0D6C"/>
    <w:rsid w:val="001C1685"/>
    <w:rsid w:val="001C4E3B"/>
    <w:rsid w:val="001D0657"/>
    <w:rsid w:val="001D07C9"/>
    <w:rsid w:val="001D2E31"/>
    <w:rsid w:val="001D3A0A"/>
    <w:rsid w:val="001D45C0"/>
    <w:rsid w:val="001D65BC"/>
    <w:rsid w:val="001D674C"/>
    <w:rsid w:val="001E0D45"/>
    <w:rsid w:val="001E3E61"/>
    <w:rsid w:val="001E3FFC"/>
    <w:rsid w:val="001E4208"/>
    <w:rsid w:val="001F232A"/>
    <w:rsid w:val="001F323A"/>
    <w:rsid w:val="001F35D7"/>
    <w:rsid w:val="001F4E20"/>
    <w:rsid w:val="001F6DBC"/>
    <w:rsid w:val="001F77E5"/>
    <w:rsid w:val="0020300E"/>
    <w:rsid w:val="0020335A"/>
    <w:rsid w:val="00203F3D"/>
    <w:rsid w:val="00207333"/>
    <w:rsid w:val="00207703"/>
    <w:rsid w:val="002109AB"/>
    <w:rsid w:val="00212080"/>
    <w:rsid w:val="0021304E"/>
    <w:rsid w:val="00213821"/>
    <w:rsid w:val="00216F35"/>
    <w:rsid w:val="00217812"/>
    <w:rsid w:val="00217FC0"/>
    <w:rsid w:val="00220845"/>
    <w:rsid w:val="0022211D"/>
    <w:rsid w:val="00222BF6"/>
    <w:rsid w:val="00223151"/>
    <w:rsid w:val="0022459A"/>
    <w:rsid w:val="00225225"/>
    <w:rsid w:val="00225976"/>
    <w:rsid w:val="0023084F"/>
    <w:rsid w:val="002313D0"/>
    <w:rsid w:val="002317BF"/>
    <w:rsid w:val="00232801"/>
    <w:rsid w:val="00235218"/>
    <w:rsid w:val="00235D1C"/>
    <w:rsid w:val="00237D5D"/>
    <w:rsid w:val="00240F8A"/>
    <w:rsid w:val="00243006"/>
    <w:rsid w:val="00243CCF"/>
    <w:rsid w:val="002446EF"/>
    <w:rsid w:val="00245774"/>
    <w:rsid w:val="00245BCF"/>
    <w:rsid w:val="00247608"/>
    <w:rsid w:val="00247FE3"/>
    <w:rsid w:val="0025053F"/>
    <w:rsid w:val="00251098"/>
    <w:rsid w:val="002512B7"/>
    <w:rsid w:val="002512E3"/>
    <w:rsid w:val="00251ED1"/>
    <w:rsid w:val="00263E7E"/>
    <w:rsid w:val="0026400E"/>
    <w:rsid w:val="00264F17"/>
    <w:rsid w:val="002651BF"/>
    <w:rsid w:val="00266636"/>
    <w:rsid w:val="002705FF"/>
    <w:rsid w:val="0027095E"/>
    <w:rsid w:val="00270C0B"/>
    <w:rsid w:val="002722E3"/>
    <w:rsid w:val="00274CB9"/>
    <w:rsid w:val="0027774E"/>
    <w:rsid w:val="00281ECC"/>
    <w:rsid w:val="002835AB"/>
    <w:rsid w:val="002850D8"/>
    <w:rsid w:val="00291237"/>
    <w:rsid w:val="002914BA"/>
    <w:rsid w:val="00295879"/>
    <w:rsid w:val="002B1637"/>
    <w:rsid w:val="002B2007"/>
    <w:rsid w:val="002B2C1F"/>
    <w:rsid w:val="002B4C0F"/>
    <w:rsid w:val="002B5534"/>
    <w:rsid w:val="002B57F0"/>
    <w:rsid w:val="002C04C4"/>
    <w:rsid w:val="002C1018"/>
    <w:rsid w:val="002C4954"/>
    <w:rsid w:val="002C4D8E"/>
    <w:rsid w:val="002C50DA"/>
    <w:rsid w:val="002D0102"/>
    <w:rsid w:val="002D010C"/>
    <w:rsid w:val="002D0BB9"/>
    <w:rsid w:val="002D1435"/>
    <w:rsid w:val="002D2C69"/>
    <w:rsid w:val="002D2CCB"/>
    <w:rsid w:val="002D3AC2"/>
    <w:rsid w:val="002D4752"/>
    <w:rsid w:val="002E1B74"/>
    <w:rsid w:val="002E24C2"/>
    <w:rsid w:val="002E3098"/>
    <w:rsid w:val="002E335C"/>
    <w:rsid w:val="002E3BE0"/>
    <w:rsid w:val="002E7C20"/>
    <w:rsid w:val="002F0C33"/>
    <w:rsid w:val="00300382"/>
    <w:rsid w:val="00300C45"/>
    <w:rsid w:val="00300DD8"/>
    <w:rsid w:val="00301FA8"/>
    <w:rsid w:val="003029D5"/>
    <w:rsid w:val="003038DF"/>
    <w:rsid w:val="00304062"/>
    <w:rsid w:val="0030699D"/>
    <w:rsid w:val="00313820"/>
    <w:rsid w:val="003163B1"/>
    <w:rsid w:val="00320E1B"/>
    <w:rsid w:val="00321C88"/>
    <w:rsid w:val="00322998"/>
    <w:rsid w:val="0032299F"/>
    <w:rsid w:val="003246C4"/>
    <w:rsid w:val="00327B8F"/>
    <w:rsid w:val="003336C2"/>
    <w:rsid w:val="003339E8"/>
    <w:rsid w:val="0033515B"/>
    <w:rsid w:val="00344CB1"/>
    <w:rsid w:val="00347199"/>
    <w:rsid w:val="00350558"/>
    <w:rsid w:val="0035191E"/>
    <w:rsid w:val="00353CA8"/>
    <w:rsid w:val="00355C6E"/>
    <w:rsid w:val="003577EC"/>
    <w:rsid w:val="00357BAD"/>
    <w:rsid w:val="003602CF"/>
    <w:rsid w:val="00366733"/>
    <w:rsid w:val="00367B8C"/>
    <w:rsid w:val="003708D0"/>
    <w:rsid w:val="00370BD1"/>
    <w:rsid w:val="00370CD0"/>
    <w:rsid w:val="00370EF0"/>
    <w:rsid w:val="00372815"/>
    <w:rsid w:val="00372A10"/>
    <w:rsid w:val="003730B8"/>
    <w:rsid w:val="003737D2"/>
    <w:rsid w:val="00374111"/>
    <w:rsid w:val="00375602"/>
    <w:rsid w:val="00377EF8"/>
    <w:rsid w:val="0038037A"/>
    <w:rsid w:val="00380A30"/>
    <w:rsid w:val="00381BBC"/>
    <w:rsid w:val="00382170"/>
    <w:rsid w:val="003821A1"/>
    <w:rsid w:val="00383120"/>
    <w:rsid w:val="00383C0B"/>
    <w:rsid w:val="00384A1D"/>
    <w:rsid w:val="003855F4"/>
    <w:rsid w:val="00385629"/>
    <w:rsid w:val="00385790"/>
    <w:rsid w:val="00386E10"/>
    <w:rsid w:val="0039007B"/>
    <w:rsid w:val="0039019E"/>
    <w:rsid w:val="0039257F"/>
    <w:rsid w:val="0039282C"/>
    <w:rsid w:val="0039515D"/>
    <w:rsid w:val="00396214"/>
    <w:rsid w:val="00396C7B"/>
    <w:rsid w:val="00396DC0"/>
    <w:rsid w:val="00397DEC"/>
    <w:rsid w:val="003A01F6"/>
    <w:rsid w:val="003A38C3"/>
    <w:rsid w:val="003A4390"/>
    <w:rsid w:val="003A49E5"/>
    <w:rsid w:val="003A6BC8"/>
    <w:rsid w:val="003A6E4D"/>
    <w:rsid w:val="003B10DE"/>
    <w:rsid w:val="003B5037"/>
    <w:rsid w:val="003B5B40"/>
    <w:rsid w:val="003B6209"/>
    <w:rsid w:val="003B66F5"/>
    <w:rsid w:val="003B7105"/>
    <w:rsid w:val="003B7878"/>
    <w:rsid w:val="003C070A"/>
    <w:rsid w:val="003C0BCA"/>
    <w:rsid w:val="003C1E74"/>
    <w:rsid w:val="003C1E89"/>
    <w:rsid w:val="003C2B34"/>
    <w:rsid w:val="003C3195"/>
    <w:rsid w:val="003C4A75"/>
    <w:rsid w:val="003C5F5F"/>
    <w:rsid w:val="003C6120"/>
    <w:rsid w:val="003D0EC3"/>
    <w:rsid w:val="003D1B64"/>
    <w:rsid w:val="003D5507"/>
    <w:rsid w:val="003D566E"/>
    <w:rsid w:val="003E057C"/>
    <w:rsid w:val="003E1922"/>
    <w:rsid w:val="003E3B4C"/>
    <w:rsid w:val="003E6161"/>
    <w:rsid w:val="003E7C04"/>
    <w:rsid w:val="003F0C59"/>
    <w:rsid w:val="003F1D28"/>
    <w:rsid w:val="003F29AA"/>
    <w:rsid w:val="003F38FB"/>
    <w:rsid w:val="003F7159"/>
    <w:rsid w:val="00401930"/>
    <w:rsid w:val="0040261A"/>
    <w:rsid w:val="004041A6"/>
    <w:rsid w:val="00406359"/>
    <w:rsid w:val="004064B6"/>
    <w:rsid w:val="00407EBF"/>
    <w:rsid w:val="00410612"/>
    <w:rsid w:val="00412967"/>
    <w:rsid w:val="00413485"/>
    <w:rsid w:val="00415886"/>
    <w:rsid w:val="004239DA"/>
    <w:rsid w:val="00423BDD"/>
    <w:rsid w:val="00425A67"/>
    <w:rsid w:val="00425EF1"/>
    <w:rsid w:val="0042611D"/>
    <w:rsid w:val="00427B54"/>
    <w:rsid w:val="00427D2F"/>
    <w:rsid w:val="004306CD"/>
    <w:rsid w:val="00432139"/>
    <w:rsid w:val="004343D1"/>
    <w:rsid w:val="0043561C"/>
    <w:rsid w:val="00436195"/>
    <w:rsid w:val="0043799F"/>
    <w:rsid w:val="00437B3F"/>
    <w:rsid w:val="00437D3D"/>
    <w:rsid w:val="004404C7"/>
    <w:rsid w:val="00446C68"/>
    <w:rsid w:val="0045007C"/>
    <w:rsid w:val="0045076B"/>
    <w:rsid w:val="004530B6"/>
    <w:rsid w:val="00453E2D"/>
    <w:rsid w:val="0045526C"/>
    <w:rsid w:val="00456C88"/>
    <w:rsid w:val="00457550"/>
    <w:rsid w:val="00460443"/>
    <w:rsid w:val="00460A1A"/>
    <w:rsid w:val="00461E5C"/>
    <w:rsid w:val="004633E8"/>
    <w:rsid w:val="0046521E"/>
    <w:rsid w:val="00465867"/>
    <w:rsid w:val="00467FCF"/>
    <w:rsid w:val="0047044A"/>
    <w:rsid w:val="00470D8E"/>
    <w:rsid w:val="00471A99"/>
    <w:rsid w:val="004734B7"/>
    <w:rsid w:val="00473733"/>
    <w:rsid w:val="004751B3"/>
    <w:rsid w:val="00475D99"/>
    <w:rsid w:val="0047795B"/>
    <w:rsid w:val="004828F1"/>
    <w:rsid w:val="00482E64"/>
    <w:rsid w:val="00482FBA"/>
    <w:rsid w:val="00483B11"/>
    <w:rsid w:val="0048494C"/>
    <w:rsid w:val="004873D7"/>
    <w:rsid w:val="004920E8"/>
    <w:rsid w:val="00492233"/>
    <w:rsid w:val="004926E3"/>
    <w:rsid w:val="004930D8"/>
    <w:rsid w:val="0049490C"/>
    <w:rsid w:val="00494AA4"/>
    <w:rsid w:val="00494B49"/>
    <w:rsid w:val="00495F7C"/>
    <w:rsid w:val="0049646C"/>
    <w:rsid w:val="004978ED"/>
    <w:rsid w:val="004A3684"/>
    <w:rsid w:val="004A44C0"/>
    <w:rsid w:val="004A6F9C"/>
    <w:rsid w:val="004B01B3"/>
    <w:rsid w:val="004B5A24"/>
    <w:rsid w:val="004C0FD5"/>
    <w:rsid w:val="004C16CF"/>
    <w:rsid w:val="004C198C"/>
    <w:rsid w:val="004C1E6B"/>
    <w:rsid w:val="004C206C"/>
    <w:rsid w:val="004C30F0"/>
    <w:rsid w:val="004C3AA1"/>
    <w:rsid w:val="004C4D27"/>
    <w:rsid w:val="004C5AA5"/>
    <w:rsid w:val="004C67F3"/>
    <w:rsid w:val="004C71F8"/>
    <w:rsid w:val="004D133C"/>
    <w:rsid w:val="004D152D"/>
    <w:rsid w:val="004D27F3"/>
    <w:rsid w:val="004D3865"/>
    <w:rsid w:val="004D4909"/>
    <w:rsid w:val="004D5351"/>
    <w:rsid w:val="004D5877"/>
    <w:rsid w:val="004D6119"/>
    <w:rsid w:val="004D75EC"/>
    <w:rsid w:val="004D7A93"/>
    <w:rsid w:val="004D7C89"/>
    <w:rsid w:val="004E50C5"/>
    <w:rsid w:val="004E73CB"/>
    <w:rsid w:val="004E7854"/>
    <w:rsid w:val="004F23CB"/>
    <w:rsid w:val="004F3DDF"/>
    <w:rsid w:val="004F63CA"/>
    <w:rsid w:val="0050016C"/>
    <w:rsid w:val="0050298B"/>
    <w:rsid w:val="005031B8"/>
    <w:rsid w:val="0050331A"/>
    <w:rsid w:val="00506FAC"/>
    <w:rsid w:val="005075CC"/>
    <w:rsid w:val="00510C40"/>
    <w:rsid w:val="0051175C"/>
    <w:rsid w:val="00511B0C"/>
    <w:rsid w:val="00513947"/>
    <w:rsid w:val="00513EC5"/>
    <w:rsid w:val="00514EFD"/>
    <w:rsid w:val="00515181"/>
    <w:rsid w:val="00515A7F"/>
    <w:rsid w:val="00515C9D"/>
    <w:rsid w:val="00516DFC"/>
    <w:rsid w:val="00517C11"/>
    <w:rsid w:val="00520468"/>
    <w:rsid w:val="00520485"/>
    <w:rsid w:val="0052101D"/>
    <w:rsid w:val="00522894"/>
    <w:rsid w:val="00522E7C"/>
    <w:rsid w:val="0052436A"/>
    <w:rsid w:val="005253E9"/>
    <w:rsid w:val="00525EE2"/>
    <w:rsid w:val="00527268"/>
    <w:rsid w:val="00527C52"/>
    <w:rsid w:val="0053139C"/>
    <w:rsid w:val="005328C8"/>
    <w:rsid w:val="005349FB"/>
    <w:rsid w:val="0053543A"/>
    <w:rsid w:val="00536940"/>
    <w:rsid w:val="00537C24"/>
    <w:rsid w:val="00542939"/>
    <w:rsid w:val="0054694F"/>
    <w:rsid w:val="0054704F"/>
    <w:rsid w:val="00547E91"/>
    <w:rsid w:val="005501E4"/>
    <w:rsid w:val="00550AFC"/>
    <w:rsid w:val="0055157E"/>
    <w:rsid w:val="00552219"/>
    <w:rsid w:val="00553A6A"/>
    <w:rsid w:val="00553DBF"/>
    <w:rsid w:val="005545B9"/>
    <w:rsid w:val="0055546B"/>
    <w:rsid w:val="00555EBB"/>
    <w:rsid w:val="0056063C"/>
    <w:rsid w:val="00562B86"/>
    <w:rsid w:val="00564A4A"/>
    <w:rsid w:val="005666EA"/>
    <w:rsid w:val="005668EA"/>
    <w:rsid w:val="005715C2"/>
    <w:rsid w:val="00572820"/>
    <w:rsid w:val="00576A41"/>
    <w:rsid w:val="0058046B"/>
    <w:rsid w:val="0058386C"/>
    <w:rsid w:val="00584AEE"/>
    <w:rsid w:val="00585169"/>
    <w:rsid w:val="005858A3"/>
    <w:rsid w:val="00586721"/>
    <w:rsid w:val="00592188"/>
    <w:rsid w:val="00592C5E"/>
    <w:rsid w:val="00592D5B"/>
    <w:rsid w:val="00592EB3"/>
    <w:rsid w:val="0059374D"/>
    <w:rsid w:val="00595407"/>
    <w:rsid w:val="00596174"/>
    <w:rsid w:val="005963C9"/>
    <w:rsid w:val="0059654E"/>
    <w:rsid w:val="0059712D"/>
    <w:rsid w:val="00597365"/>
    <w:rsid w:val="005A0394"/>
    <w:rsid w:val="005A1C04"/>
    <w:rsid w:val="005A21D8"/>
    <w:rsid w:val="005A2E59"/>
    <w:rsid w:val="005A4EF5"/>
    <w:rsid w:val="005A6D74"/>
    <w:rsid w:val="005B04B6"/>
    <w:rsid w:val="005B0977"/>
    <w:rsid w:val="005B1D15"/>
    <w:rsid w:val="005B2773"/>
    <w:rsid w:val="005B2EAB"/>
    <w:rsid w:val="005B4222"/>
    <w:rsid w:val="005B6935"/>
    <w:rsid w:val="005B6A67"/>
    <w:rsid w:val="005B6B6C"/>
    <w:rsid w:val="005B7DE1"/>
    <w:rsid w:val="005C38C0"/>
    <w:rsid w:val="005C3B02"/>
    <w:rsid w:val="005C49E3"/>
    <w:rsid w:val="005C61F1"/>
    <w:rsid w:val="005C7D2C"/>
    <w:rsid w:val="005D0280"/>
    <w:rsid w:val="005D12EA"/>
    <w:rsid w:val="005D2384"/>
    <w:rsid w:val="005D3F0A"/>
    <w:rsid w:val="005D4B68"/>
    <w:rsid w:val="005D4CBC"/>
    <w:rsid w:val="005D593D"/>
    <w:rsid w:val="005D7196"/>
    <w:rsid w:val="005D7A1D"/>
    <w:rsid w:val="005E297A"/>
    <w:rsid w:val="005E2BF3"/>
    <w:rsid w:val="005E4BCC"/>
    <w:rsid w:val="005F01C5"/>
    <w:rsid w:val="005F0DCE"/>
    <w:rsid w:val="005F16BB"/>
    <w:rsid w:val="005F1A24"/>
    <w:rsid w:val="005F1ABD"/>
    <w:rsid w:val="005F2694"/>
    <w:rsid w:val="005F748A"/>
    <w:rsid w:val="00603020"/>
    <w:rsid w:val="00603BAB"/>
    <w:rsid w:val="00604C43"/>
    <w:rsid w:val="00605D89"/>
    <w:rsid w:val="00607FBB"/>
    <w:rsid w:val="006101EA"/>
    <w:rsid w:val="0061175C"/>
    <w:rsid w:val="0061229A"/>
    <w:rsid w:val="00613BDD"/>
    <w:rsid w:val="00616D90"/>
    <w:rsid w:val="00622CA1"/>
    <w:rsid w:val="006248C9"/>
    <w:rsid w:val="00626B4E"/>
    <w:rsid w:val="00630B41"/>
    <w:rsid w:val="00632FA9"/>
    <w:rsid w:val="006336AA"/>
    <w:rsid w:val="00633DC7"/>
    <w:rsid w:val="00634064"/>
    <w:rsid w:val="00636E62"/>
    <w:rsid w:val="00637A6A"/>
    <w:rsid w:val="00640935"/>
    <w:rsid w:val="0064155D"/>
    <w:rsid w:val="0064278E"/>
    <w:rsid w:val="00642A23"/>
    <w:rsid w:val="00643D20"/>
    <w:rsid w:val="00644A9A"/>
    <w:rsid w:val="006470D8"/>
    <w:rsid w:val="00652230"/>
    <w:rsid w:val="00652448"/>
    <w:rsid w:val="0065420D"/>
    <w:rsid w:val="00655DA4"/>
    <w:rsid w:val="00657D6C"/>
    <w:rsid w:val="00660FC7"/>
    <w:rsid w:val="00661112"/>
    <w:rsid w:val="00662140"/>
    <w:rsid w:val="00664410"/>
    <w:rsid w:val="00664D65"/>
    <w:rsid w:val="00665335"/>
    <w:rsid w:val="006656BA"/>
    <w:rsid w:val="00665FA1"/>
    <w:rsid w:val="006667BF"/>
    <w:rsid w:val="00667EC7"/>
    <w:rsid w:val="0067055D"/>
    <w:rsid w:val="00672EF1"/>
    <w:rsid w:val="006731DF"/>
    <w:rsid w:val="0067343C"/>
    <w:rsid w:val="00674962"/>
    <w:rsid w:val="00676337"/>
    <w:rsid w:val="00680A95"/>
    <w:rsid w:val="00680AD5"/>
    <w:rsid w:val="0068216F"/>
    <w:rsid w:val="0068313D"/>
    <w:rsid w:val="00683829"/>
    <w:rsid w:val="0068409B"/>
    <w:rsid w:val="006860D4"/>
    <w:rsid w:val="00686929"/>
    <w:rsid w:val="00686E3D"/>
    <w:rsid w:val="00690EEB"/>
    <w:rsid w:val="00691947"/>
    <w:rsid w:val="006A0E39"/>
    <w:rsid w:val="006A1AF2"/>
    <w:rsid w:val="006A2CBC"/>
    <w:rsid w:val="006A4888"/>
    <w:rsid w:val="006A4CBA"/>
    <w:rsid w:val="006A6A9C"/>
    <w:rsid w:val="006A764F"/>
    <w:rsid w:val="006B1701"/>
    <w:rsid w:val="006B1B5C"/>
    <w:rsid w:val="006B1DA0"/>
    <w:rsid w:val="006B2DC8"/>
    <w:rsid w:val="006B4E50"/>
    <w:rsid w:val="006B77FE"/>
    <w:rsid w:val="006C1DB8"/>
    <w:rsid w:val="006C4188"/>
    <w:rsid w:val="006C52C6"/>
    <w:rsid w:val="006C7460"/>
    <w:rsid w:val="006D09A0"/>
    <w:rsid w:val="006D44AE"/>
    <w:rsid w:val="006D5D93"/>
    <w:rsid w:val="006D6356"/>
    <w:rsid w:val="006D6B3A"/>
    <w:rsid w:val="006D72B6"/>
    <w:rsid w:val="006D74D0"/>
    <w:rsid w:val="006E112F"/>
    <w:rsid w:val="006E30A0"/>
    <w:rsid w:val="006E34DF"/>
    <w:rsid w:val="006E41C1"/>
    <w:rsid w:val="006E4475"/>
    <w:rsid w:val="006E6EB5"/>
    <w:rsid w:val="006F23AF"/>
    <w:rsid w:val="006F277D"/>
    <w:rsid w:val="006F2F24"/>
    <w:rsid w:val="006F45BA"/>
    <w:rsid w:val="00701157"/>
    <w:rsid w:val="00701ADE"/>
    <w:rsid w:val="00701DC7"/>
    <w:rsid w:val="00702902"/>
    <w:rsid w:val="00703D17"/>
    <w:rsid w:val="0070418D"/>
    <w:rsid w:val="0070439B"/>
    <w:rsid w:val="00704449"/>
    <w:rsid w:val="00704DE2"/>
    <w:rsid w:val="0070613C"/>
    <w:rsid w:val="007170E0"/>
    <w:rsid w:val="007202DA"/>
    <w:rsid w:val="00720473"/>
    <w:rsid w:val="00723629"/>
    <w:rsid w:val="00723C12"/>
    <w:rsid w:val="00725CFB"/>
    <w:rsid w:val="00726FD7"/>
    <w:rsid w:val="007313C7"/>
    <w:rsid w:val="00732AE5"/>
    <w:rsid w:val="0073689C"/>
    <w:rsid w:val="00737464"/>
    <w:rsid w:val="00740AAB"/>
    <w:rsid w:val="00743DAD"/>
    <w:rsid w:val="00744B02"/>
    <w:rsid w:val="00747B15"/>
    <w:rsid w:val="00747CB9"/>
    <w:rsid w:val="007507F4"/>
    <w:rsid w:val="007511F4"/>
    <w:rsid w:val="00752AB6"/>
    <w:rsid w:val="00752EEB"/>
    <w:rsid w:val="00753753"/>
    <w:rsid w:val="007539E0"/>
    <w:rsid w:val="007547E9"/>
    <w:rsid w:val="00757130"/>
    <w:rsid w:val="007571D3"/>
    <w:rsid w:val="00757726"/>
    <w:rsid w:val="007600C3"/>
    <w:rsid w:val="00760DDC"/>
    <w:rsid w:val="0076190F"/>
    <w:rsid w:val="00761B52"/>
    <w:rsid w:val="007621F5"/>
    <w:rsid w:val="007647A7"/>
    <w:rsid w:val="00766BA7"/>
    <w:rsid w:val="00772FA9"/>
    <w:rsid w:val="007745F0"/>
    <w:rsid w:val="00776FFA"/>
    <w:rsid w:val="007775DD"/>
    <w:rsid w:val="00780073"/>
    <w:rsid w:val="00781390"/>
    <w:rsid w:val="00782E3E"/>
    <w:rsid w:val="00785047"/>
    <w:rsid w:val="00786ED9"/>
    <w:rsid w:val="00787190"/>
    <w:rsid w:val="00787C85"/>
    <w:rsid w:val="00794F42"/>
    <w:rsid w:val="007959ED"/>
    <w:rsid w:val="007A05C9"/>
    <w:rsid w:val="007A08E3"/>
    <w:rsid w:val="007A1C0A"/>
    <w:rsid w:val="007A2E89"/>
    <w:rsid w:val="007A3846"/>
    <w:rsid w:val="007A55C0"/>
    <w:rsid w:val="007A5F80"/>
    <w:rsid w:val="007A6055"/>
    <w:rsid w:val="007A6CBE"/>
    <w:rsid w:val="007A7BF1"/>
    <w:rsid w:val="007B0B64"/>
    <w:rsid w:val="007B1031"/>
    <w:rsid w:val="007B17FC"/>
    <w:rsid w:val="007B2C1C"/>
    <w:rsid w:val="007B3175"/>
    <w:rsid w:val="007B3E9C"/>
    <w:rsid w:val="007B532B"/>
    <w:rsid w:val="007B6B0B"/>
    <w:rsid w:val="007B791A"/>
    <w:rsid w:val="007C0DCD"/>
    <w:rsid w:val="007C3176"/>
    <w:rsid w:val="007C365C"/>
    <w:rsid w:val="007C77FF"/>
    <w:rsid w:val="007D0770"/>
    <w:rsid w:val="007D3576"/>
    <w:rsid w:val="007D39E1"/>
    <w:rsid w:val="007D3CBB"/>
    <w:rsid w:val="007D588D"/>
    <w:rsid w:val="007D5A2B"/>
    <w:rsid w:val="007D5A94"/>
    <w:rsid w:val="007D6098"/>
    <w:rsid w:val="007D7BB2"/>
    <w:rsid w:val="007D7D75"/>
    <w:rsid w:val="007E07C4"/>
    <w:rsid w:val="007E24E9"/>
    <w:rsid w:val="007E24EF"/>
    <w:rsid w:val="007E46B6"/>
    <w:rsid w:val="007E69E6"/>
    <w:rsid w:val="007F0229"/>
    <w:rsid w:val="007F26D1"/>
    <w:rsid w:val="007F7E8E"/>
    <w:rsid w:val="008004A6"/>
    <w:rsid w:val="008004B5"/>
    <w:rsid w:val="008030EC"/>
    <w:rsid w:val="008031E9"/>
    <w:rsid w:val="00803283"/>
    <w:rsid w:val="00803B5D"/>
    <w:rsid w:val="00810794"/>
    <w:rsid w:val="00810DE9"/>
    <w:rsid w:val="00811476"/>
    <w:rsid w:val="00811BF9"/>
    <w:rsid w:val="0081217C"/>
    <w:rsid w:val="0081450E"/>
    <w:rsid w:val="00815A22"/>
    <w:rsid w:val="00815F75"/>
    <w:rsid w:val="0081616B"/>
    <w:rsid w:val="00820078"/>
    <w:rsid w:val="0082055C"/>
    <w:rsid w:val="00821F76"/>
    <w:rsid w:val="0082222B"/>
    <w:rsid w:val="00822828"/>
    <w:rsid w:val="00827B81"/>
    <w:rsid w:val="00830FFF"/>
    <w:rsid w:val="00832C8A"/>
    <w:rsid w:val="00832EE2"/>
    <w:rsid w:val="00832F4D"/>
    <w:rsid w:val="0083470A"/>
    <w:rsid w:val="00834ECB"/>
    <w:rsid w:val="008361AB"/>
    <w:rsid w:val="00837653"/>
    <w:rsid w:val="00841B62"/>
    <w:rsid w:val="00843003"/>
    <w:rsid w:val="00843E09"/>
    <w:rsid w:val="00844670"/>
    <w:rsid w:val="00844D78"/>
    <w:rsid w:val="008455DB"/>
    <w:rsid w:val="008461B0"/>
    <w:rsid w:val="0084794F"/>
    <w:rsid w:val="00852139"/>
    <w:rsid w:val="00852851"/>
    <w:rsid w:val="00853AF7"/>
    <w:rsid w:val="00854E7B"/>
    <w:rsid w:val="00856993"/>
    <w:rsid w:val="00856D56"/>
    <w:rsid w:val="00857D62"/>
    <w:rsid w:val="00862402"/>
    <w:rsid w:val="00864E17"/>
    <w:rsid w:val="00866263"/>
    <w:rsid w:val="00866526"/>
    <w:rsid w:val="008675A2"/>
    <w:rsid w:val="00867C98"/>
    <w:rsid w:val="00871AC3"/>
    <w:rsid w:val="00871F19"/>
    <w:rsid w:val="00872B11"/>
    <w:rsid w:val="00873BD4"/>
    <w:rsid w:val="00873C6A"/>
    <w:rsid w:val="008764BC"/>
    <w:rsid w:val="00876A24"/>
    <w:rsid w:val="00876B56"/>
    <w:rsid w:val="00876D95"/>
    <w:rsid w:val="00880D71"/>
    <w:rsid w:val="00883B7F"/>
    <w:rsid w:val="008866AF"/>
    <w:rsid w:val="00887BF2"/>
    <w:rsid w:val="00890489"/>
    <w:rsid w:val="00891FB6"/>
    <w:rsid w:val="00892063"/>
    <w:rsid w:val="00896F91"/>
    <w:rsid w:val="008A0CF5"/>
    <w:rsid w:val="008A2183"/>
    <w:rsid w:val="008A2936"/>
    <w:rsid w:val="008A2DC3"/>
    <w:rsid w:val="008A518F"/>
    <w:rsid w:val="008A5E52"/>
    <w:rsid w:val="008A5EBB"/>
    <w:rsid w:val="008A62AA"/>
    <w:rsid w:val="008A78EA"/>
    <w:rsid w:val="008B183C"/>
    <w:rsid w:val="008B2150"/>
    <w:rsid w:val="008B2F16"/>
    <w:rsid w:val="008B43B2"/>
    <w:rsid w:val="008B5C07"/>
    <w:rsid w:val="008B64D1"/>
    <w:rsid w:val="008C146C"/>
    <w:rsid w:val="008C17A7"/>
    <w:rsid w:val="008C2AE9"/>
    <w:rsid w:val="008C3B74"/>
    <w:rsid w:val="008C4FAE"/>
    <w:rsid w:val="008D13F5"/>
    <w:rsid w:val="008D1AFF"/>
    <w:rsid w:val="008D42A0"/>
    <w:rsid w:val="008E04C4"/>
    <w:rsid w:val="008E190A"/>
    <w:rsid w:val="008E345D"/>
    <w:rsid w:val="008E713E"/>
    <w:rsid w:val="008E720C"/>
    <w:rsid w:val="008F274F"/>
    <w:rsid w:val="008F488E"/>
    <w:rsid w:val="008F4B88"/>
    <w:rsid w:val="008F52D9"/>
    <w:rsid w:val="008F5380"/>
    <w:rsid w:val="00900DE7"/>
    <w:rsid w:val="00900F26"/>
    <w:rsid w:val="0090148A"/>
    <w:rsid w:val="00901618"/>
    <w:rsid w:val="0090162B"/>
    <w:rsid w:val="00901F0F"/>
    <w:rsid w:val="00902340"/>
    <w:rsid w:val="00913B2B"/>
    <w:rsid w:val="00914DB6"/>
    <w:rsid w:val="00916039"/>
    <w:rsid w:val="0091663E"/>
    <w:rsid w:val="00916883"/>
    <w:rsid w:val="00923392"/>
    <w:rsid w:val="009313F7"/>
    <w:rsid w:val="00931A93"/>
    <w:rsid w:val="00932703"/>
    <w:rsid w:val="0093312A"/>
    <w:rsid w:val="009333BA"/>
    <w:rsid w:val="00933813"/>
    <w:rsid w:val="009344CE"/>
    <w:rsid w:val="00934681"/>
    <w:rsid w:val="009361D8"/>
    <w:rsid w:val="0093652C"/>
    <w:rsid w:val="00940C27"/>
    <w:rsid w:val="00941AFA"/>
    <w:rsid w:val="00942D14"/>
    <w:rsid w:val="00943E02"/>
    <w:rsid w:val="00944A57"/>
    <w:rsid w:val="009455D0"/>
    <w:rsid w:val="009464F3"/>
    <w:rsid w:val="00946558"/>
    <w:rsid w:val="00950B90"/>
    <w:rsid w:val="00951F2B"/>
    <w:rsid w:val="0095231B"/>
    <w:rsid w:val="00954067"/>
    <w:rsid w:val="009550FC"/>
    <w:rsid w:val="00960C99"/>
    <w:rsid w:val="0096273C"/>
    <w:rsid w:val="00962972"/>
    <w:rsid w:val="00964F6D"/>
    <w:rsid w:val="00964FD5"/>
    <w:rsid w:val="0096536F"/>
    <w:rsid w:val="009665B6"/>
    <w:rsid w:val="00966B7C"/>
    <w:rsid w:val="00967B08"/>
    <w:rsid w:val="00967B64"/>
    <w:rsid w:val="0097039D"/>
    <w:rsid w:val="00973326"/>
    <w:rsid w:val="00973EBA"/>
    <w:rsid w:val="009745BD"/>
    <w:rsid w:val="00976254"/>
    <w:rsid w:val="00984FB7"/>
    <w:rsid w:val="00985037"/>
    <w:rsid w:val="0098545D"/>
    <w:rsid w:val="009858DC"/>
    <w:rsid w:val="00985C35"/>
    <w:rsid w:val="009863C8"/>
    <w:rsid w:val="0099080A"/>
    <w:rsid w:val="00993A47"/>
    <w:rsid w:val="00994E0C"/>
    <w:rsid w:val="00995297"/>
    <w:rsid w:val="009A08B4"/>
    <w:rsid w:val="009A0CA3"/>
    <w:rsid w:val="009A1EF0"/>
    <w:rsid w:val="009A2C93"/>
    <w:rsid w:val="009A6F9A"/>
    <w:rsid w:val="009A7B30"/>
    <w:rsid w:val="009B1383"/>
    <w:rsid w:val="009B24C9"/>
    <w:rsid w:val="009B2672"/>
    <w:rsid w:val="009B32A8"/>
    <w:rsid w:val="009B412B"/>
    <w:rsid w:val="009B4B22"/>
    <w:rsid w:val="009B68F4"/>
    <w:rsid w:val="009B735F"/>
    <w:rsid w:val="009C077D"/>
    <w:rsid w:val="009C1DE0"/>
    <w:rsid w:val="009C20A5"/>
    <w:rsid w:val="009C5722"/>
    <w:rsid w:val="009C62C1"/>
    <w:rsid w:val="009C7C7B"/>
    <w:rsid w:val="009C7DAB"/>
    <w:rsid w:val="009D007F"/>
    <w:rsid w:val="009D1346"/>
    <w:rsid w:val="009D5C42"/>
    <w:rsid w:val="009D5CE0"/>
    <w:rsid w:val="009D679F"/>
    <w:rsid w:val="009D71EF"/>
    <w:rsid w:val="009D7CA2"/>
    <w:rsid w:val="009E049F"/>
    <w:rsid w:val="009E0E29"/>
    <w:rsid w:val="009E3048"/>
    <w:rsid w:val="009E3488"/>
    <w:rsid w:val="009E3A1C"/>
    <w:rsid w:val="009E4891"/>
    <w:rsid w:val="009F382F"/>
    <w:rsid w:val="009F39E8"/>
    <w:rsid w:val="009F4388"/>
    <w:rsid w:val="009F51BD"/>
    <w:rsid w:val="009F53B2"/>
    <w:rsid w:val="009F618A"/>
    <w:rsid w:val="009F6A32"/>
    <w:rsid w:val="00A00314"/>
    <w:rsid w:val="00A01888"/>
    <w:rsid w:val="00A02E89"/>
    <w:rsid w:val="00A104F1"/>
    <w:rsid w:val="00A144B2"/>
    <w:rsid w:val="00A1519F"/>
    <w:rsid w:val="00A16A58"/>
    <w:rsid w:val="00A178DC"/>
    <w:rsid w:val="00A21738"/>
    <w:rsid w:val="00A219F0"/>
    <w:rsid w:val="00A21AF6"/>
    <w:rsid w:val="00A22430"/>
    <w:rsid w:val="00A226AD"/>
    <w:rsid w:val="00A231BC"/>
    <w:rsid w:val="00A247F9"/>
    <w:rsid w:val="00A269FF"/>
    <w:rsid w:val="00A26BD1"/>
    <w:rsid w:val="00A27446"/>
    <w:rsid w:val="00A27FCC"/>
    <w:rsid w:val="00A32B09"/>
    <w:rsid w:val="00A32BCC"/>
    <w:rsid w:val="00A33905"/>
    <w:rsid w:val="00A34273"/>
    <w:rsid w:val="00A359D0"/>
    <w:rsid w:val="00A3788C"/>
    <w:rsid w:val="00A40901"/>
    <w:rsid w:val="00A411AA"/>
    <w:rsid w:val="00A415B4"/>
    <w:rsid w:val="00A43552"/>
    <w:rsid w:val="00A43A7F"/>
    <w:rsid w:val="00A44B1E"/>
    <w:rsid w:val="00A45470"/>
    <w:rsid w:val="00A45BFF"/>
    <w:rsid w:val="00A46DAE"/>
    <w:rsid w:val="00A475C1"/>
    <w:rsid w:val="00A52ADC"/>
    <w:rsid w:val="00A54E58"/>
    <w:rsid w:val="00A56668"/>
    <w:rsid w:val="00A56D11"/>
    <w:rsid w:val="00A6035F"/>
    <w:rsid w:val="00A620F8"/>
    <w:rsid w:val="00A63E40"/>
    <w:rsid w:val="00A649CA"/>
    <w:rsid w:val="00A649E2"/>
    <w:rsid w:val="00A64C29"/>
    <w:rsid w:val="00A65B3F"/>
    <w:rsid w:val="00A67763"/>
    <w:rsid w:val="00A67775"/>
    <w:rsid w:val="00A67A18"/>
    <w:rsid w:val="00A71A1B"/>
    <w:rsid w:val="00A74253"/>
    <w:rsid w:val="00A746C3"/>
    <w:rsid w:val="00A75031"/>
    <w:rsid w:val="00A7582F"/>
    <w:rsid w:val="00A7589C"/>
    <w:rsid w:val="00A77503"/>
    <w:rsid w:val="00A82888"/>
    <w:rsid w:val="00A82A8D"/>
    <w:rsid w:val="00A842F9"/>
    <w:rsid w:val="00A84B04"/>
    <w:rsid w:val="00A8511A"/>
    <w:rsid w:val="00A85923"/>
    <w:rsid w:val="00A863C1"/>
    <w:rsid w:val="00A90353"/>
    <w:rsid w:val="00A904D7"/>
    <w:rsid w:val="00A916F8"/>
    <w:rsid w:val="00A918ED"/>
    <w:rsid w:val="00A942BD"/>
    <w:rsid w:val="00A95DC8"/>
    <w:rsid w:val="00A95EE9"/>
    <w:rsid w:val="00A961FB"/>
    <w:rsid w:val="00AA0F29"/>
    <w:rsid w:val="00AA576D"/>
    <w:rsid w:val="00AA5FC3"/>
    <w:rsid w:val="00AB00D2"/>
    <w:rsid w:val="00AB04F3"/>
    <w:rsid w:val="00AB06B2"/>
    <w:rsid w:val="00AB106A"/>
    <w:rsid w:val="00AB24F3"/>
    <w:rsid w:val="00AB36AE"/>
    <w:rsid w:val="00AB4A22"/>
    <w:rsid w:val="00AB54F4"/>
    <w:rsid w:val="00AB59CC"/>
    <w:rsid w:val="00AB7E02"/>
    <w:rsid w:val="00AC11D5"/>
    <w:rsid w:val="00AC183D"/>
    <w:rsid w:val="00AC1995"/>
    <w:rsid w:val="00AC2F76"/>
    <w:rsid w:val="00AC47AF"/>
    <w:rsid w:val="00AC5B17"/>
    <w:rsid w:val="00AC6DA3"/>
    <w:rsid w:val="00AD0E73"/>
    <w:rsid w:val="00AD4B6D"/>
    <w:rsid w:val="00AE0632"/>
    <w:rsid w:val="00AE0C28"/>
    <w:rsid w:val="00AE0CC2"/>
    <w:rsid w:val="00AE1B9A"/>
    <w:rsid w:val="00AE1D58"/>
    <w:rsid w:val="00AE1F22"/>
    <w:rsid w:val="00AE33FB"/>
    <w:rsid w:val="00AE46B2"/>
    <w:rsid w:val="00AE535F"/>
    <w:rsid w:val="00AE7F30"/>
    <w:rsid w:val="00AE7F9D"/>
    <w:rsid w:val="00AF1A48"/>
    <w:rsid w:val="00AF2235"/>
    <w:rsid w:val="00AF40E4"/>
    <w:rsid w:val="00AF5C37"/>
    <w:rsid w:val="00AF5D35"/>
    <w:rsid w:val="00AF6343"/>
    <w:rsid w:val="00B006CB"/>
    <w:rsid w:val="00B01FCA"/>
    <w:rsid w:val="00B020BB"/>
    <w:rsid w:val="00B03867"/>
    <w:rsid w:val="00B0466D"/>
    <w:rsid w:val="00B065A1"/>
    <w:rsid w:val="00B07B74"/>
    <w:rsid w:val="00B12ED8"/>
    <w:rsid w:val="00B15169"/>
    <w:rsid w:val="00B165CB"/>
    <w:rsid w:val="00B16F23"/>
    <w:rsid w:val="00B179E7"/>
    <w:rsid w:val="00B17B77"/>
    <w:rsid w:val="00B203A9"/>
    <w:rsid w:val="00B219BF"/>
    <w:rsid w:val="00B227AD"/>
    <w:rsid w:val="00B2350F"/>
    <w:rsid w:val="00B23D3E"/>
    <w:rsid w:val="00B25A6D"/>
    <w:rsid w:val="00B267FE"/>
    <w:rsid w:val="00B338AC"/>
    <w:rsid w:val="00B35C8F"/>
    <w:rsid w:val="00B36356"/>
    <w:rsid w:val="00B3660F"/>
    <w:rsid w:val="00B36756"/>
    <w:rsid w:val="00B37B67"/>
    <w:rsid w:val="00B4623B"/>
    <w:rsid w:val="00B46ADA"/>
    <w:rsid w:val="00B52A45"/>
    <w:rsid w:val="00B54EF8"/>
    <w:rsid w:val="00B55AFE"/>
    <w:rsid w:val="00B600B7"/>
    <w:rsid w:val="00B628B4"/>
    <w:rsid w:val="00B656AB"/>
    <w:rsid w:val="00B663FE"/>
    <w:rsid w:val="00B67151"/>
    <w:rsid w:val="00B7005A"/>
    <w:rsid w:val="00B705A7"/>
    <w:rsid w:val="00B71050"/>
    <w:rsid w:val="00B712C0"/>
    <w:rsid w:val="00B71C28"/>
    <w:rsid w:val="00B71DFB"/>
    <w:rsid w:val="00B72883"/>
    <w:rsid w:val="00B73169"/>
    <w:rsid w:val="00B74164"/>
    <w:rsid w:val="00B754EA"/>
    <w:rsid w:val="00B77CE2"/>
    <w:rsid w:val="00B80306"/>
    <w:rsid w:val="00B82359"/>
    <w:rsid w:val="00B83A24"/>
    <w:rsid w:val="00B84FEF"/>
    <w:rsid w:val="00B8539C"/>
    <w:rsid w:val="00B87927"/>
    <w:rsid w:val="00B91A7B"/>
    <w:rsid w:val="00B94A73"/>
    <w:rsid w:val="00B94B11"/>
    <w:rsid w:val="00B9550F"/>
    <w:rsid w:val="00B95791"/>
    <w:rsid w:val="00B97845"/>
    <w:rsid w:val="00B97F27"/>
    <w:rsid w:val="00BA38A8"/>
    <w:rsid w:val="00BA41B6"/>
    <w:rsid w:val="00BA5952"/>
    <w:rsid w:val="00BA5EF3"/>
    <w:rsid w:val="00BA6B22"/>
    <w:rsid w:val="00BA6B6B"/>
    <w:rsid w:val="00BB2D25"/>
    <w:rsid w:val="00BB392F"/>
    <w:rsid w:val="00BB4B25"/>
    <w:rsid w:val="00BB4CDD"/>
    <w:rsid w:val="00BB5070"/>
    <w:rsid w:val="00BB66E7"/>
    <w:rsid w:val="00BB77E5"/>
    <w:rsid w:val="00BC00D5"/>
    <w:rsid w:val="00BC1B9C"/>
    <w:rsid w:val="00BC225B"/>
    <w:rsid w:val="00BC5250"/>
    <w:rsid w:val="00BC7617"/>
    <w:rsid w:val="00BD103C"/>
    <w:rsid w:val="00BD2509"/>
    <w:rsid w:val="00BD3651"/>
    <w:rsid w:val="00BD560B"/>
    <w:rsid w:val="00BD7D48"/>
    <w:rsid w:val="00BE01B5"/>
    <w:rsid w:val="00BE02F0"/>
    <w:rsid w:val="00BE040D"/>
    <w:rsid w:val="00BE1C4F"/>
    <w:rsid w:val="00BE2E91"/>
    <w:rsid w:val="00BE59A4"/>
    <w:rsid w:val="00BF1F15"/>
    <w:rsid w:val="00BF3450"/>
    <w:rsid w:val="00BF3543"/>
    <w:rsid w:val="00BF5925"/>
    <w:rsid w:val="00BF5962"/>
    <w:rsid w:val="00BF657C"/>
    <w:rsid w:val="00BF6DE0"/>
    <w:rsid w:val="00C01F51"/>
    <w:rsid w:val="00C02979"/>
    <w:rsid w:val="00C05C64"/>
    <w:rsid w:val="00C07F39"/>
    <w:rsid w:val="00C12D3E"/>
    <w:rsid w:val="00C139CA"/>
    <w:rsid w:val="00C13C93"/>
    <w:rsid w:val="00C13D0C"/>
    <w:rsid w:val="00C144B5"/>
    <w:rsid w:val="00C15547"/>
    <w:rsid w:val="00C160CB"/>
    <w:rsid w:val="00C161DC"/>
    <w:rsid w:val="00C2402F"/>
    <w:rsid w:val="00C247B2"/>
    <w:rsid w:val="00C24EE8"/>
    <w:rsid w:val="00C25CB4"/>
    <w:rsid w:val="00C2660D"/>
    <w:rsid w:val="00C26E53"/>
    <w:rsid w:val="00C31AC0"/>
    <w:rsid w:val="00C37207"/>
    <w:rsid w:val="00C404ED"/>
    <w:rsid w:val="00C419DA"/>
    <w:rsid w:val="00C41DD9"/>
    <w:rsid w:val="00C41F77"/>
    <w:rsid w:val="00C42071"/>
    <w:rsid w:val="00C448EA"/>
    <w:rsid w:val="00C457DC"/>
    <w:rsid w:val="00C516A5"/>
    <w:rsid w:val="00C52DDC"/>
    <w:rsid w:val="00C53CAE"/>
    <w:rsid w:val="00C549B3"/>
    <w:rsid w:val="00C54F2B"/>
    <w:rsid w:val="00C56F6D"/>
    <w:rsid w:val="00C57389"/>
    <w:rsid w:val="00C6271D"/>
    <w:rsid w:val="00C628D6"/>
    <w:rsid w:val="00C6432C"/>
    <w:rsid w:val="00C651BE"/>
    <w:rsid w:val="00C6678E"/>
    <w:rsid w:val="00C67186"/>
    <w:rsid w:val="00C7047D"/>
    <w:rsid w:val="00C73AB9"/>
    <w:rsid w:val="00C73CF3"/>
    <w:rsid w:val="00C73CF9"/>
    <w:rsid w:val="00C74D5E"/>
    <w:rsid w:val="00C76EF6"/>
    <w:rsid w:val="00C82313"/>
    <w:rsid w:val="00C8300C"/>
    <w:rsid w:val="00C83316"/>
    <w:rsid w:val="00C848B4"/>
    <w:rsid w:val="00C85089"/>
    <w:rsid w:val="00C8594F"/>
    <w:rsid w:val="00C85EC1"/>
    <w:rsid w:val="00C86061"/>
    <w:rsid w:val="00C86182"/>
    <w:rsid w:val="00C86748"/>
    <w:rsid w:val="00C86786"/>
    <w:rsid w:val="00C91EE1"/>
    <w:rsid w:val="00C91EFF"/>
    <w:rsid w:val="00C921D0"/>
    <w:rsid w:val="00C93B46"/>
    <w:rsid w:val="00C94412"/>
    <w:rsid w:val="00C960BE"/>
    <w:rsid w:val="00C96BA6"/>
    <w:rsid w:val="00CA23C7"/>
    <w:rsid w:val="00CA2520"/>
    <w:rsid w:val="00CA3B02"/>
    <w:rsid w:val="00CA437E"/>
    <w:rsid w:val="00CA5197"/>
    <w:rsid w:val="00CA7716"/>
    <w:rsid w:val="00CB1145"/>
    <w:rsid w:val="00CB2445"/>
    <w:rsid w:val="00CB2E93"/>
    <w:rsid w:val="00CB307F"/>
    <w:rsid w:val="00CB5911"/>
    <w:rsid w:val="00CB5F3B"/>
    <w:rsid w:val="00CB6B37"/>
    <w:rsid w:val="00CB6B75"/>
    <w:rsid w:val="00CB7015"/>
    <w:rsid w:val="00CC3052"/>
    <w:rsid w:val="00CC39A1"/>
    <w:rsid w:val="00CC3E84"/>
    <w:rsid w:val="00CC5C21"/>
    <w:rsid w:val="00CC610C"/>
    <w:rsid w:val="00CC73AD"/>
    <w:rsid w:val="00CC76E4"/>
    <w:rsid w:val="00CD19A0"/>
    <w:rsid w:val="00CD1D14"/>
    <w:rsid w:val="00CD580A"/>
    <w:rsid w:val="00CD778A"/>
    <w:rsid w:val="00CE0A06"/>
    <w:rsid w:val="00CE0C49"/>
    <w:rsid w:val="00CE187E"/>
    <w:rsid w:val="00CE1CBC"/>
    <w:rsid w:val="00CE299D"/>
    <w:rsid w:val="00CE566E"/>
    <w:rsid w:val="00CE5D22"/>
    <w:rsid w:val="00CE623B"/>
    <w:rsid w:val="00CE7251"/>
    <w:rsid w:val="00CE7E8E"/>
    <w:rsid w:val="00CF0F4E"/>
    <w:rsid w:val="00CF14C7"/>
    <w:rsid w:val="00CF3D4C"/>
    <w:rsid w:val="00CF4DCE"/>
    <w:rsid w:val="00CF7774"/>
    <w:rsid w:val="00CF7DCA"/>
    <w:rsid w:val="00D039D3"/>
    <w:rsid w:val="00D056BA"/>
    <w:rsid w:val="00D05FE2"/>
    <w:rsid w:val="00D07761"/>
    <w:rsid w:val="00D10154"/>
    <w:rsid w:val="00D109DC"/>
    <w:rsid w:val="00D131DE"/>
    <w:rsid w:val="00D146E2"/>
    <w:rsid w:val="00D1558F"/>
    <w:rsid w:val="00D161F2"/>
    <w:rsid w:val="00D17127"/>
    <w:rsid w:val="00D202C4"/>
    <w:rsid w:val="00D20490"/>
    <w:rsid w:val="00D21178"/>
    <w:rsid w:val="00D21570"/>
    <w:rsid w:val="00D218B6"/>
    <w:rsid w:val="00D23980"/>
    <w:rsid w:val="00D23FA5"/>
    <w:rsid w:val="00D26114"/>
    <w:rsid w:val="00D27484"/>
    <w:rsid w:val="00D3021D"/>
    <w:rsid w:val="00D324C4"/>
    <w:rsid w:val="00D33DF8"/>
    <w:rsid w:val="00D356AD"/>
    <w:rsid w:val="00D35DF3"/>
    <w:rsid w:val="00D402B8"/>
    <w:rsid w:val="00D406A9"/>
    <w:rsid w:val="00D42107"/>
    <w:rsid w:val="00D4672C"/>
    <w:rsid w:val="00D520AC"/>
    <w:rsid w:val="00D527BD"/>
    <w:rsid w:val="00D53A61"/>
    <w:rsid w:val="00D55E89"/>
    <w:rsid w:val="00D56436"/>
    <w:rsid w:val="00D56E55"/>
    <w:rsid w:val="00D5755B"/>
    <w:rsid w:val="00D575DC"/>
    <w:rsid w:val="00D60E06"/>
    <w:rsid w:val="00D6144D"/>
    <w:rsid w:val="00D62B8E"/>
    <w:rsid w:val="00D65611"/>
    <w:rsid w:val="00D65E85"/>
    <w:rsid w:val="00D670AE"/>
    <w:rsid w:val="00D67A95"/>
    <w:rsid w:val="00D733BC"/>
    <w:rsid w:val="00D74227"/>
    <w:rsid w:val="00D74831"/>
    <w:rsid w:val="00D74A3A"/>
    <w:rsid w:val="00D74F3E"/>
    <w:rsid w:val="00D75D66"/>
    <w:rsid w:val="00D762C3"/>
    <w:rsid w:val="00D76945"/>
    <w:rsid w:val="00D76B74"/>
    <w:rsid w:val="00D77437"/>
    <w:rsid w:val="00D7793D"/>
    <w:rsid w:val="00D8292F"/>
    <w:rsid w:val="00D8366E"/>
    <w:rsid w:val="00D83DFF"/>
    <w:rsid w:val="00D842BE"/>
    <w:rsid w:val="00D84F22"/>
    <w:rsid w:val="00D9063F"/>
    <w:rsid w:val="00D90952"/>
    <w:rsid w:val="00D920E9"/>
    <w:rsid w:val="00D93BEF"/>
    <w:rsid w:val="00D976E3"/>
    <w:rsid w:val="00DA3D46"/>
    <w:rsid w:val="00DA79A9"/>
    <w:rsid w:val="00DA7C6E"/>
    <w:rsid w:val="00DB1D8A"/>
    <w:rsid w:val="00DB2A54"/>
    <w:rsid w:val="00DB2DA4"/>
    <w:rsid w:val="00DB35C0"/>
    <w:rsid w:val="00DB39F8"/>
    <w:rsid w:val="00DC1038"/>
    <w:rsid w:val="00DC1FE4"/>
    <w:rsid w:val="00DC501F"/>
    <w:rsid w:val="00DC53E9"/>
    <w:rsid w:val="00DC59C7"/>
    <w:rsid w:val="00DC5AC9"/>
    <w:rsid w:val="00DC79AC"/>
    <w:rsid w:val="00DD15A9"/>
    <w:rsid w:val="00DD31EC"/>
    <w:rsid w:val="00DD4E63"/>
    <w:rsid w:val="00DD7C3A"/>
    <w:rsid w:val="00DE0010"/>
    <w:rsid w:val="00DE1150"/>
    <w:rsid w:val="00DE2B0D"/>
    <w:rsid w:val="00DE5C39"/>
    <w:rsid w:val="00DE5CAE"/>
    <w:rsid w:val="00DF322D"/>
    <w:rsid w:val="00DF330B"/>
    <w:rsid w:val="00DF37E1"/>
    <w:rsid w:val="00DF3906"/>
    <w:rsid w:val="00DF574E"/>
    <w:rsid w:val="00DF7B26"/>
    <w:rsid w:val="00E005D8"/>
    <w:rsid w:val="00E00D81"/>
    <w:rsid w:val="00E00E2D"/>
    <w:rsid w:val="00E01C04"/>
    <w:rsid w:val="00E05D97"/>
    <w:rsid w:val="00E111CB"/>
    <w:rsid w:val="00E11961"/>
    <w:rsid w:val="00E11E4F"/>
    <w:rsid w:val="00E13593"/>
    <w:rsid w:val="00E15F8A"/>
    <w:rsid w:val="00E15FF0"/>
    <w:rsid w:val="00E2247D"/>
    <w:rsid w:val="00E23753"/>
    <w:rsid w:val="00E23C5D"/>
    <w:rsid w:val="00E24A5C"/>
    <w:rsid w:val="00E25BA2"/>
    <w:rsid w:val="00E26366"/>
    <w:rsid w:val="00E2721E"/>
    <w:rsid w:val="00E301AC"/>
    <w:rsid w:val="00E35284"/>
    <w:rsid w:val="00E3670F"/>
    <w:rsid w:val="00E403B8"/>
    <w:rsid w:val="00E41B92"/>
    <w:rsid w:val="00E43366"/>
    <w:rsid w:val="00E43EB1"/>
    <w:rsid w:val="00E44F8F"/>
    <w:rsid w:val="00E5229A"/>
    <w:rsid w:val="00E54BB1"/>
    <w:rsid w:val="00E55629"/>
    <w:rsid w:val="00E57C8B"/>
    <w:rsid w:val="00E603EA"/>
    <w:rsid w:val="00E60825"/>
    <w:rsid w:val="00E60A75"/>
    <w:rsid w:val="00E60B80"/>
    <w:rsid w:val="00E61622"/>
    <w:rsid w:val="00E62C1C"/>
    <w:rsid w:val="00E66C96"/>
    <w:rsid w:val="00E70759"/>
    <w:rsid w:val="00E72DCF"/>
    <w:rsid w:val="00E746DA"/>
    <w:rsid w:val="00E749B3"/>
    <w:rsid w:val="00E76E46"/>
    <w:rsid w:val="00E82408"/>
    <w:rsid w:val="00E843BA"/>
    <w:rsid w:val="00E84C00"/>
    <w:rsid w:val="00E8599D"/>
    <w:rsid w:val="00E860F4"/>
    <w:rsid w:val="00E86528"/>
    <w:rsid w:val="00E871E4"/>
    <w:rsid w:val="00E9186F"/>
    <w:rsid w:val="00E93E68"/>
    <w:rsid w:val="00E97145"/>
    <w:rsid w:val="00EA1DF6"/>
    <w:rsid w:val="00EA2160"/>
    <w:rsid w:val="00EA287D"/>
    <w:rsid w:val="00EA4AF4"/>
    <w:rsid w:val="00EA4B07"/>
    <w:rsid w:val="00EB2B89"/>
    <w:rsid w:val="00EB2BB7"/>
    <w:rsid w:val="00EB3313"/>
    <w:rsid w:val="00EB478C"/>
    <w:rsid w:val="00EB4A80"/>
    <w:rsid w:val="00EB5691"/>
    <w:rsid w:val="00EB5E15"/>
    <w:rsid w:val="00EB65D5"/>
    <w:rsid w:val="00EB77DE"/>
    <w:rsid w:val="00EB7CF3"/>
    <w:rsid w:val="00EC0D9E"/>
    <w:rsid w:val="00EC1921"/>
    <w:rsid w:val="00EC1A10"/>
    <w:rsid w:val="00EC323B"/>
    <w:rsid w:val="00EC5AA0"/>
    <w:rsid w:val="00EC62A8"/>
    <w:rsid w:val="00EC643D"/>
    <w:rsid w:val="00EC7F16"/>
    <w:rsid w:val="00ED05B1"/>
    <w:rsid w:val="00ED1605"/>
    <w:rsid w:val="00ED1DED"/>
    <w:rsid w:val="00ED2CD6"/>
    <w:rsid w:val="00ED6362"/>
    <w:rsid w:val="00ED6D7F"/>
    <w:rsid w:val="00EE1571"/>
    <w:rsid w:val="00EE1F0F"/>
    <w:rsid w:val="00EE355A"/>
    <w:rsid w:val="00EF1CC8"/>
    <w:rsid w:val="00EF37D0"/>
    <w:rsid w:val="00EF37F3"/>
    <w:rsid w:val="00EF407D"/>
    <w:rsid w:val="00F010CD"/>
    <w:rsid w:val="00F02433"/>
    <w:rsid w:val="00F0261C"/>
    <w:rsid w:val="00F050C4"/>
    <w:rsid w:val="00F06C94"/>
    <w:rsid w:val="00F07D75"/>
    <w:rsid w:val="00F108FA"/>
    <w:rsid w:val="00F13AB2"/>
    <w:rsid w:val="00F16378"/>
    <w:rsid w:val="00F2257F"/>
    <w:rsid w:val="00F227FF"/>
    <w:rsid w:val="00F24877"/>
    <w:rsid w:val="00F2497F"/>
    <w:rsid w:val="00F24DBA"/>
    <w:rsid w:val="00F2610A"/>
    <w:rsid w:val="00F277C4"/>
    <w:rsid w:val="00F278AC"/>
    <w:rsid w:val="00F3130B"/>
    <w:rsid w:val="00F3139F"/>
    <w:rsid w:val="00F31C7D"/>
    <w:rsid w:val="00F31C8F"/>
    <w:rsid w:val="00F31E65"/>
    <w:rsid w:val="00F335C1"/>
    <w:rsid w:val="00F34313"/>
    <w:rsid w:val="00F34BF6"/>
    <w:rsid w:val="00F353BF"/>
    <w:rsid w:val="00F359EE"/>
    <w:rsid w:val="00F371E0"/>
    <w:rsid w:val="00F41362"/>
    <w:rsid w:val="00F44466"/>
    <w:rsid w:val="00F4602B"/>
    <w:rsid w:val="00F47696"/>
    <w:rsid w:val="00F47E80"/>
    <w:rsid w:val="00F50DDA"/>
    <w:rsid w:val="00F51710"/>
    <w:rsid w:val="00F52F9B"/>
    <w:rsid w:val="00F53B89"/>
    <w:rsid w:val="00F55E63"/>
    <w:rsid w:val="00F56737"/>
    <w:rsid w:val="00F57341"/>
    <w:rsid w:val="00F57EE1"/>
    <w:rsid w:val="00F57F61"/>
    <w:rsid w:val="00F61996"/>
    <w:rsid w:val="00F669F6"/>
    <w:rsid w:val="00F67A18"/>
    <w:rsid w:val="00F67A1F"/>
    <w:rsid w:val="00F730DF"/>
    <w:rsid w:val="00F73BC5"/>
    <w:rsid w:val="00F74EEE"/>
    <w:rsid w:val="00F754C0"/>
    <w:rsid w:val="00F755B3"/>
    <w:rsid w:val="00F76471"/>
    <w:rsid w:val="00F80555"/>
    <w:rsid w:val="00F807DF"/>
    <w:rsid w:val="00F80FDB"/>
    <w:rsid w:val="00F82263"/>
    <w:rsid w:val="00F82910"/>
    <w:rsid w:val="00F830A9"/>
    <w:rsid w:val="00F84292"/>
    <w:rsid w:val="00F84ECC"/>
    <w:rsid w:val="00F8561F"/>
    <w:rsid w:val="00F85DD1"/>
    <w:rsid w:val="00F87745"/>
    <w:rsid w:val="00F87746"/>
    <w:rsid w:val="00F8799F"/>
    <w:rsid w:val="00F9336C"/>
    <w:rsid w:val="00F937AD"/>
    <w:rsid w:val="00F93EF4"/>
    <w:rsid w:val="00F97228"/>
    <w:rsid w:val="00FA189F"/>
    <w:rsid w:val="00FA23DB"/>
    <w:rsid w:val="00FA2ECE"/>
    <w:rsid w:val="00FA2FCE"/>
    <w:rsid w:val="00FA3A7F"/>
    <w:rsid w:val="00FA5825"/>
    <w:rsid w:val="00FA7711"/>
    <w:rsid w:val="00FB3441"/>
    <w:rsid w:val="00FB6527"/>
    <w:rsid w:val="00FC01D8"/>
    <w:rsid w:val="00FC1F71"/>
    <w:rsid w:val="00FC2984"/>
    <w:rsid w:val="00FC2AAD"/>
    <w:rsid w:val="00FC2E09"/>
    <w:rsid w:val="00FC318E"/>
    <w:rsid w:val="00FC32F0"/>
    <w:rsid w:val="00FC3E7A"/>
    <w:rsid w:val="00FC418D"/>
    <w:rsid w:val="00FC4E92"/>
    <w:rsid w:val="00FC6259"/>
    <w:rsid w:val="00FC62CF"/>
    <w:rsid w:val="00FC6CC7"/>
    <w:rsid w:val="00FC7160"/>
    <w:rsid w:val="00FC72E7"/>
    <w:rsid w:val="00FD0699"/>
    <w:rsid w:val="00FD44D7"/>
    <w:rsid w:val="00FD6BCA"/>
    <w:rsid w:val="00FE0BE2"/>
    <w:rsid w:val="00FE0E37"/>
    <w:rsid w:val="00FE294C"/>
    <w:rsid w:val="00FE454C"/>
    <w:rsid w:val="00FE4C8A"/>
    <w:rsid w:val="00FE5B8E"/>
    <w:rsid w:val="00FE607A"/>
    <w:rsid w:val="00FE686D"/>
    <w:rsid w:val="00FF1219"/>
    <w:rsid w:val="00FF31BF"/>
    <w:rsid w:val="00FF4810"/>
    <w:rsid w:val="00FF4C77"/>
    <w:rsid w:val="00FF6713"/>
    <w:rsid w:val="00FF68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E76A8-7495-4B21-B721-82CECF94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E6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44D"/>
    <w:pPr>
      <w:ind w:left="720"/>
      <w:contextualSpacing/>
    </w:pPr>
  </w:style>
  <w:style w:type="paragraph" w:styleId="BalloonText">
    <w:name w:val="Balloon Text"/>
    <w:basedOn w:val="Normal"/>
    <w:link w:val="BalloonTextChar"/>
    <w:rsid w:val="00FF4C77"/>
    <w:rPr>
      <w:rFonts w:ascii="Segoe UI" w:hAnsi="Segoe UI" w:cs="Segoe UI"/>
      <w:sz w:val="18"/>
      <w:szCs w:val="18"/>
    </w:rPr>
  </w:style>
  <w:style w:type="character" w:customStyle="1" w:styleId="BalloonTextChar">
    <w:name w:val="Balloon Text Char"/>
    <w:basedOn w:val="DefaultParagraphFont"/>
    <w:link w:val="BalloonText"/>
    <w:rsid w:val="00FF4C77"/>
    <w:rPr>
      <w:rFonts w:ascii="Segoe UI" w:hAnsi="Segoe UI" w:cs="Segoe UI"/>
      <w:sz w:val="18"/>
      <w:szCs w:val="18"/>
      <w:lang w:val="en-GB" w:eastAsia="en-GB"/>
    </w:rPr>
  </w:style>
  <w:style w:type="character" w:styleId="Hyperlink">
    <w:name w:val="Hyperlink"/>
    <w:basedOn w:val="DefaultParagraphFont"/>
    <w:rsid w:val="0068409B"/>
    <w:rPr>
      <w:color w:val="0563C1" w:themeColor="hyperlink"/>
      <w:u w:val="single"/>
    </w:rPr>
  </w:style>
  <w:style w:type="character" w:styleId="FollowedHyperlink">
    <w:name w:val="FollowedHyperlink"/>
    <w:basedOn w:val="DefaultParagraphFont"/>
    <w:rsid w:val="00776F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1966/act/21/section/62/enacted/en/html" TargetMode="External"/><Relationship Id="rId13" Type="http://schemas.openxmlformats.org/officeDocument/2006/relationships/hyperlink" Target="http://www.irishstatutebook.ie/eli/2014/act/21/section/11/enacted/en/html" TargetMode="External"/><Relationship Id="rId18" Type="http://schemas.openxmlformats.org/officeDocument/2006/relationships/hyperlink" Target="http://www.irishstatutebook.ie/eli/2014/act/21/section/16/enacted/en/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irishstatutebook.ie/eli/2014/act/21/enacted/en/pdf" TargetMode="External"/><Relationship Id="rId12" Type="http://schemas.openxmlformats.org/officeDocument/2006/relationships/hyperlink" Target="http://www.irishstatutebook.ie/eli/2014/act/21/section/10/enacted/en/html" TargetMode="External"/><Relationship Id="rId17" Type="http://schemas.openxmlformats.org/officeDocument/2006/relationships/hyperlink" Target="http://www.irishstatutebook.ie/eli/2014/act/21/section/15/enacted/en/html" TargetMode="External"/><Relationship Id="rId2" Type="http://schemas.openxmlformats.org/officeDocument/2006/relationships/numbering" Target="numbering.xml"/><Relationship Id="rId16" Type="http://schemas.openxmlformats.org/officeDocument/2006/relationships/hyperlink" Target="http://www.irishstatutebook.ie/eli/2014/act/21/section/14/enacted/en/html" TargetMode="External"/><Relationship Id="rId20" Type="http://schemas.openxmlformats.org/officeDocument/2006/relationships/hyperlink" Target="http://www.irishstatutebook.ie/eli/2014/act/21/section/17/enacted/en/html" TargetMode="External"/><Relationship Id="rId1" Type="http://schemas.openxmlformats.org/officeDocument/2006/relationships/customXml" Target="../customXml/item1.xml"/><Relationship Id="rId6" Type="http://schemas.openxmlformats.org/officeDocument/2006/relationships/hyperlink" Target="http://www.irishstatutebook.ie/eli/2014/act/21/enacted/en/pdf" TargetMode="External"/><Relationship Id="rId11" Type="http://schemas.openxmlformats.org/officeDocument/2006/relationships/hyperlink" Target="http://www.irishstatutebook.ie/eli/2014/act/21/section/9/enacted/en/html" TargetMode="External"/><Relationship Id="rId5" Type="http://schemas.openxmlformats.org/officeDocument/2006/relationships/webSettings" Target="webSettings.xml"/><Relationship Id="rId15" Type="http://schemas.openxmlformats.org/officeDocument/2006/relationships/hyperlink" Target="http://www.irishstatutebook.ie/eli/2014/act/21/section/13/enacted/en/html" TargetMode="External"/><Relationship Id="rId10" Type="http://schemas.openxmlformats.org/officeDocument/2006/relationships/hyperlink" Target="http://www.irishstatutebook.ie/eli/2014/act/21/section/8/enacted/en/html" TargetMode="External"/><Relationship Id="rId19" Type="http://schemas.openxmlformats.org/officeDocument/2006/relationships/hyperlink" Target="http://www.irishstatutebook.ie/eli/2014/act/21/section/15/enacted/en/html" TargetMode="External"/><Relationship Id="rId4" Type="http://schemas.openxmlformats.org/officeDocument/2006/relationships/settings" Target="settings.xml"/><Relationship Id="rId9" Type="http://schemas.openxmlformats.org/officeDocument/2006/relationships/hyperlink" Target="http://www.irishstatutebook.ie/eli/2014/act/21/section/7/enacted/en/htmlf" TargetMode="External"/><Relationship Id="rId14" Type="http://schemas.openxmlformats.org/officeDocument/2006/relationships/hyperlink" Target="http://www.irishstatutebook.ie/eli/2014/act/21/section/12/enacted/e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5935-1BE6-46BE-92CD-84EF1A81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2415</Words>
  <Characters>13268</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Markey</dc:creator>
  <cp:keywords/>
  <dc:description/>
  <cp:lastModifiedBy>Marie Kavanagh</cp:lastModifiedBy>
  <cp:revision>2</cp:revision>
  <cp:lastPrinted>2015-11-12T17:02:00Z</cp:lastPrinted>
  <dcterms:created xsi:type="dcterms:W3CDTF">2015-11-12T17:06:00Z</dcterms:created>
  <dcterms:modified xsi:type="dcterms:W3CDTF">2015-11-12T17:06:00Z</dcterms:modified>
</cp:coreProperties>
</file>