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90D" w:rsidRDefault="0041390D" w:rsidP="0041390D">
      <w:pPr>
        <w:pStyle w:val="replyheader"/>
        <w:rPr>
          <w:rFonts w:ascii="Verdana" w:hAnsi="Verdana"/>
        </w:rPr>
      </w:pPr>
      <w:r>
        <w:rPr>
          <w:rFonts w:ascii="Verdana" w:hAnsi="Verdana"/>
        </w:rPr>
        <w:t>COMHAIRLE CONTAE ÁTHA CLIATH THEAS</w:t>
      </w:r>
      <w:r>
        <w:rPr>
          <w:rFonts w:ascii="Verdana" w:hAnsi="Verdana"/>
        </w:rPr>
        <w:br/>
        <w:t>SOUTH DUBLIN COUNTY COUNCIL</w:t>
      </w:r>
    </w:p>
    <w:p w:rsidR="0041390D" w:rsidRDefault="0041390D" w:rsidP="0041390D">
      <w:pPr>
        <w:pStyle w:val="replyimage"/>
        <w:rPr>
          <w:rFonts w:ascii="Verdana" w:hAnsi="Verdana"/>
        </w:rPr>
      </w:pPr>
      <w:r>
        <w:rPr>
          <w:rFonts w:ascii="Verdana" w:hAnsi="Verdana"/>
          <w:noProof/>
        </w:rPr>
        <w:drawing>
          <wp:inline distT="0" distB="0" distL="0" distR="0" wp14:anchorId="360292A4" wp14:editId="5922B14A">
            <wp:extent cx="949960" cy="1163955"/>
            <wp:effectExtent l="0" t="0" r="254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9960" cy="1163955"/>
                    </a:xfrm>
                    <a:prstGeom prst="rect">
                      <a:avLst/>
                    </a:prstGeom>
                    <a:noFill/>
                    <a:ln>
                      <a:noFill/>
                    </a:ln>
                  </pic:spPr>
                </pic:pic>
              </a:graphicData>
            </a:graphic>
          </wp:inline>
        </w:drawing>
      </w:r>
    </w:p>
    <w:p w:rsidR="0041390D" w:rsidRDefault="0041390D" w:rsidP="0041390D">
      <w:pPr>
        <w:pStyle w:val="replymain"/>
        <w:rPr>
          <w:rFonts w:ascii="Verdana" w:hAnsi="Verdana"/>
        </w:rPr>
      </w:pPr>
      <w:r>
        <w:rPr>
          <w:rFonts w:ascii="Verdana" w:hAnsi="Verdana"/>
        </w:rPr>
        <w:t>MEETING OF SOUTH DUBLIN COUNTY COUNCIL</w:t>
      </w:r>
    </w:p>
    <w:p w:rsidR="0041390D" w:rsidRDefault="0041390D" w:rsidP="0041390D">
      <w:pPr>
        <w:pStyle w:val="replymain"/>
        <w:rPr>
          <w:rFonts w:ascii="Verdana" w:hAnsi="Verdana"/>
        </w:rPr>
      </w:pPr>
      <w:r>
        <w:rPr>
          <w:rFonts w:ascii="Verdana" w:hAnsi="Verdana"/>
        </w:rPr>
        <w:t>Monday, October 12, 2015</w:t>
      </w:r>
    </w:p>
    <w:p w:rsidR="0041390D" w:rsidRDefault="0041390D" w:rsidP="0041390D">
      <w:pPr>
        <w:pStyle w:val="replymain"/>
        <w:rPr>
          <w:rFonts w:ascii="Verdana" w:hAnsi="Verdana"/>
        </w:rPr>
      </w:pPr>
      <w:r>
        <w:rPr>
          <w:rFonts w:ascii="Verdana" w:hAnsi="Verdana"/>
        </w:rPr>
        <w:t>QUESTION NO.</w:t>
      </w:r>
      <w:r w:rsidR="00587AE5">
        <w:rPr>
          <w:rFonts w:ascii="Verdana" w:hAnsi="Verdana"/>
        </w:rPr>
        <w:t>27</w:t>
      </w:r>
    </w:p>
    <w:p w:rsidR="0041390D" w:rsidRDefault="0041390D" w:rsidP="0041390D">
      <w:pPr>
        <w:pStyle w:val="NormalWeb"/>
        <w:rPr>
          <w:rFonts w:ascii="Verdana" w:hAnsi="Verdana"/>
        </w:rPr>
      </w:pPr>
      <w:r>
        <w:rPr>
          <w:rStyle w:val="Strong"/>
          <w:rFonts w:ascii="Verdana" w:hAnsi="Verdana"/>
        </w:rPr>
        <w:t>QUESTION: Councillor F. Timmons</w:t>
      </w:r>
    </w:p>
    <w:p w:rsidR="0041390D" w:rsidRDefault="0041390D" w:rsidP="0041390D">
      <w:pPr>
        <w:pStyle w:val="NormalWeb"/>
        <w:rPr>
          <w:rFonts w:ascii="Verdana" w:hAnsi="Verdana"/>
        </w:rPr>
      </w:pPr>
      <w:r>
        <w:rPr>
          <w:rFonts w:ascii="Verdana" w:hAnsi="Verdana"/>
        </w:rPr>
        <w:t>To ask the </w:t>
      </w:r>
      <w:r w:rsidR="00587AE5">
        <w:rPr>
          <w:rFonts w:ascii="Verdana" w:hAnsi="Verdana"/>
        </w:rPr>
        <w:t xml:space="preserve">Chief Executive </w:t>
      </w:r>
      <w:bookmarkStart w:id="0" w:name="_GoBack"/>
      <w:bookmarkEnd w:id="0"/>
      <w:r>
        <w:rPr>
          <w:rFonts w:ascii="Verdana" w:hAnsi="Verdana"/>
        </w:rPr>
        <w:t>how SDCC could cut rates to Businesses in order to encourage new enterprise and aid struggling businesses. Many struggle already with high rents.</w:t>
      </w:r>
    </w:p>
    <w:p w:rsidR="0041390D" w:rsidRDefault="0041390D" w:rsidP="0041390D">
      <w:pPr>
        <w:pStyle w:val="NormalWeb"/>
        <w:rPr>
          <w:rFonts w:ascii="Verdana" w:hAnsi="Verdana"/>
        </w:rPr>
      </w:pPr>
      <w:r>
        <w:rPr>
          <w:rStyle w:val="Strong"/>
          <w:rFonts w:ascii="Verdana" w:hAnsi="Verdana"/>
        </w:rPr>
        <w:t>REPLY:</w:t>
      </w:r>
    </w:p>
    <w:p w:rsidR="0041390D" w:rsidRDefault="0041390D"/>
    <w:p w:rsidR="00C53119" w:rsidRDefault="00C53119">
      <w:r>
        <w:t>As part of the annual budgetary process the Council sets the Annual Rate on Valuation. This annual rate, when multiplied by the Rateable Valuation of rateable properties, determines the amount of rates payable for each property.</w:t>
      </w:r>
    </w:p>
    <w:p w:rsidR="00C53119" w:rsidRDefault="00C53119">
      <w:r>
        <w:t>As can be seen from the table below, the Annual Rate on Valuation has remained unchanged for the past 3 years at 0.162, which is a reduction of 5.26% on the 2009 Rate.</w:t>
      </w:r>
    </w:p>
    <w:p w:rsidR="00C53119" w:rsidRDefault="00C53119"/>
    <w:tbl>
      <w:tblPr>
        <w:tblW w:w="7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133"/>
        <w:gridCol w:w="3156"/>
        <w:gridCol w:w="2409"/>
      </w:tblGrid>
      <w:tr w:rsidR="00C53119" w:rsidRPr="00C53119" w:rsidTr="0041390D">
        <w:trPr>
          <w:trHeight w:val="900"/>
        </w:trPr>
        <w:tc>
          <w:tcPr>
            <w:tcW w:w="665" w:type="dxa"/>
            <w:shd w:val="clear" w:color="auto" w:fill="auto"/>
            <w:vAlign w:val="bottom"/>
            <w:hideMark/>
          </w:tcPr>
          <w:p w:rsidR="00C53119" w:rsidRPr="00C53119" w:rsidRDefault="00C53119" w:rsidP="00C53119">
            <w:pPr>
              <w:spacing w:after="0" w:line="240" w:lineRule="auto"/>
              <w:rPr>
                <w:rFonts w:ascii="Calibri" w:eastAsia="Times New Roman" w:hAnsi="Calibri" w:cs="Times New Roman"/>
                <w:b/>
                <w:bCs/>
                <w:color w:val="000000"/>
                <w:lang w:eastAsia="en-IE"/>
              </w:rPr>
            </w:pPr>
            <w:r w:rsidRPr="00C53119">
              <w:rPr>
                <w:rFonts w:ascii="Calibri" w:eastAsia="Times New Roman" w:hAnsi="Calibri" w:cs="Times New Roman"/>
                <w:b/>
                <w:bCs/>
                <w:color w:val="000000"/>
                <w:lang w:eastAsia="en-IE"/>
              </w:rPr>
              <w:t>Year</w:t>
            </w:r>
          </w:p>
        </w:tc>
        <w:tc>
          <w:tcPr>
            <w:tcW w:w="1133" w:type="dxa"/>
            <w:shd w:val="clear" w:color="auto" w:fill="auto"/>
            <w:vAlign w:val="bottom"/>
            <w:hideMark/>
          </w:tcPr>
          <w:p w:rsidR="00C53119" w:rsidRPr="00C53119" w:rsidRDefault="00C53119" w:rsidP="00C53119">
            <w:pPr>
              <w:spacing w:after="0" w:line="240" w:lineRule="auto"/>
              <w:rPr>
                <w:rFonts w:ascii="Calibri" w:eastAsia="Times New Roman" w:hAnsi="Calibri" w:cs="Times New Roman"/>
                <w:b/>
                <w:bCs/>
                <w:color w:val="000000"/>
                <w:lang w:eastAsia="en-IE"/>
              </w:rPr>
            </w:pPr>
            <w:r w:rsidRPr="00C53119">
              <w:rPr>
                <w:rFonts w:ascii="Calibri" w:eastAsia="Times New Roman" w:hAnsi="Calibri" w:cs="Times New Roman"/>
                <w:b/>
                <w:bCs/>
                <w:color w:val="000000"/>
                <w:lang w:eastAsia="en-IE"/>
              </w:rPr>
              <w:t>Multiplier</w:t>
            </w:r>
          </w:p>
        </w:tc>
        <w:tc>
          <w:tcPr>
            <w:tcW w:w="3156" w:type="dxa"/>
            <w:shd w:val="clear" w:color="auto" w:fill="auto"/>
            <w:vAlign w:val="bottom"/>
            <w:hideMark/>
          </w:tcPr>
          <w:p w:rsidR="00C53119" w:rsidRPr="00C53119" w:rsidRDefault="00C53119" w:rsidP="00C53119">
            <w:pPr>
              <w:spacing w:after="0" w:line="240" w:lineRule="auto"/>
              <w:rPr>
                <w:rFonts w:ascii="Calibri" w:eastAsia="Times New Roman" w:hAnsi="Calibri" w:cs="Times New Roman"/>
                <w:b/>
                <w:bCs/>
                <w:color w:val="000000"/>
                <w:lang w:eastAsia="en-IE"/>
              </w:rPr>
            </w:pPr>
            <w:r w:rsidRPr="00C53119">
              <w:rPr>
                <w:rFonts w:ascii="Calibri" w:eastAsia="Times New Roman" w:hAnsi="Calibri" w:cs="Times New Roman"/>
                <w:b/>
                <w:bCs/>
                <w:color w:val="000000"/>
                <w:lang w:eastAsia="en-IE"/>
              </w:rPr>
              <w:t>Variation from Previous Year</w:t>
            </w:r>
          </w:p>
        </w:tc>
        <w:tc>
          <w:tcPr>
            <w:tcW w:w="2409" w:type="dxa"/>
            <w:shd w:val="clear" w:color="auto" w:fill="auto"/>
            <w:vAlign w:val="bottom"/>
            <w:hideMark/>
          </w:tcPr>
          <w:p w:rsidR="00C53119" w:rsidRPr="00C53119" w:rsidRDefault="00C53119" w:rsidP="00C53119">
            <w:pPr>
              <w:spacing w:after="0" w:line="240" w:lineRule="auto"/>
              <w:rPr>
                <w:rFonts w:ascii="Calibri" w:eastAsia="Times New Roman" w:hAnsi="Calibri" w:cs="Times New Roman"/>
                <w:b/>
                <w:bCs/>
                <w:color w:val="000000"/>
                <w:lang w:eastAsia="en-IE"/>
              </w:rPr>
            </w:pPr>
            <w:r w:rsidRPr="00C53119">
              <w:rPr>
                <w:rFonts w:ascii="Calibri" w:eastAsia="Times New Roman" w:hAnsi="Calibri" w:cs="Times New Roman"/>
                <w:b/>
                <w:bCs/>
                <w:color w:val="000000"/>
                <w:lang w:eastAsia="en-IE"/>
              </w:rPr>
              <w:t>Variation from 2009</w:t>
            </w:r>
          </w:p>
        </w:tc>
      </w:tr>
      <w:tr w:rsidR="00C53119" w:rsidRPr="00C53119" w:rsidTr="0041390D">
        <w:trPr>
          <w:trHeight w:val="300"/>
        </w:trPr>
        <w:tc>
          <w:tcPr>
            <w:tcW w:w="665"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2015</w:t>
            </w:r>
          </w:p>
        </w:tc>
        <w:tc>
          <w:tcPr>
            <w:tcW w:w="1133"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0.162</w:t>
            </w:r>
          </w:p>
        </w:tc>
        <w:tc>
          <w:tcPr>
            <w:tcW w:w="3156"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0.00%</w:t>
            </w:r>
          </w:p>
        </w:tc>
        <w:tc>
          <w:tcPr>
            <w:tcW w:w="2409"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-5.26%</w:t>
            </w:r>
          </w:p>
        </w:tc>
      </w:tr>
      <w:tr w:rsidR="00C53119" w:rsidRPr="00C53119" w:rsidTr="0041390D">
        <w:trPr>
          <w:trHeight w:val="300"/>
        </w:trPr>
        <w:tc>
          <w:tcPr>
            <w:tcW w:w="665"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2014</w:t>
            </w:r>
          </w:p>
        </w:tc>
        <w:tc>
          <w:tcPr>
            <w:tcW w:w="1133"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0.162</w:t>
            </w:r>
          </w:p>
        </w:tc>
        <w:tc>
          <w:tcPr>
            <w:tcW w:w="3156"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0.00%</w:t>
            </w:r>
          </w:p>
        </w:tc>
        <w:tc>
          <w:tcPr>
            <w:tcW w:w="2409"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-5.26%</w:t>
            </w:r>
          </w:p>
        </w:tc>
      </w:tr>
      <w:tr w:rsidR="00C53119" w:rsidRPr="00C53119" w:rsidTr="0041390D">
        <w:trPr>
          <w:trHeight w:val="300"/>
        </w:trPr>
        <w:tc>
          <w:tcPr>
            <w:tcW w:w="665"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2013</w:t>
            </w:r>
          </w:p>
        </w:tc>
        <w:tc>
          <w:tcPr>
            <w:tcW w:w="1133"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0.162</w:t>
            </w:r>
          </w:p>
        </w:tc>
        <w:tc>
          <w:tcPr>
            <w:tcW w:w="3156"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0.00%</w:t>
            </w:r>
          </w:p>
        </w:tc>
        <w:tc>
          <w:tcPr>
            <w:tcW w:w="2409"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-5.26%</w:t>
            </w:r>
          </w:p>
        </w:tc>
      </w:tr>
      <w:tr w:rsidR="00C53119" w:rsidRPr="00C53119" w:rsidTr="0041390D">
        <w:trPr>
          <w:trHeight w:val="300"/>
        </w:trPr>
        <w:tc>
          <w:tcPr>
            <w:tcW w:w="665"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2012</w:t>
            </w:r>
          </w:p>
        </w:tc>
        <w:tc>
          <w:tcPr>
            <w:tcW w:w="1133"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0.162</w:t>
            </w:r>
          </w:p>
        </w:tc>
        <w:tc>
          <w:tcPr>
            <w:tcW w:w="3156"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-2.41%</w:t>
            </w:r>
          </w:p>
        </w:tc>
        <w:tc>
          <w:tcPr>
            <w:tcW w:w="2409"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-5.26%</w:t>
            </w:r>
          </w:p>
        </w:tc>
      </w:tr>
      <w:tr w:rsidR="00C53119" w:rsidRPr="00C53119" w:rsidTr="0041390D">
        <w:trPr>
          <w:trHeight w:val="300"/>
        </w:trPr>
        <w:tc>
          <w:tcPr>
            <w:tcW w:w="665"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2011</w:t>
            </w:r>
          </w:p>
        </w:tc>
        <w:tc>
          <w:tcPr>
            <w:tcW w:w="1133"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0.166</w:t>
            </w:r>
          </w:p>
        </w:tc>
        <w:tc>
          <w:tcPr>
            <w:tcW w:w="3156"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-0.60%</w:t>
            </w:r>
          </w:p>
        </w:tc>
        <w:tc>
          <w:tcPr>
            <w:tcW w:w="2409"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-2.92%</w:t>
            </w:r>
          </w:p>
        </w:tc>
      </w:tr>
      <w:tr w:rsidR="00C53119" w:rsidRPr="00C53119" w:rsidTr="0041390D">
        <w:trPr>
          <w:trHeight w:val="300"/>
        </w:trPr>
        <w:tc>
          <w:tcPr>
            <w:tcW w:w="665"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2010</w:t>
            </w:r>
          </w:p>
        </w:tc>
        <w:tc>
          <w:tcPr>
            <w:tcW w:w="1133"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0.167</w:t>
            </w:r>
          </w:p>
        </w:tc>
        <w:tc>
          <w:tcPr>
            <w:tcW w:w="3156"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-2.34%</w:t>
            </w:r>
          </w:p>
        </w:tc>
        <w:tc>
          <w:tcPr>
            <w:tcW w:w="2409"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-2.34%</w:t>
            </w:r>
          </w:p>
        </w:tc>
      </w:tr>
      <w:tr w:rsidR="00C53119" w:rsidRPr="00C53119" w:rsidTr="0041390D">
        <w:trPr>
          <w:trHeight w:val="300"/>
        </w:trPr>
        <w:tc>
          <w:tcPr>
            <w:tcW w:w="665"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lastRenderedPageBreak/>
              <w:t>2009</w:t>
            </w:r>
          </w:p>
        </w:tc>
        <w:tc>
          <w:tcPr>
            <w:tcW w:w="1133"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r w:rsidRPr="00C53119">
              <w:rPr>
                <w:rFonts w:ascii="Calibri" w:eastAsia="Times New Roman" w:hAnsi="Calibri" w:cs="Times New Roman"/>
                <w:color w:val="000000"/>
                <w:lang w:eastAsia="en-IE"/>
              </w:rPr>
              <w:t>0.171</w:t>
            </w:r>
          </w:p>
        </w:tc>
        <w:tc>
          <w:tcPr>
            <w:tcW w:w="3156" w:type="dxa"/>
            <w:shd w:val="clear" w:color="auto" w:fill="auto"/>
            <w:noWrap/>
            <w:vAlign w:val="bottom"/>
            <w:hideMark/>
          </w:tcPr>
          <w:p w:rsidR="00C53119" w:rsidRPr="00C53119" w:rsidRDefault="00C53119" w:rsidP="00C53119">
            <w:pPr>
              <w:spacing w:after="0" w:line="240" w:lineRule="auto"/>
              <w:jc w:val="right"/>
              <w:rPr>
                <w:rFonts w:ascii="Calibri" w:eastAsia="Times New Roman" w:hAnsi="Calibri" w:cs="Times New Roman"/>
                <w:color w:val="000000"/>
                <w:lang w:eastAsia="en-IE"/>
              </w:rPr>
            </w:pPr>
          </w:p>
        </w:tc>
        <w:tc>
          <w:tcPr>
            <w:tcW w:w="2409" w:type="dxa"/>
            <w:shd w:val="clear" w:color="auto" w:fill="auto"/>
            <w:noWrap/>
            <w:vAlign w:val="bottom"/>
            <w:hideMark/>
          </w:tcPr>
          <w:p w:rsidR="00C53119" w:rsidRPr="00C53119" w:rsidRDefault="00C53119" w:rsidP="00C53119">
            <w:pPr>
              <w:spacing w:after="0" w:line="240" w:lineRule="auto"/>
              <w:rPr>
                <w:rFonts w:ascii="Times New Roman" w:eastAsia="Times New Roman" w:hAnsi="Times New Roman" w:cs="Times New Roman"/>
                <w:sz w:val="20"/>
                <w:szCs w:val="20"/>
                <w:lang w:eastAsia="en-IE"/>
              </w:rPr>
            </w:pPr>
          </w:p>
        </w:tc>
      </w:tr>
    </w:tbl>
    <w:p w:rsidR="00C53119" w:rsidRDefault="00C53119"/>
    <w:p w:rsidR="00104511" w:rsidRDefault="00104511">
      <w:r>
        <w:t>Every percentage variation in the Annual Rate represents €1.23m in revenue, and any reduction or increase applies to all ratepayers.</w:t>
      </w:r>
    </w:p>
    <w:p w:rsidR="00104511" w:rsidRDefault="00104511">
      <w:r>
        <w:t>In 2014 the Business Support Grant was introduced to assist small to medium businesses, i.e. ratepayers whose annual rates were €10,000 or less.</w:t>
      </w:r>
    </w:p>
    <w:p w:rsidR="00104511" w:rsidRDefault="00104511">
      <w:r>
        <w:t>The amount of grant available is as follows:</w:t>
      </w:r>
    </w:p>
    <w:tbl>
      <w:tblPr>
        <w:tblW w:w="4670" w:type="dxa"/>
        <w:tblLook w:val="04A0" w:firstRow="1" w:lastRow="0" w:firstColumn="1" w:lastColumn="0" w:noHBand="0" w:noVBand="1"/>
      </w:tblPr>
      <w:tblGrid>
        <w:gridCol w:w="2686"/>
        <w:gridCol w:w="1984"/>
      </w:tblGrid>
      <w:tr w:rsidR="00104511" w:rsidRPr="00104511" w:rsidTr="0041390D">
        <w:trPr>
          <w:trHeight w:val="255"/>
        </w:trPr>
        <w:tc>
          <w:tcPr>
            <w:tcW w:w="2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511" w:rsidRPr="00104511" w:rsidRDefault="00104511" w:rsidP="00104511">
            <w:pPr>
              <w:spacing w:after="0" w:line="240" w:lineRule="auto"/>
              <w:rPr>
                <w:rFonts w:ascii="Arial" w:eastAsia="Times New Roman" w:hAnsi="Arial" w:cs="Arial"/>
                <w:sz w:val="20"/>
                <w:szCs w:val="20"/>
                <w:lang w:eastAsia="en-IE"/>
              </w:rPr>
            </w:pPr>
            <w:proofErr w:type="spellStart"/>
            <w:r w:rsidRPr="00104511">
              <w:rPr>
                <w:rFonts w:ascii="Arial" w:eastAsia="Times New Roman" w:hAnsi="Arial" w:cs="Arial"/>
                <w:sz w:val="20"/>
                <w:szCs w:val="20"/>
                <w:lang w:eastAsia="en-IE"/>
              </w:rPr>
              <w:t>Desc</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104511" w:rsidRPr="00104511" w:rsidRDefault="0041390D" w:rsidP="00104511">
            <w:pPr>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t xml:space="preserve">Grant </w:t>
            </w:r>
            <w:r w:rsidR="00104511" w:rsidRPr="00104511">
              <w:rPr>
                <w:rFonts w:ascii="Arial" w:eastAsia="Times New Roman" w:hAnsi="Arial" w:cs="Arial"/>
                <w:sz w:val="20"/>
                <w:szCs w:val="20"/>
                <w:lang w:eastAsia="en-IE"/>
              </w:rPr>
              <w:t>Amount</w:t>
            </w:r>
          </w:p>
        </w:tc>
      </w:tr>
      <w:tr w:rsidR="00104511" w:rsidRPr="00104511" w:rsidTr="0041390D">
        <w:trPr>
          <w:trHeight w:val="285"/>
        </w:trPr>
        <w:tc>
          <w:tcPr>
            <w:tcW w:w="2686" w:type="dxa"/>
            <w:tcBorders>
              <w:top w:val="nil"/>
              <w:left w:val="single" w:sz="4" w:space="0" w:color="auto"/>
              <w:bottom w:val="single" w:sz="4" w:space="0" w:color="auto"/>
              <w:right w:val="single" w:sz="4" w:space="0" w:color="auto"/>
            </w:tcBorders>
            <w:shd w:val="clear" w:color="auto" w:fill="auto"/>
            <w:noWrap/>
            <w:vAlign w:val="bottom"/>
            <w:hideMark/>
          </w:tcPr>
          <w:p w:rsidR="00104511" w:rsidRPr="00104511" w:rsidRDefault="00104511" w:rsidP="00104511">
            <w:pPr>
              <w:spacing w:after="0" w:line="240" w:lineRule="auto"/>
              <w:rPr>
                <w:rFonts w:ascii="Arial" w:eastAsia="Times New Roman" w:hAnsi="Arial" w:cs="Arial"/>
                <w:lang w:eastAsia="en-IE"/>
              </w:rPr>
            </w:pPr>
            <w:r w:rsidRPr="00104511">
              <w:rPr>
                <w:rFonts w:ascii="Arial" w:eastAsia="Times New Roman" w:hAnsi="Arial" w:cs="Arial"/>
                <w:lang w:eastAsia="en-IE"/>
              </w:rPr>
              <w:t xml:space="preserve">up to €1,500 </w:t>
            </w:r>
            <w:proofErr w:type="spellStart"/>
            <w:r w:rsidRPr="00104511">
              <w:rPr>
                <w:rFonts w:ascii="Arial" w:eastAsia="Times New Roman" w:hAnsi="Arial" w:cs="Arial"/>
                <w:lang w:eastAsia="en-IE"/>
              </w:rPr>
              <w:t>p.a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rsidR="00104511" w:rsidRPr="00104511" w:rsidRDefault="00104511" w:rsidP="00104511">
            <w:pPr>
              <w:spacing w:after="0" w:line="240" w:lineRule="auto"/>
              <w:jc w:val="right"/>
              <w:rPr>
                <w:rFonts w:ascii="Arial" w:eastAsia="Times New Roman" w:hAnsi="Arial" w:cs="Arial"/>
                <w:lang w:eastAsia="en-IE"/>
              </w:rPr>
            </w:pPr>
            <w:r w:rsidRPr="00104511">
              <w:rPr>
                <w:rFonts w:ascii="Arial" w:eastAsia="Times New Roman" w:hAnsi="Arial" w:cs="Arial"/>
                <w:lang w:eastAsia="en-IE"/>
              </w:rPr>
              <w:t>€75</w:t>
            </w:r>
          </w:p>
        </w:tc>
      </w:tr>
      <w:tr w:rsidR="00104511" w:rsidRPr="00104511" w:rsidTr="0041390D">
        <w:trPr>
          <w:trHeight w:val="285"/>
        </w:trPr>
        <w:tc>
          <w:tcPr>
            <w:tcW w:w="2686" w:type="dxa"/>
            <w:tcBorders>
              <w:top w:val="nil"/>
              <w:left w:val="single" w:sz="4" w:space="0" w:color="auto"/>
              <w:bottom w:val="single" w:sz="4" w:space="0" w:color="auto"/>
              <w:right w:val="single" w:sz="4" w:space="0" w:color="auto"/>
            </w:tcBorders>
            <w:shd w:val="clear" w:color="auto" w:fill="auto"/>
            <w:noWrap/>
            <w:vAlign w:val="bottom"/>
            <w:hideMark/>
          </w:tcPr>
          <w:p w:rsidR="00104511" w:rsidRPr="00104511" w:rsidRDefault="00104511" w:rsidP="00104511">
            <w:pPr>
              <w:spacing w:after="0" w:line="240" w:lineRule="auto"/>
              <w:rPr>
                <w:rFonts w:ascii="Arial" w:eastAsia="Times New Roman" w:hAnsi="Arial" w:cs="Arial"/>
                <w:lang w:eastAsia="en-IE"/>
              </w:rPr>
            </w:pPr>
            <w:r w:rsidRPr="00104511">
              <w:rPr>
                <w:rFonts w:ascii="Arial" w:eastAsia="Times New Roman" w:hAnsi="Arial" w:cs="Arial"/>
                <w:lang w:eastAsia="en-IE"/>
              </w:rPr>
              <w:t xml:space="preserve">€1,501 to €3000 </w:t>
            </w:r>
            <w:proofErr w:type="spellStart"/>
            <w:r w:rsidRPr="00104511">
              <w:rPr>
                <w:rFonts w:ascii="Arial" w:eastAsia="Times New Roman" w:hAnsi="Arial" w:cs="Arial"/>
                <w:lang w:eastAsia="en-IE"/>
              </w:rPr>
              <w:t>p.a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rsidR="00104511" w:rsidRPr="00104511" w:rsidRDefault="00104511" w:rsidP="00104511">
            <w:pPr>
              <w:spacing w:after="0" w:line="240" w:lineRule="auto"/>
              <w:jc w:val="right"/>
              <w:rPr>
                <w:rFonts w:ascii="Arial" w:eastAsia="Times New Roman" w:hAnsi="Arial" w:cs="Arial"/>
                <w:lang w:eastAsia="en-IE"/>
              </w:rPr>
            </w:pPr>
            <w:r w:rsidRPr="00104511">
              <w:rPr>
                <w:rFonts w:ascii="Arial" w:eastAsia="Times New Roman" w:hAnsi="Arial" w:cs="Arial"/>
                <w:lang w:eastAsia="en-IE"/>
              </w:rPr>
              <w:t>€180</w:t>
            </w:r>
          </w:p>
        </w:tc>
      </w:tr>
      <w:tr w:rsidR="00104511" w:rsidRPr="00104511" w:rsidTr="0041390D">
        <w:trPr>
          <w:trHeight w:val="285"/>
        </w:trPr>
        <w:tc>
          <w:tcPr>
            <w:tcW w:w="2686" w:type="dxa"/>
            <w:tcBorders>
              <w:top w:val="nil"/>
              <w:left w:val="single" w:sz="4" w:space="0" w:color="auto"/>
              <w:bottom w:val="single" w:sz="4" w:space="0" w:color="auto"/>
              <w:right w:val="single" w:sz="4" w:space="0" w:color="auto"/>
            </w:tcBorders>
            <w:shd w:val="clear" w:color="auto" w:fill="auto"/>
            <w:noWrap/>
            <w:vAlign w:val="bottom"/>
            <w:hideMark/>
          </w:tcPr>
          <w:p w:rsidR="00104511" w:rsidRPr="00104511" w:rsidRDefault="00104511" w:rsidP="00104511">
            <w:pPr>
              <w:spacing w:after="0" w:line="240" w:lineRule="auto"/>
              <w:rPr>
                <w:rFonts w:ascii="Arial" w:eastAsia="Times New Roman" w:hAnsi="Arial" w:cs="Arial"/>
                <w:lang w:eastAsia="en-IE"/>
              </w:rPr>
            </w:pPr>
            <w:r w:rsidRPr="00104511">
              <w:rPr>
                <w:rFonts w:ascii="Arial" w:eastAsia="Times New Roman" w:hAnsi="Arial" w:cs="Arial"/>
                <w:lang w:eastAsia="en-IE"/>
              </w:rPr>
              <w:t xml:space="preserve">€3,001 to €5,000 </w:t>
            </w:r>
            <w:proofErr w:type="spellStart"/>
            <w:r w:rsidRPr="00104511">
              <w:rPr>
                <w:rFonts w:ascii="Arial" w:eastAsia="Times New Roman" w:hAnsi="Arial" w:cs="Arial"/>
                <w:lang w:eastAsia="en-IE"/>
              </w:rPr>
              <w:t>p.a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rsidR="00104511" w:rsidRPr="00104511" w:rsidRDefault="00104511" w:rsidP="00104511">
            <w:pPr>
              <w:spacing w:after="0" w:line="240" w:lineRule="auto"/>
              <w:jc w:val="right"/>
              <w:rPr>
                <w:rFonts w:ascii="Arial" w:eastAsia="Times New Roman" w:hAnsi="Arial" w:cs="Arial"/>
                <w:lang w:eastAsia="en-IE"/>
              </w:rPr>
            </w:pPr>
            <w:r w:rsidRPr="00104511">
              <w:rPr>
                <w:rFonts w:ascii="Arial" w:eastAsia="Times New Roman" w:hAnsi="Arial" w:cs="Arial"/>
                <w:lang w:eastAsia="en-IE"/>
              </w:rPr>
              <w:t>€320</w:t>
            </w:r>
          </w:p>
        </w:tc>
      </w:tr>
      <w:tr w:rsidR="00104511" w:rsidRPr="00104511" w:rsidTr="0041390D">
        <w:trPr>
          <w:trHeight w:val="285"/>
        </w:trPr>
        <w:tc>
          <w:tcPr>
            <w:tcW w:w="2686" w:type="dxa"/>
            <w:tcBorders>
              <w:top w:val="nil"/>
              <w:left w:val="single" w:sz="4" w:space="0" w:color="auto"/>
              <w:bottom w:val="single" w:sz="4" w:space="0" w:color="auto"/>
              <w:right w:val="single" w:sz="4" w:space="0" w:color="auto"/>
            </w:tcBorders>
            <w:shd w:val="clear" w:color="auto" w:fill="auto"/>
            <w:noWrap/>
            <w:vAlign w:val="bottom"/>
            <w:hideMark/>
          </w:tcPr>
          <w:p w:rsidR="00104511" w:rsidRPr="00104511" w:rsidRDefault="00104511" w:rsidP="00104511">
            <w:pPr>
              <w:spacing w:after="0" w:line="240" w:lineRule="auto"/>
              <w:rPr>
                <w:rFonts w:ascii="Arial" w:eastAsia="Times New Roman" w:hAnsi="Arial" w:cs="Arial"/>
                <w:lang w:eastAsia="en-IE"/>
              </w:rPr>
            </w:pPr>
            <w:r w:rsidRPr="00104511">
              <w:rPr>
                <w:rFonts w:ascii="Arial" w:eastAsia="Times New Roman" w:hAnsi="Arial" w:cs="Arial"/>
                <w:lang w:eastAsia="en-IE"/>
              </w:rPr>
              <w:t xml:space="preserve">€5,001 to €7,000 </w:t>
            </w:r>
            <w:proofErr w:type="spellStart"/>
            <w:r w:rsidRPr="00104511">
              <w:rPr>
                <w:rFonts w:ascii="Arial" w:eastAsia="Times New Roman" w:hAnsi="Arial" w:cs="Arial"/>
                <w:lang w:eastAsia="en-IE"/>
              </w:rPr>
              <w:t>p.a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rsidR="00104511" w:rsidRPr="00104511" w:rsidRDefault="00104511" w:rsidP="00104511">
            <w:pPr>
              <w:spacing w:after="0" w:line="240" w:lineRule="auto"/>
              <w:jc w:val="right"/>
              <w:rPr>
                <w:rFonts w:ascii="Arial" w:eastAsia="Times New Roman" w:hAnsi="Arial" w:cs="Arial"/>
                <w:lang w:eastAsia="en-IE"/>
              </w:rPr>
            </w:pPr>
            <w:r w:rsidRPr="00104511">
              <w:rPr>
                <w:rFonts w:ascii="Arial" w:eastAsia="Times New Roman" w:hAnsi="Arial" w:cs="Arial"/>
                <w:lang w:eastAsia="en-IE"/>
              </w:rPr>
              <w:t>€480</w:t>
            </w:r>
          </w:p>
        </w:tc>
      </w:tr>
      <w:tr w:rsidR="00104511" w:rsidRPr="00104511" w:rsidTr="0041390D">
        <w:trPr>
          <w:trHeight w:val="285"/>
        </w:trPr>
        <w:tc>
          <w:tcPr>
            <w:tcW w:w="2686" w:type="dxa"/>
            <w:tcBorders>
              <w:top w:val="nil"/>
              <w:left w:val="single" w:sz="4" w:space="0" w:color="auto"/>
              <w:bottom w:val="single" w:sz="4" w:space="0" w:color="auto"/>
              <w:right w:val="single" w:sz="4" w:space="0" w:color="auto"/>
            </w:tcBorders>
            <w:shd w:val="clear" w:color="auto" w:fill="auto"/>
            <w:noWrap/>
            <w:vAlign w:val="bottom"/>
            <w:hideMark/>
          </w:tcPr>
          <w:p w:rsidR="00104511" w:rsidRPr="00104511" w:rsidRDefault="00104511" w:rsidP="00104511">
            <w:pPr>
              <w:spacing w:after="0" w:line="240" w:lineRule="auto"/>
              <w:rPr>
                <w:rFonts w:ascii="Arial" w:eastAsia="Times New Roman" w:hAnsi="Arial" w:cs="Arial"/>
                <w:lang w:eastAsia="en-IE"/>
              </w:rPr>
            </w:pPr>
            <w:r w:rsidRPr="00104511">
              <w:rPr>
                <w:rFonts w:ascii="Arial" w:eastAsia="Times New Roman" w:hAnsi="Arial" w:cs="Arial"/>
                <w:lang w:eastAsia="en-IE"/>
              </w:rPr>
              <w:t xml:space="preserve">€7,001 to €10,000 </w:t>
            </w:r>
            <w:proofErr w:type="spellStart"/>
            <w:r w:rsidRPr="00104511">
              <w:rPr>
                <w:rFonts w:ascii="Arial" w:eastAsia="Times New Roman" w:hAnsi="Arial" w:cs="Arial"/>
                <w:lang w:eastAsia="en-IE"/>
              </w:rPr>
              <w:t>p.a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rsidR="00104511" w:rsidRPr="00104511" w:rsidRDefault="00104511" w:rsidP="00104511">
            <w:pPr>
              <w:spacing w:after="0" w:line="240" w:lineRule="auto"/>
              <w:jc w:val="right"/>
              <w:rPr>
                <w:rFonts w:ascii="Arial" w:eastAsia="Times New Roman" w:hAnsi="Arial" w:cs="Arial"/>
                <w:lang w:eastAsia="en-IE"/>
              </w:rPr>
            </w:pPr>
            <w:r w:rsidRPr="00104511">
              <w:rPr>
                <w:rFonts w:ascii="Arial" w:eastAsia="Times New Roman" w:hAnsi="Arial" w:cs="Arial"/>
                <w:lang w:eastAsia="en-IE"/>
              </w:rPr>
              <w:t>€670</w:t>
            </w:r>
          </w:p>
        </w:tc>
      </w:tr>
    </w:tbl>
    <w:p w:rsidR="00104511" w:rsidRDefault="00104511"/>
    <w:p w:rsidR="00104511" w:rsidRDefault="00104511"/>
    <w:sectPr w:rsidR="001045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119"/>
    <w:rsid w:val="00104511"/>
    <w:rsid w:val="001E2B13"/>
    <w:rsid w:val="003A742F"/>
    <w:rsid w:val="003E773C"/>
    <w:rsid w:val="0041390D"/>
    <w:rsid w:val="00587AE5"/>
    <w:rsid w:val="00C531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A6D5C-A27E-4578-821C-BDB81943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311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items3">
    <w:name w:val="items3"/>
    <w:basedOn w:val="DefaultParagraphFont"/>
    <w:rsid w:val="00C53119"/>
    <w:rPr>
      <w:vanish w:val="0"/>
      <w:webHidden w:val="0"/>
      <w:bdr w:val="single" w:sz="6" w:space="2" w:color="000000" w:frame="1"/>
      <w:shd w:val="clear" w:color="auto" w:fill="C0C0C0"/>
      <w:specVanish w:val="0"/>
    </w:rPr>
  </w:style>
  <w:style w:type="character" w:styleId="Strong">
    <w:name w:val="Strong"/>
    <w:basedOn w:val="DefaultParagraphFont"/>
    <w:uiPriority w:val="22"/>
    <w:qFormat/>
    <w:rsid w:val="00C53119"/>
    <w:rPr>
      <w:b/>
      <w:bCs/>
    </w:rPr>
  </w:style>
  <w:style w:type="paragraph" w:customStyle="1" w:styleId="replyheader">
    <w:name w:val="replyheader"/>
    <w:basedOn w:val="Normal"/>
    <w:rsid w:val="0041390D"/>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41390D"/>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41390D"/>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349838">
      <w:bodyDiv w:val="1"/>
      <w:marLeft w:val="0"/>
      <w:marRight w:val="0"/>
      <w:marTop w:val="0"/>
      <w:marBottom w:val="0"/>
      <w:divBdr>
        <w:top w:val="none" w:sz="0" w:space="0" w:color="auto"/>
        <w:left w:val="none" w:sz="0" w:space="0" w:color="auto"/>
        <w:bottom w:val="none" w:sz="0" w:space="0" w:color="auto"/>
        <w:right w:val="none" w:sz="0" w:space="0" w:color="auto"/>
      </w:divBdr>
    </w:div>
    <w:div w:id="836992980">
      <w:bodyDiv w:val="1"/>
      <w:marLeft w:val="0"/>
      <w:marRight w:val="0"/>
      <w:marTop w:val="0"/>
      <w:marBottom w:val="0"/>
      <w:divBdr>
        <w:top w:val="none" w:sz="0" w:space="0" w:color="auto"/>
        <w:left w:val="none" w:sz="0" w:space="0" w:color="auto"/>
        <w:bottom w:val="none" w:sz="0" w:space="0" w:color="auto"/>
        <w:right w:val="none" w:sz="0" w:space="0" w:color="auto"/>
      </w:divBdr>
    </w:div>
    <w:div w:id="151056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Judge</dc:creator>
  <cp:keywords/>
  <dc:description/>
  <cp:lastModifiedBy>Marian Dunne</cp:lastModifiedBy>
  <cp:revision>2</cp:revision>
  <dcterms:created xsi:type="dcterms:W3CDTF">2015-10-08T11:03:00Z</dcterms:created>
  <dcterms:modified xsi:type="dcterms:W3CDTF">2015-10-08T11:03:00Z</dcterms:modified>
</cp:coreProperties>
</file>