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9E" w:rsidRPr="007B5B5F" w:rsidRDefault="003F209E" w:rsidP="007B5B5F">
      <w:pPr>
        <w:jc w:val="center"/>
        <w:rPr>
          <w:b/>
          <w:sz w:val="32"/>
          <w:szCs w:val="32"/>
          <w:u w:val="single"/>
        </w:rPr>
      </w:pPr>
      <w:r w:rsidRPr="007B5B5F">
        <w:rPr>
          <w:b/>
          <w:sz w:val="32"/>
          <w:szCs w:val="32"/>
          <w:u w:val="single"/>
        </w:rPr>
        <w:t>Housing SPC Meeting</w:t>
      </w:r>
    </w:p>
    <w:p w:rsidR="003F209E" w:rsidRPr="007B5B5F" w:rsidRDefault="003F209E" w:rsidP="007B5B5F">
      <w:pPr>
        <w:jc w:val="center"/>
        <w:rPr>
          <w:b/>
          <w:sz w:val="32"/>
          <w:szCs w:val="32"/>
          <w:u w:val="single"/>
        </w:rPr>
      </w:pPr>
      <w:r w:rsidRPr="007B5B5F">
        <w:rPr>
          <w:b/>
          <w:sz w:val="32"/>
          <w:szCs w:val="32"/>
          <w:u w:val="single"/>
        </w:rPr>
        <w:t>10</w:t>
      </w:r>
      <w:r w:rsidRPr="007B5B5F">
        <w:rPr>
          <w:b/>
          <w:sz w:val="32"/>
          <w:szCs w:val="32"/>
          <w:u w:val="single"/>
          <w:vertAlign w:val="superscript"/>
        </w:rPr>
        <w:t>th</w:t>
      </w:r>
      <w:r w:rsidRPr="007B5B5F">
        <w:rPr>
          <w:b/>
          <w:sz w:val="32"/>
          <w:szCs w:val="32"/>
          <w:u w:val="single"/>
        </w:rPr>
        <w:t xml:space="preserve"> September 2015</w:t>
      </w:r>
    </w:p>
    <w:p w:rsidR="003F209E" w:rsidRPr="007B5B5F" w:rsidRDefault="003F209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7B5B5F" w:rsidRPr="007B5B5F">
        <w:trPr>
          <w:tblCellSpacing w:w="15" w:type="dxa"/>
        </w:trPr>
        <w:tc>
          <w:tcPr>
            <w:tcW w:w="0" w:type="auto"/>
            <w:hideMark/>
          </w:tcPr>
          <w:p w:rsidR="007B5B5F" w:rsidRDefault="007B5B5F" w:rsidP="009F2A42">
            <w:pPr>
              <w:jc w:val="center"/>
              <w:rPr>
                <w:lang w:val="en-IE"/>
              </w:rPr>
            </w:pPr>
            <w:r w:rsidRPr="007B5B5F">
              <w:rPr>
                <w:lang w:val="en-IE"/>
              </w:rPr>
              <w:t xml:space="preserve">H-I (2) - Housing Supply Progress </w:t>
            </w:r>
            <w:r w:rsidR="009F2A42">
              <w:rPr>
                <w:lang w:val="en-IE"/>
              </w:rPr>
              <w:t>Versus Targets</w:t>
            </w:r>
          </w:p>
          <w:p w:rsidR="002749E5" w:rsidRDefault="002749E5" w:rsidP="009F2A42">
            <w:pPr>
              <w:jc w:val="center"/>
              <w:rPr>
                <w:lang w:val="en-IE"/>
              </w:rPr>
            </w:pPr>
          </w:p>
          <w:p w:rsidR="002749E5" w:rsidRPr="00CE3D15" w:rsidRDefault="002749E5" w:rsidP="002749E5">
            <w:pPr>
              <w:jc w:val="both"/>
              <w:rPr>
                <w:color w:val="000000"/>
              </w:rPr>
            </w:pPr>
            <w:r w:rsidRPr="00CE3D15">
              <w:rPr>
                <w:color w:val="000000"/>
              </w:rPr>
              <w:t xml:space="preserve">South Dublin County Council </w:t>
            </w:r>
            <w:r>
              <w:rPr>
                <w:color w:val="000000"/>
              </w:rPr>
              <w:t xml:space="preserve">is required </w:t>
            </w:r>
            <w:r w:rsidRPr="00CE3D15">
              <w:rPr>
                <w:color w:val="000000"/>
              </w:rPr>
              <w:t>to deliver 1445 Social Housing Units for the period 2015-2017</w:t>
            </w:r>
            <w:r>
              <w:rPr>
                <w:color w:val="000000"/>
              </w:rPr>
              <w:t xml:space="preserve">. </w:t>
            </w:r>
            <w:r w:rsidRPr="00CE3D15">
              <w:rPr>
                <w:color w:val="000000"/>
              </w:rPr>
              <w:t>The targets were set under a combination of Capital and Current expenditure programmes.</w:t>
            </w:r>
            <w:r>
              <w:rPr>
                <w:color w:val="000000"/>
              </w:rPr>
              <w:t xml:space="preserve"> The below table outlines the targets for each mechanism for provision of social housing and the units delivered to the end of August 2015.</w:t>
            </w:r>
          </w:p>
          <w:p w:rsidR="002749E5" w:rsidRPr="007B5B5F" w:rsidRDefault="002749E5" w:rsidP="009F2A42">
            <w:pPr>
              <w:jc w:val="center"/>
              <w:rPr>
                <w:lang w:val="en-IE"/>
              </w:rPr>
            </w:pPr>
          </w:p>
        </w:tc>
      </w:tr>
    </w:tbl>
    <w:p w:rsidR="007B5B5F" w:rsidRPr="007B5B5F" w:rsidRDefault="007B5B5F"/>
    <w:tbl>
      <w:tblPr>
        <w:tblW w:w="9351" w:type="dxa"/>
        <w:tblLook w:val="04A0" w:firstRow="1" w:lastRow="0" w:firstColumn="1" w:lastColumn="0" w:noHBand="0" w:noVBand="1"/>
      </w:tblPr>
      <w:tblGrid>
        <w:gridCol w:w="5883"/>
        <w:gridCol w:w="1263"/>
        <w:gridCol w:w="2205"/>
      </w:tblGrid>
      <w:tr w:rsidR="00757E42" w:rsidRPr="007B5B5F" w:rsidTr="006A771F">
        <w:trPr>
          <w:trHeight w:val="255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lang w:val="en-IE" w:eastAsia="en-IE"/>
              </w:rPr>
            </w:pPr>
            <w:r w:rsidRPr="007B5B5F">
              <w:t> </w:t>
            </w:r>
            <w:r w:rsidR="007B5B5F" w:rsidRPr="007B5B5F">
              <w:rPr>
                <w:b/>
              </w:rPr>
              <w:t>Delivery Mechanism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>Targets 2015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jc w:val="right"/>
              <w:rPr>
                <w:b/>
                <w:bCs/>
              </w:rPr>
            </w:pPr>
          </w:p>
          <w:p w:rsidR="00757E42" w:rsidRPr="007B5B5F" w:rsidRDefault="00757E42" w:rsidP="00757E42">
            <w:pPr>
              <w:jc w:val="center"/>
              <w:rPr>
                <w:b/>
                <w:bCs/>
              </w:rPr>
            </w:pPr>
            <w:r w:rsidRPr="007B5B5F">
              <w:rPr>
                <w:b/>
                <w:bCs/>
              </w:rPr>
              <w:t xml:space="preserve">Unit Delivered </w:t>
            </w:r>
            <w:r w:rsidR="006A771F" w:rsidRPr="007B5B5F">
              <w:rPr>
                <w:b/>
                <w:bCs/>
              </w:rPr>
              <w:t>to</w:t>
            </w:r>
          </w:p>
          <w:p w:rsidR="00757E42" w:rsidRPr="007B5B5F" w:rsidRDefault="006A771F" w:rsidP="00757E42">
            <w:pPr>
              <w:jc w:val="center"/>
              <w:rPr>
                <w:b/>
                <w:bCs/>
              </w:rPr>
            </w:pPr>
            <w:r w:rsidRPr="007B5B5F">
              <w:rPr>
                <w:b/>
                <w:bCs/>
              </w:rPr>
              <w:t>31-</w:t>
            </w:r>
            <w:r w:rsidR="00757E42" w:rsidRPr="007B5B5F">
              <w:rPr>
                <w:b/>
                <w:bCs/>
              </w:rPr>
              <w:t>Aug-15</w:t>
            </w:r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>Social Housing Infill (Note 1)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Cs/>
              </w:rPr>
            </w:pPr>
            <w:r w:rsidRPr="007B5B5F">
              <w:rPr>
                <w:bCs/>
              </w:rPr>
              <w:t xml:space="preserve">                   3.00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875377">
            <w:pPr>
              <w:jc w:val="center"/>
              <w:rPr>
                <w:bCs/>
              </w:rPr>
            </w:pPr>
            <w:r w:rsidRPr="007B5B5F">
              <w:rPr>
                <w:bCs/>
              </w:rPr>
              <w:t>0</w:t>
            </w:r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>Leasing (Including Unsold, CALF, Payment &amp; Availability)</w:t>
            </w:r>
            <w:r w:rsidR="00BF44A6" w:rsidRPr="007B5B5F">
              <w:rPr>
                <w:b/>
                <w:bCs/>
              </w:rPr>
              <w:t xml:space="preserve"> (Note 2)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Cs/>
              </w:rPr>
            </w:pPr>
            <w:r w:rsidRPr="007B5B5F">
              <w:rPr>
                <w:bCs/>
              </w:rPr>
              <w:t xml:space="preserve">               200.00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875377">
            <w:pPr>
              <w:jc w:val="center"/>
              <w:rPr>
                <w:bCs/>
              </w:rPr>
            </w:pPr>
            <w:r w:rsidRPr="007B5B5F">
              <w:rPr>
                <w:bCs/>
              </w:rPr>
              <w:t>158.00</w:t>
            </w:r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>Rental Accommodation Scheme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Cs/>
              </w:rPr>
            </w:pPr>
            <w:r w:rsidRPr="007B5B5F">
              <w:rPr>
                <w:bCs/>
              </w:rPr>
              <w:t xml:space="preserve">               165.00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875377">
            <w:pPr>
              <w:jc w:val="center"/>
              <w:rPr>
                <w:bCs/>
              </w:rPr>
            </w:pPr>
            <w:r w:rsidRPr="007B5B5F">
              <w:rPr>
                <w:bCs/>
              </w:rPr>
              <w:t>99.00</w:t>
            </w:r>
          </w:p>
        </w:tc>
      </w:tr>
      <w:tr w:rsidR="00757E42" w:rsidRPr="007B5B5F" w:rsidTr="006A771F">
        <w:trPr>
          <w:trHeight w:val="270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>Ho</w:t>
            </w:r>
            <w:r w:rsidR="00BF44A6" w:rsidRPr="007B5B5F">
              <w:rPr>
                <w:b/>
                <w:bCs/>
              </w:rPr>
              <w:t>using Assistance Payment (Note 3</w:t>
            </w:r>
            <w:r w:rsidRPr="007B5B5F">
              <w:rPr>
                <w:b/>
                <w:bCs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Cs/>
              </w:rPr>
            </w:pPr>
            <w:r w:rsidRPr="007B5B5F">
              <w:rPr>
                <w:bCs/>
              </w:rPr>
              <w:t xml:space="preserve">               320.00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9F2A42" w:rsidP="00875377">
            <w:pPr>
              <w:jc w:val="center"/>
            </w:pPr>
            <w:r>
              <w:t>31</w:t>
            </w:r>
            <w:r w:rsidR="00FA0FC1">
              <w:t>0</w:t>
            </w:r>
            <w:bookmarkStart w:id="0" w:name="_GoBack"/>
            <w:bookmarkEnd w:id="0"/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BF44A6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 xml:space="preserve">Casual Vacancies (Re-lets on existing social housing units) (Note </w:t>
            </w:r>
            <w:r w:rsidR="00BF44A6" w:rsidRPr="007B5B5F">
              <w:rPr>
                <w:b/>
                <w:bCs/>
              </w:rPr>
              <w:t>4</w:t>
            </w:r>
            <w:r w:rsidRPr="007B5B5F">
              <w:rPr>
                <w:b/>
                <w:bCs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Cs/>
              </w:rPr>
            </w:pPr>
            <w:r w:rsidRPr="007B5B5F">
              <w:rPr>
                <w:bCs/>
              </w:rPr>
              <w:t xml:space="preserve">               200.00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F1823" w:rsidP="00875377">
            <w:pPr>
              <w:jc w:val="center"/>
              <w:rPr>
                <w:bCs/>
              </w:rPr>
            </w:pPr>
            <w:r>
              <w:rPr>
                <w:bCs/>
              </w:rPr>
              <w:t>103</w:t>
            </w:r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BF44A6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 xml:space="preserve">Acquisition Programme (Note </w:t>
            </w:r>
            <w:r w:rsidR="00BF44A6" w:rsidRPr="007B5B5F">
              <w:rPr>
                <w:b/>
                <w:bCs/>
              </w:rPr>
              <w:t>5</w:t>
            </w:r>
            <w:r w:rsidRPr="007B5B5F">
              <w:rPr>
                <w:b/>
                <w:bCs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Cs/>
              </w:rPr>
            </w:pPr>
            <w:r w:rsidRPr="007B5B5F">
              <w:rPr>
                <w:bCs/>
              </w:rPr>
              <w:t xml:space="preserve">                 23.00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875377">
            <w:pPr>
              <w:jc w:val="center"/>
              <w:rPr>
                <w:bCs/>
              </w:rPr>
            </w:pPr>
            <w:r w:rsidRPr="007B5B5F">
              <w:rPr>
                <w:bCs/>
              </w:rPr>
              <w:t>33.00</w:t>
            </w:r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BF44A6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>C</w:t>
            </w:r>
            <w:r w:rsidR="00BF44A6" w:rsidRPr="007B5B5F">
              <w:rPr>
                <w:b/>
                <w:bCs/>
              </w:rPr>
              <w:t>apital Assistance Scheme (Note 6</w:t>
            </w:r>
            <w:r w:rsidRPr="007B5B5F">
              <w:rPr>
                <w:b/>
                <w:bCs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Cs/>
              </w:rPr>
            </w:pPr>
            <w:r w:rsidRPr="007B5B5F">
              <w:rPr>
                <w:bCs/>
              </w:rPr>
              <w:t xml:space="preserve">                 49.00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 w:rsidP="00875377">
            <w:pPr>
              <w:jc w:val="center"/>
              <w:rPr>
                <w:bCs/>
              </w:rPr>
            </w:pPr>
            <w:r w:rsidRPr="007B5B5F">
              <w:rPr>
                <w:bCs/>
              </w:rPr>
              <w:t>-</w:t>
            </w:r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</w:rPr>
            </w:pPr>
            <w:r w:rsidRPr="007B5B5F">
              <w:rPr>
                <w:b/>
              </w:rPr>
              <w:t>Total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bCs/>
              </w:rPr>
            </w:pPr>
            <w:r w:rsidRPr="007B5B5F">
              <w:rPr>
                <w:b/>
                <w:bCs/>
              </w:rPr>
              <w:t xml:space="preserve">               960.00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42" w:rsidRPr="007B5B5F" w:rsidRDefault="00591026" w:rsidP="008753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705.00</w:t>
            </w:r>
          </w:p>
        </w:tc>
      </w:tr>
      <w:tr w:rsidR="00757E42" w:rsidRPr="007B5B5F" w:rsidTr="006A771F">
        <w:trPr>
          <w:trHeight w:val="255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>
            <w:pPr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/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E42" w:rsidRPr="007B5B5F" w:rsidRDefault="00757E42"/>
        </w:tc>
      </w:tr>
    </w:tbl>
    <w:p w:rsidR="00643FCB" w:rsidRPr="007B5B5F" w:rsidRDefault="00643FCB"/>
    <w:p w:rsidR="00757E42" w:rsidRPr="007B5B5F" w:rsidRDefault="00757E42"/>
    <w:p w:rsidR="00757E42" w:rsidRPr="007B5B5F" w:rsidRDefault="00757E42" w:rsidP="00757E42">
      <w:pPr>
        <w:pStyle w:val="ListParagraph"/>
        <w:numPr>
          <w:ilvl w:val="0"/>
          <w:numId w:val="2"/>
        </w:numPr>
        <w:rPr>
          <w:lang w:val="en-IE" w:eastAsia="en-IE"/>
        </w:rPr>
      </w:pPr>
      <w:r w:rsidRPr="007B5B5F">
        <w:t>Social Housing Infill: Traveller Accommodation 11 month contract commenced in May 2015.</w:t>
      </w:r>
    </w:p>
    <w:p w:rsidR="00BF44A6" w:rsidRPr="007B5B5F" w:rsidRDefault="00BF44A6" w:rsidP="00BF44A6">
      <w:pPr>
        <w:pStyle w:val="ListParagraph"/>
        <w:rPr>
          <w:lang w:val="en-IE" w:eastAsia="en-IE"/>
        </w:rPr>
      </w:pPr>
    </w:p>
    <w:p w:rsidR="00BF44A6" w:rsidRPr="007B5B5F" w:rsidRDefault="00BF44A6" w:rsidP="0068799A">
      <w:pPr>
        <w:pStyle w:val="ListParagraph"/>
        <w:numPr>
          <w:ilvl w:val="0"/>
          <w:numId w:val="2"/>
        </w:numPr>
        <w:rPr>
          <w:lang w:val="en-IE" w:eastAsia="en-IE"/>
        </w:rPr>
      </w:pPr>
      <w:r w:rsidRPr="007B5B5F">
        <w:t xml:space="preserve">Leasing figures includes Tallaght Cross 65 units acquired under NARPS vehicle and managed by TUATH AHB and </w:t>
      </w:r>
      <w:r w:rsidRPr="007B5B5F">
        <w:rPr>
          <w:lang w:val="en-IE"/>
        </w:rPr>
        <w:t>45 Oakley AHB – Pair Na Greine Cookstown Road (</w:t>
      </w:r>
      <w:r w:rsidR="00A1721C" w:rsidRPr="007B5B5F">
        <w:rPr>
          <w:lang w:val="en-IE"/>
        </w:rPr>
        <w:t>P</w:t>
      </w:r>
      <w:r w:rsidRPr="007B5B5F">
        <w:rPr>
          <w:lang w:val="en-IE"/>
        </w:rPr>
        <w:t xml:space="preserve">&amp;A </w:t>
      </w:r>
      <w:r w:rsidR="00A1721C" w:rsidRPr="007B5B5F">
        <w:rPr>
          <w:lang w:val="en-IE"/>
        </w:rPr>
        <w:t>agreement recently signed with Oakley AHB)</w:t>
      </w:r>
    </w:p>
    <w:p w:rsidR="00BF44A6" w:rsidRPr="007B5B5F" w:rsidRDefault="00BF44A6" w:rsidP="00BF44A6">
      <w:pPr>
        <w:pStyle w:val="ListParagraph"/>
        <w:rPr>
          <w:lang w:val="en-IE" w:eastAsia="en-IE"/>
        </w:rPr>
      </w:pPr>
    </w:p>
    <w:p w:rsidR="00BF44A6" w:rsidRPr="007B5B5F" w:rsidRDefault="00BF44A6" w:rsidP="00BF44A6">
      <w:pPr>
        <w:pStyle w:val="ListParagraph"/>
        <w:rPr>
          <w:lang w:val="en-IE" w:eastAsia="en-IE"/>
        </w:rPr>
      </w:pPr>
    </w:p>
    <w:p w:rsidR="00BF44A6" w:rsidRPr="007B5B5F" w:rsidRDefault="00BF44A6" w:rsidP="00BF44A6">
      <w:pPr>
        <w:pStyle w:val="ListParagraph"/>
        <w:numPr>
          <w:ilvl w:val="0"/>
          <w:numId w:val="2"/>
        </w:numPr>
      </w:pPr>
      <w:r w:rsidRPr="007B5B5F">
        <w:t>HAP target</w:t>
      </w:r>
      <w:r w:rsidR="009F2A42">
        <w:t xml:space="preserve"> set by SDCC</w:t>
      </w:r>
      <w:r w:rsidRPr="007B5B5F">
        <w:t xml:space="preserve"> based on first three months activity 2015</w:t>
      </w:r>
    </w:p>
    <w:p w:rsidR="00BF44A6" w:rsidRPr="007B5B5F" w:rsidRDefault="00BF44A6" w:rsidP="00BF44A6">
      <w:pPr>
        <w:pStyle w:val="ListParagraph"/>
      </w:pPr>
    </w:p>
    <w:p w:rsidR="00BF44A6" w:rsidRPr="00D83507" w:rsidRDefault="00757E42" w:rsidP="00BF13B4">
      <w:pPr>
        <w:pStyle w:val="ListParagraph"/>
        <w:numPr>
          <w:ilvl w:val="0"/>
          <w:numId w:val="2"/>
        </w:numPr>
        <w:rPr>
          <w:lang w:val="en-IE" w:eastAsia="en-IE"/>
        </w:rPr>
      </w:pPr>
      <w:r w:rsidRPr="007B5B5F">
        <w:rPr>
          <w:lang w:eastAsia="en-IE"/>
        </w:rPr>
        <w:t xml:space="preserve">This relates to the units that are allocated to people on the housing list through casual vacancies. </w:t>
      </w:r>
    </w:p>
    <w:p w:rsidR="00BF44A6" w:rsidRPr="007B5B5F" w:rsidRDefault="00BF44A6" w:rsidP="00BF44A6">
      <w:pPr>
        <w:pStyle w:val="ListParagraph"/>
        <w:rPr>
          <w:lang w:val="en-IE" w:eastAsia="en-IE"/>
        </w:rPr>
      </w:pPr>
    </w:p>
    <w:p w:rsidR="00BF44A6" w:rsidRPr="00543A97" w:rsidRDefault="00757E42" w:rsidP="00980D37">
      <w:pPr>
        <w:pStyle w:val="ListParagraph"/>
        <w:numPr>
          <w:ilvl w:val="0"/>
          <w:numId w:val="2"/>
        </w:numPr>
        <w:rPr>
          <w:lang w:val="en-IE" w:eastAsia="en-IE"/>
        </w:rPr>
      </w:pPr>
      <w:r w:rsidRPr="00543A97">
        <w:rPr>
          <w:lang w:eastAsia="en-IE"/>
        </w:rPr>
        <w:t>Acquisition Programme includes AIB, BOI for 2015</w:t>
      </w:r>
      <w:r w:rsidR="00543A97" w:rsidRPr="00543A97">
        <w:rPr>
          <w:lang w:eastAsia="en-IE"/>
        </w:rPr>
        <w:t xml:space="preserve"> and also </w:t>
      </w:r>
      <w:r w:rsidR="00543A97" w:rsidRPr="00543A97">
        <w:t>includes incidental acquisitions under Part V (Elder Heath x 3, Kilcarrig x1, Mont Pelier x1 and 47 OLD Court.</w:t>
      </w:r>
    </w:p>
    <w:p w:rsidR="00543A97" w:rsidRPr="00543A97" w:rsidRDefault="00543A97" w:rsidP="00543A97">
      <w:pPr>
        <w:pStyle w:val="ListParagraph"/>
        <w:rPr>
          <w:lang w:val="en-IE" w:eastAsia="en-IE"/>
        </w:rPr>
      </w:pPr>
    </w:p>
    <w:p w:rsidR="00757E42" w:rsidRPr="007B5B5F" w:rsidRDefault="00BF44A6" w:rsidP="004E56D2">
      <w:pPr>
        <w:pStyle w:val="ListParagraph"/>
        <w:numPr>
          <w:ilvl w:val="0"/>
          <w:numId w:val="2"/>
        </w:numPr>
      </w:pPr>
      <w:r w:rsidRPr="007B5B5F">
        <w:rPr>
          <w:lang w:val="en-IE" w:eastAsia="en-IE"/>
        </w:rPr>
        <w:t>Capital Assistance Scheme: on the 31</w:t>
      </w:r>
      <w:r w:rsidRPr="007B5B5F">
        <w:rPr>
          <w:vertAlign w:val="superscript"/>
          <w:lang w:val="en-IE" w:eastAsia="en-IE"/>
        </w:rPr>
        <w:t>st</w:t>
      </w:r>
      <w:r w:rsidRPr="007B5B5F">
        <w:rPr>
          <w:lang w:val="en-IE" w:eastAsia="en-IE"/>
        </w:rPr>
        <w:t xml:space="preserve"> of July the DECLG approved in principal 47 CAS 2015 applications; 35 of these relate to acquisitions and 12 relate to construction projects. </w:t>
      </w:r>
    </w:p>
    <w:p w:rsidR="00757E42" w:rsidRPr="007B5B5F" w:rsidRDefault="00757E42" w:rsidP="00757E42"/>
    <w:p w:rsidR="007B5B5F" w:rsidRPr="007B5B5F" w:rsidRDefault="007B5B5F" w:rsidP="00757E42"/>
    <w:p w:rsidR="007B5B5F" w:rsidRPr="002749E5" w:rsidRDefault="007B5B5F" w:rsidP="007B5B5F">
      <w:pPr>
        <w:spacing w:before="100" w:beforeAutospacing="1" w:after="100" w:afterAutospacing="1"/>
        <w:rPr>
          <w:b/>
          <w:sz w:val="28"/>
          <w:szCs w:val="28"/>
          <w:u w:val="single"/>
          <w:lang w:eastAsia="en-IE"/>
        </w:rPr>
      </w:pPr>
      <w:r w:rsidRPr="002749E5">
        <w:rPr>
          <w:b/>
          <w:sz w:val="28"/>
          <w:szCs w:val="28"/>
          <w:u w:val="single"/>
          <w:lang w:eastAsia="en-IE"/>
        </w:rPr>
        <w:t xml:space="preserve">The rollout of the Part </w:t>
      </w:r>
      <w:r w:rsidR="00591026" w:rsidRPr="002749E5">
        <w:rPr>
          <w:b/>
          <w:sz w:val="28"/>
          <w:szCs w:val="28"/>
          <w:u w:val="single"/>
          <w:lang w:eastAsia="en-IE"/>
        </w:rPr>
        <w:t>8</w:t>
      </w:r>
      <w:r w:rsidRPr="002749E5">
        <w:rPr>
          <w:b/>
          <w:sz w:val="28"/>
          <w:szCs w:val="28"/>
          <w:u w:val="single"/>
          <w:lang w:eastAsia="en-IE"/>
        </w:rPr>
        <w:t xml:space="preserve"> social housing developments are reported as follows: </w:t>
      </w:r>
    </w:p>
    <w:tbl>
      <w:tblPr>
        <w:tblStyle w:val="TableGrid"/>
        <w:tblW w:w="8937" w:type="dxa"/>
        <w:tblLook w:val="04A0" w:firstRow="1" w:lastRow="0" w:firstColumn="1" w:lastColumn="0" w:noHBand="0" w:noVBand="1"/>
      </w:tblPr>
      <w:tblGrid>
        <w:gridCol w:w="2122"/>
        <w:gridCol w:w="2086"/>
        <w:gridCol w:w="2097"/>
        <w:gridCol w:w="2632"/>
      </w:tblGrid>
      <w:tr w:rsidR="007B5B5F" w:rsidRPr="007B5B5F" w:rsidTr="00591026">
        <w:trPr>
          <w:trHeight w:val="616"/>
        </w:trPr>
        <w:tc>
          <w:tcPr>
            <w:tcW w:w="212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lastRenderedPageBreak/>
              <w:t>Scheme Name (Location Address)</w:t>
            </w:r>
          </w:p>
        </w:tc>
        <w:tc>
          <w:tcPr>
            <w:tcW w:w="2086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No. of Units</w:t>
            </w:r>
          </w:p>
        </w:tc>
        <w:tc>
          <w:tcPr>
            <w:tcW w:w="2097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Approved by Council</w:t>
            </w:r>
          </w:p>
        </w:tc>
        <w:tc>
          <w:tcPr>
            <w:tcW w:w="263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Current Stage</w:t>
            </w:r>
          </w:p>
        </w:tc>
      </w:tr>
      <w:tr w:rsidR="007B5B5F" w:rsidRPr="007B5B5F" w:rsidTr="00591026">
        <w:trPr>
          <w:trHeight w:val="818"/>
        </w:trPr>
        <w:tc>
          <w:tcPr>
            <w:tcW w:w="212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Dromcarra, Tallaght</w:t>
            </w:r>
          </w:p>
        </w:tc>
        <w:tc>
          <w:tcPr>
            <w:tcW w:w="2086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14</w:t>
            </w:r>
          </w:p>
        </w:tc>
        <w:tc>
          <w:tcPr>
            <w:tcW w:w="2097" w:type="dxa"/>
          </w:tcPr>
          <w:p w:rsidR="007B5B5F" w:rsidRPr="007B5B5F" w:rsidRDefault="00591026" w:rsidP="002E0B48">
            <w:pPr>
              <w:spacing w:before="100" w:beforeAutospacing="1" w:after="100" w:afterAutospacing="1"/>
              <w:rPr>
                <w:lang w:eastAsia="en-IE"/>
              </w:rPr>
            </w:pPr>
            <w:r>
              <w:rPr>
                <w:lang w:eastAsia="en-IE"/>
              </w:rPr>
              <w:t>Yes in June 2015</w:t>
            </w:r>
          </w:p>
        </w:tc>
        <w:tc>
          <w:tcPr>
            <w:tcW w:w="263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Cost plan is currently being prepared by SDCC for submission to the DECLG</w:t>
            </w:r>
          </w:p>
        </w:tc>
      </w:tr>
      <w:tr w:rsidR="007B5B5F" w:rsidRPr="007B5B5F" w:rsidTr="00591026">
        <w:trPr>
          <w:trHeight w:val="1232"/>
        </w:trPr>
        <w:tc>
          <w:tcPr>
            <w:tcW w:w="212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Letts Field, Clondalkin</w:t>
            </w:r>
          </w:p>
        </w:tc>
        <w:tc>
          <w:tcPr>
            <w:tcW w:w="2086" w:type="dxa"/>
          </w:tcPr>
          <w:p w:rsidR="007B5B5F" w:rsidRPr="007B5B5F" w:rsidRDefault="00591026" w:rsidP="00591026">
            <w:pPr>
              <w:spacing w:before="100" w:beforeAutospacing="1" w:after="100" w:afterAutospacing="1"/>
              <w:rPr>
                <w:lang w:eastAsia="en-IE"/>
              </w:rPr>
            </w:pPr>
            <w:r>
              <w:rPr>
                <w:lang w:eastAsia="en-IE"/>
              </w:rPr>
              <w:t>40 (proposed on Part 8</w:t>
            </w:r>
            <w:r w:rsidR="007B5B5F" w:rsidRPr="007B5B5F">
              <w:rPr>
                <w:lang w:eastAsia="en-IE"/>
              </w:rPr>
              <w:t>)</w:t>
            </w:r>
          </w:p>
        </w:tc>
        <w:tc>
          <w:tcPr>
            <w:tcW w:w="2097" w:type="dxa"/>
          </w:tcPr>
          <w:p w:rsid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No</w:t>
            </w:r>
            <w:r w:rsidR="00591026">
              <w:rPr>
                <w:lang w:eastAsia="en-IE"/>
              </w:rPr>
              <w:t xml:space="preserve">. </w:t>
            </w:r>
          </w:p>
          <w:p w:rsidR="00591026" w:rsidRPr="007B5B5F" w:rsidRDefault="00591026" w:rsidP="002E0B48">
            <w:pPr>
              <w:spacing w:before="100" w:beforeAutospacing="1" w:after="100" w:afterAutospacing="1"/>
              <w:rPr>
                <w:lang w:eastAsia="en-IE"/>
              </w:rPr>
            </w:pPr>
          </w:p>
        </w:tc>
        <w:tc>
          <w:tcPr>
            <w:tcW w:w="2632" w:type="dxa"/>
          </w:tcPr>
          <w:p w:rsidR="007B5B5F" w:rsidRPr="007B5B5F" w:rsidRDefault="007B5B5F" w:rsidP="00591026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SDCC currently reviewing submissions and report will be presented to Council in September.</w:t>
            </w:r>
          </w:p>
        </w:tc>
      </w:tr>
      <w:tr w:rsidR="007B5B5F" w:rsidRPr="007B5B5F" w:rsidTr="00591026">
        <w:trPr>
          <w:trHeight w:val="616"/>
        </w:trPr>
        <w:tc>
          <w:tcPr>
            <w:tcW w:w="212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Owendoher, Ballyboden</w:t>
            </w:r>
          </w:p>
        </w:tc>
        <w:tc>
          <w:tcPr>
            <w:tcW w:w="2086" w:type="dxa"/>
          </w:tcPr>
          <w:p w:rsidR="007B5B5F" w:rsidRPr="007B5B5F" w:rsidRDefault="00591026" w:rsidP="00591026">
            <w:pPr>
              <w:spacing w:before="100" w:beforeAutospacing="1" w:after="100" w:afterAutospacing="1"/>
              <w:rPr>
                <w:lang w:eastAsia="en-IE"/>
              </w:rPr>
            </w:pPr>
            <w:r>
              <w:rPr>
                <w:lang w:eastAsia="en-IE"/>
              </w:rPr>
              <w:t>35 (proposed on Part 8</w:t>
            </w:r>
            <w:r w:rsidR="007B5B5F" w:rsidRPr="007B5B5F">
              <w:rPr>
                <w:lang w:eastAsia="en-IE"/>
              </w:rPr>
              <w:t>)</w:t>
            </w:r>
          </w:p>
        </w:tc>
        <w:tc>
          <w:tcPr>
            <w:tcW w:w="2097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No</w:t>
            </w:r>
          </w:p>
        </w:tc>
        <w:tc>
          <w:tcPr>
            <w:tcW w:w="263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8 week public consultation – to close on the 17</w:t>
            </w:r>
            <w:r w:rsidRPr="007B5B5F">
              <w:rPr>
                <w:vertAlign w:val="superscript"/>
                <w:lang w:eastAsia="en-IE"/>
              </w:rPr>
              <w:t>th</w:t>
            </w:r>
            <w:r w:rsidRPr="007B5B5F">
              <w:rPr>
                <w:lang w:eastAsia="en-IE"/>
              </w:rPr>
              <w:t xml:space="preserve"> September</w:t>
            </w:r>
          </w:p>
        </w:tc>
      </w:tr>
      <w:tr w:rsidR="007B5B5F" w:rsidRPr="007B5B5F" w:rsidTr="00591026">
        <w:trPr>
          <w:trHeight w:val="616"/>
        </w:trPr>
        <w:tc>
          <w:tcPr>
            <w:tcW w:w="212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Killinarden, Tallaght</w:t>
            </w:r>
          </w:p>
        </w:tc>
        <w:tc>
          <w:tcPr>
            <w:tcW w:w="2086" w:type="dxa"/>
          </w:tcPr>
          <w:p w:rsidR="007B5B5F" w:rsidRPr="007B5B5F" w:rsidRDefault="00591026" w:rsidP="00591026">
            <w:pPr>
              <w:spacing w:before="100" w:beforeAutospacing="1" w:after="100" w:afterAutospacing="1"/>
              <w:rPr>
                <w:lang w:eastAsia="en-IE"/>
              </w:rPr>
            </w:pPr>
            <w:r>
              <w:rPr>
                <w:lang w:eastAsia="en-IE"/>
              </w:rPr>
              <w:t>24 (proposed on Part 8</w:t>
            </w:r>
            <w:r w:rsidR="007B5B5F" w:rsidRPr="007B5B5F">
              <w:rPr>
                <w:lang w:eastAsia="en-IE"/>
              </w:rPr>
              <w:t>)</w:t>
            </w:r>
          </w:p>
        </w:tc>
        <w:tc>
          <w:tcPr>
            <w:tcW w:w="2097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No</w:t>
            </w:r>
          </w:p>
        </w:tc>
        <w:tc>
          <w:tcPr>
            <w:tcW w:w="2632" w:type="dxa"/>
          </w:tcPr>
          <w:p w:rsidR="007B5B5F" w:rsidRPr="007B5B5F" w:rsidRDefault="007B5B5F" w:rsidP="002E0B48">
            <w:pPr>
              <w:spacing w:before="100" w:beforeAutospacing="1" w:after="100" w:afterAutospacing="1"/>
              <w:rPr>
                <w:lang w:eastAsia="en-IE"/>
              </w:rPr>
            </w:pPr>
            <w:r w:rsidRPr="007B5B5F">
              <w:rPr>
                <w:lang w:eastAsia="en-IE"/>
              </w:rPr>
              <w:t>8 week public consultation – to close on the 24</w:t>
            </w:r>
            <w:r w:rsidRPr="007B5B5F">
              <w:rPr>
                <w:vertAlign w:val="superscript"/>
                <w:lang w:eastAsia="en-IE"/>
              </w:rPr>
              <w:t>th</w:t>
            </w:r>
            <w:r w:rsidRPr="007B5B5F">
              <w:rPr>
                <w:lang w:eastAsia="en-IE"/>
              </w:rPr>
              <w:t xml:space="preserve"> September</w:t>
            </w:r>
          </w:p>
        </w:tc>
      </w:tr>
    </w:tbl>
    <w:p w:rsidR="00591026" w:rsidRDefault="00591026" w:rsidP="00591026">
      <w:pPr>
        <w:spacing w:line="360" w:lineRule="auto"/>
        <w:jc w:val="both"/>
        <w:rPr>
          <w:lang w:val="en-IE"/>
        </w:rPr>
      </w:pPr>
    </w:p>
    <w:p w:rsidR="00591026" w:rsidRDefault="00591026" w:rsidP="00591026">
      <w:pPr>
        <w:spacing w:line="360" w:lineRule="auto"/>
        <w:jc w:val="both"/>
        <w:rPr>
          <w:lang w:val="en-IE"/>
        </w:rPr>
      </w:pPr>
      <w:r>
        <w:rPr>
          <w:lang w:val="en-IE"/>
        </w:rPr>
        <w:t>As presented to Council in March 2015 the further sites identified for Part 8 will display at consultation over the coming months:</w:t>
      </w:r>
    </w:p>
    <w:tbl>
      <w:tblPr>
        <w:tblStyle w:val="TableGrid"/>
        <w:tblW w:w="6850" w:type="dxa"/>
        <w:tblLook w:val="01E0" w:firstRow="1" w:lastRow="1" w:firstColumn="1" w:lastColumn="1" w:noHBand="0" w:noVBand="0"/>
      </w:tblPr>
      <w:tblGrid>
        <w:gridCol w:w="4009"/>
        <w:gridCol w:w="2841"/>
      </w:tblGrid>
      <w:tr w:rsidR="00591026" w:rsidRPr="009B5C5E" w:rsidTr="00591026">
        <w:tc>
          <w:tcPr>
            <w:tcW w:w="4009" w:type="dxa"/>
          </w:tcPr>
          <w:p w:rsidR="00591026" w:rsidRPr="009B5C5E" w:rsidRDefault="00591026" w:rsidP="00515C54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9B5C5E">
              <w:rPr>
                <w:b/>
                <w:sz w:val="22"/>
                <w:szCs w:val="22"/>
                <w:lang w:val="en-IE"/>
              </w:rPr>
              <w:t>Address</w:t>
            </w:r>
          </w:p>
        </w:tc>
        <w:tc>
          <w:tcPr>
            <w:tcW w:w="2841" w:type="dxa"/>
          </w:tcPr>
          <w:p w:rsidR="00591026" w:rsidRDefault="00591026" w:rsidP="00515C54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9B5C5E">
              <w:rPr>
                <w:b/>
                <w:sz w:val="22"/>
                <w:szCs w:val="22"/>
                <w:lang w:val="en-IE"/>
              </w:rPr>
              <w:t>Approx. number of houses</w:t>
            </w:r>
          </w:p>
          <w:p w:rsidR="00591026" w:rsidRPr="009B5C5E" w:rsidRDefault="00591026" w:rsidP="00515C54">
            <w:pPr>
              <w:jc w:val="center"/>
              <w:rPr>
                <w:b/>
                <w:sz w:val="22"/>
                <w:szCs w:val="22"/>
                <w:lang w:val="en-IE"/>
              </w:rPr>
            </w:pPr>
          </w:p>
        </w:tc>
      </w:tr>
      <w:tr w:rsidR="00591026" w:rsidTr="00591026">
        <w:tc>
          <w:tcPr>
            <w:tcW w:w="4009" w:type="dxa"/>
          </w:tcPr>
          <w:p w:rsidR="00591026" w:rsidRDefault="00591026" w:rsidP="00515C54">
            <w:pPr>
              <w:spacing w:line="360" w:lineRule="auto"/>
              <w:jc w:val="both"/>
              <w:rPr>
                <w:lang w:val="en-IE"/>
              </w:rPr>
            </w:pPr>
            <w:r>
              <w:rPr>
                <w:lang w:val="en-IE"/>
              </w:rPr>
              <w:t>Balgaddy ‘F’ Lucan</w:t>
            </w:r>
          </w:p>
        </w:tc>
        <w:tc>
          <w:tcPr>
            <w:tcW w:w="2841" w:type="dxa"/>
          </w:tcPr>
          <w:p w:rsidR="00591026" w:rsidRDefault="00591026" w:rsidP="00515C54">
            <w:pPr>
              <w:spacing w:line="360" w:lineRule="auto"/>
              <w:jc w:val="center"/>
              <w:rPr>
                <w:lang w:val="en-IE"/>
              </w:rPr>
            </w:pPr>
            <w:r>
              <w:rPr>
                <w:lang w:val="en-IE"/>
              </w:rPr>
              <w:t>50</w:t>
            </w:r>
          </w:p>
        </w:tc>
      </w:tr>
      <w:tr w:rsidR="00591026" w:rsidTr="00591026">
        <w:tc>
          <w:tcPr>
            <w:tcW w:w="4009" w:type="dxa"/>
          </w:tcPr>
          <w:p w:rsidR="00591026" w:rsidRDefault="00591026" w:rsidP="00515C54">
            <w:pPr>
              <w:spacing w:line="360" w:lineRule="auto"/>
              <w:jc w:val="both"/>
              <w:rPr>
                <w:lang w:val="en-IE"/>
              </w:rPr>
            </w:pPr>
            <w:r>
              <w:rPr>
                <w:lang w:val="en-IE"/>
              </w:rPr>
              <w:t xml:space="preserve">St. Marks Avenue, </w:t>
            </w:r>
            <w:proofErr w:type="spellStart"/>
            <w:r>
              <w:rPr>
                <w:lang w:val="en-IE"/>
              </w:rPr>
              <w:t>Rowlagh</w:t>
            </w:r>
            <w:proofErr w:type="spellEnd"/>
          </w:p>
        </w:tc>
        <w:tc>
          <w:tcPr>
            <w:tcW w:w="2841" w:type="dxa"/>
          </w:tcPr>
          <w:p w:rsidR="00591026" w:rsidRDefault="00591026" w:rsidP="00515C54">
            <w:pPr>
              <w:spacing w:line="360" w:lineRule="auto"/>
              <w:jc w:val="center"/>
              <w:rPr>
                <w:lang w:val="en-IE"/>
              </w:rPr>
            </w:pPr>
            <w:r>
              <w:rPr>
                <w:lang w:val="en-IE"/>
              </w:rPr>
              <w:t>39</w:t>
            </w:r>
          </w:p>
        </w:tc>
      </w:tr>
      <w:tr w:rsidR="00591026" w:rsidTr="00591026">
        <w:tc>
          <w:tcPr>
            <w:tcW w:w="4009" w:type="dxa"/>
          </w:tcPr>
          <w:p w:rsidR="00591026" w:rsidRDefault="00591026" w:rsidP="00515C54">
            <w:pPr>
              <w:spacing w:line="360" w:lineRule="auto"/>
              <w:jc w:val="both"/>
              <w:rPr>
                <w:lang w:val="en-IE"/>
              </w:rPr>
            </w:pPr>
            <w:r>
              <w:rPr>
                <w:lang w:val="en-IE"/>
              </w:rPr>
              <w:t>Stocking Lane, Rathfarnham</w:t>
            </w:r>
          </w:p>
        </w:tc>
        <w:tc>
          <w:tcPr>
            <w:tcW w:w="2841" w:type="dxa"/>
          </w:tcPr>
          <w:p w:rsidR="00591026" w:rsidRDefault="00591026" w:rsidP="00515C54">
            <w:pPr>
              <w:spacing w:line="360" w:lineRule="auto"/>
              <w:jc w:val="center"/>
              <w:rPr>
                <w:lang w:val="en-IE"/>
              </w:rPr>
            </w:pPr>
            <w:r>
              <w:rPr>
                <w:lang w:val="en-IE"/>
              </w:rPr>
              <w:t>40</w:t>
            </w:r>
          </w:p>
        </w:tc>
      </w:tr>
      <w:tr w:rsidR="00591026" w:rsidTr="00591026">
        <w:tc>
          <w:tcPr>
            <w:tcW w:w="4009" w:type="dxa"/>
          </w:tcPr>
          <w:p w:rsidR="00591026" w:rsidRDefault="00591026" w:rsidP="00515C54">
            <w:pPr>
              <w:spacing w:line="360" w:lineRule="auto"/>
              <w:jc w:val="both"/>
              <w:rPr>
                <w:lang w:val="en-IE"/>
              </w:rPr>
            </w:pPr>
            <w:r>
              <w:rPr>
                <w:lang w:val="en-IE"/>
              </w:rPr>
              <w:t>Fernwood, Tallaght</w:t>
            </w:r>
          </w:p>
        </w:tc>
        <w:tc>
          <w:tcPr>
            <w:tcW w:w="2841" w:type="dxa"/>
          </w:tcPr>
          <w:p w:rsidR="00591026" w:rsidRDefault="00591026" w:rsidP="00515C54">
            <w:pPr>
              <w:spacing w:line="360" w:lineRule="auto"/>
              <w:jc w:val="center"/>
              <w:rPr>
                <w:lang w:val="en-IE"/>
              </w:rPr>
            </w:pPr>
            <w:r>
              <w:rPr>
                <w:lang w:val="en-IE"/>
              </w:rPr>
              <w:t>22</w:t>
            </w:r>
          </w:p>
        </w:tc>
      </w:tr>
      <w:tr w:rsidR="00591026" w:rsidTr="00591026">
        <w:tc>
          <w:tcPr>
            <w:tcW w:w="4009" w:type="dxa"/>
          </w:tcPr>
          <w:p w:rsidR="00591026" w:rsidRDefault="00591026" w:rsidP="00515C54">
            <w:pPr>
              <w:spacing w:line="360" w:lineRule="auto"/>
              <w:jc w:val="both"/>
              <w:rPr>
                <w:lang w:val="en-IE"/>
              </w:rPr>
            </w:pPr>
            <w:proofErr w:type="spellStart"/>
            <w:r>
              <w:rPr>
                <w:lang w:val="en-IE"/>
              </w:rPr>
              <w:t>Fonthill</w:t>
            </w:r>
            <w:proofErr w:type="spellEnd"/>
            <w:r>
              <w:rPr>
                <w:lang w:val="en-IE"/>
              </w:rPr>
              <w:t xml:space="preserve"> Road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lang w:val="en-IE"/>
                  </w:rPr>
                  <w:t>Link Road</w:t>
                </w:r>
              </w:smartTag>
            </w:smartTag>
            <w:r>
              <w:rPr>
                <w:lang w:val="en-IE"/>
              </w:rPr>
              <w:t xml:space="preserve">, </w:t>
            </w:r>
            <w:proofErr w:type="spellStart"/>
            <w:r>
              <w:rPr>
                <w:lang w:val="en-IE"/>
              </w:rPr>
              <w:t>Neilstown</w:t>
            </w:r>
            <w:proofErr w:type="spellEnd"/>
          </w:p>
        </w:tc>
        <w:tc>
          <w:tcPr>
            <w:tcW w:w="2841" w:type="dxa"/>
          </w:tcPr>
          <w:p w:rsidR="00591026" w:rsidRDefault="00591026" w:rsidP="00515C54">
            <w:pPr>
              <w:spacing w:line="360" w:lineRule="auto"/>
              <w:jc w:val="center"/>
              <w:rPr>
                <w:lang w:val="en-IE"/>
              </w:rPr>
            </w:pPr>
            <w:r>
              <w:rPr>
                <w:lang w:val="en-IE"/>
              </w:rPr>
              <w:t>50</w:t>
            </w:r>
          </w:p>
        </w:tc>
      </w:tr>
    </w:tbl>
    <w:p w:rsidR="00591026" w:rsidRDefault="00591026" w:rsidP="00591026">
      <w:pPr>
        <w:spacing w:line="360" w:lineRule="auto"/>
        <w:jc w:val="both"/>
      </w:pPr>
    </w:p>
    <w:p w:rsidR="00591026" w:rsidRDefault="00591026" w:rsidP="00591026">
      <w:pPr>
        <w:spacing w:line="360" w:lineRule="auto"/>
        <w:jc w:val="both"/>
      </w:pPr>
      <w:r>
        <w:t xml:space="preserve">The numbers of homes above are indicative and may vary slightly as schemes are designed and consulted in detail. </w:t>
      </w:r>
    </w:p>
    <w:p w:rsidR="002749E5" w:rsidRDefault="002749E5" w:rsidP="00591026">
      <w:pPr>
        <w:spacing w:line="360" w:lineRule="auto"/>
        <w:jc w:val="both"/>
      </w:pPr>
    </w:p>
    <w:p w:rsidR="008D766A" w:rsidRDefault="008D766A" w:rsidP="00591026">
      <w:pPr>
        <w:spacing w:line="360" w:lineRule="auto"/>
        <w:jc w:val="both"/>
      </w:pPr>
    </w:p>
    <w:p w:rsidR="007B5B5F" w:rsidRPr="002749E5" w:rsidRDefault="007B5B5F" w:rsidP="007B5B5F">
      <w:pPr>
        <w:spacing w:before="100" w:beforeAutospacing="1" w:after="100" w:afterAutospacing="1"/>
        <w:rPr>
          <w:b/>
          <w:sz w:val="28"/>
          <w:szCs w:val="28"/>
          <w:u w:val="single"/>
          <w:lang w:eastAsia="en-IE"/>
        </w:rPr>
      </w:pPr>
      <w:r w:rsidRPr="002749E5">
        <w:rPr>
          <w:b/>
          <w:sz w:val="28"/>
          <w:szCs w:val="28"/>
          <w:u w:val="single"/>
          <w:lang w:eastAsia="en-IE"/>
        </w:rPr>
        <w:t>Three projects which have commenced on site in 2015 are:</w:t>
      </w:r>
    </w:p>
    <w:tbl>
      <w:tblPr>
        <w:tblW w:w="490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7"/>
        <w:gridCol w:w="1574"/>
      </w:tblGrid>
      <w:tr w:rsidR="007B5B5F" w:rsidRPr="007B5B5F" w:rsidTr="007B5B5F">
        <w:trPr>
          <w:trHeight w:val="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numPr>
                <w:ilvl w:val="0"/>
                <w:numId w:val="3"/>
              </w:numPr>
              <w:spacing w:before="100" w:beforeAutospacing="1" w:after="100" w:afterAutospacing="1"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 xml:space="preserve">Suncroft Tallaght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spacing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>10 dwellings</w:t>
            </w:r>
          </w:p>
        </w:tc>
      </w:tr>
      <w:tr w:rsidR="007B5B5F" w:rsidRPr="007B5B5F" w:rsidTr="007B5B5F">
        <w:trPr>
          <w:trHeight w:val="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numPr>
                <w:ilvl w:val="0"/>
                <w:numId w:val="4"/>
              </w:numPr>
              <w:spacing w:before="100" w:beforeAutospacing="1" w:after="100" w:afterAutospacing="1"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 xml:space="preserve">St. Finians, Lucan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spacing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>  2 dwellings</w:t>
            </w:r>
          </w:p>
        </w:tc>
      </w:tr>
      <w:tr w:rsidR="007B5B5F" w:rsidRPr="007B5B5F" w:rsidTr="007B5B5F">
        <w:trPr>
          <w:trHeight w:val="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numPr>
                <w:ilvl w:val="0"/>
                <w:numId w:val="5"/>
              </w:numPr>
              <w:spacing w:before="100" w:beforeAutospacing="1" w:after="100" w:afterAutospacing="1"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>Belgard Road Tallaght (traveller accommodation)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spacing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>  3 dwellings</w:t>
            </w:r>
          </w:p>
        </w:tc>
      </w:tr>
      <w:tr w:rsidR="007B5B5F" w:rsidRPr="007B5B5F" w:rsidTr="007B5B5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spacing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> 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5B5F" w:rsidRPr="007B5B5F" w:rsidRDefault="007B5B5F" w:rsidP="002E0B48">
            <w:pPr>
              <w:spacing w:line="336" w:lineRule="atLeast"/>
              <w:rPr>
                <w:lang w:eastAsia="en-IE"/>
              </w:rPr>
            </w:pPr>
            <w:r w:rsidRPr="007B5B5F">
              <w:rPr>
                <w:lang w:eastAsia="en-IE"/>
              </w:rPr>
              <w:t>15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66"/>
        <w:gridCol w:w="4140"/>
      </w:tblGrid>
      <w:tr w:rsidR="007B5B5F" w:rsidRPr="007B5B5F" w:rsidTr="007B5B5F">
        <w:tc>
          <w:tcPr>
            <w:tcW w:w="8306" w:type="dxa"/>
            <w:gridSpan w:val="2"/>
          </w:tcPr>
          <w:p w:rsidR="00B75A98" w:rsidRDefault="00B75A98" w:rsidP="00591026">
            <w:pPr>
              <w:spacing w:line="360" w:lineRule="auto"/>
              <w:jc w:val="both"/>
            </w:pPr>
          </w:p>
          <w:p w:rsidR="007B5B5F" w:rsidRPr="007B5B5F" w:rsidRDefault="007B5B5F" w:rsidP="00591026">
            <w:pPr>
              <w:spacing w:line="360" w:lineRule="auto"/>
              <w:jc w:val="both"/>
            </w:pPr>
            <w:r w:rsidRPr="007B5B5F">
              <w:t xml:space="preserve">Three projects are already Part </w:t>
            </w:r>
            <w:r w:rsidR="00591026">
              <w:t>8</w:t>
            </w:r>
            <w:r w:rsidRPr="007B5B5F">
              <w:t xml:space="preserve"> approved, costed and awaiting san</w:t>
            </w:r>
            <w:r w:rsidR="007F1823">
              <w:t>ction to proceed to tender by D</w:t>
            </w:r>
            <w:r w:rsidRPr="007B5B5F">
              <w:t>E</w:t>
            </w:r>
            <w:r w:rsidR="007F1823">
              <w:t>C</w:t>
            </w:r>
            <w:r w:rsidRPr="007B5B5F">
              <w:t>LG -</w:t>
            </w:r>
          </w:p>
        </w:tc>
      </w:tr>
      <w:tr w:rsidR="007B5B5F" w:rsidRPr="007B5B5F" w:rsidTr="007B5B5F">
        <w:tc>
          <w:tcPr>
            <w:tcW w:w="4166" w:type="dxa"/>
          </w:tcPr>
          <w:p w:rsidR="007B5B5F" w:rsidRPr="007B5B5F" w:rsidRDefault="007B5B5F" w:rsidP="007B5B5F">
            <w:pPr>
              <w:numPr>
                <w:ilvl w:val="0"/>
                <w:numId w:val="7"/>
              </w:numPr>
              <w:spacing w:line="360" w:lineRule="auto"/>
              <w:jc w:val="both"/>
            </w:pPr>
            <w:smartTag w:uri="urn:schemas-microsoft-com:office:smarttags" w:element="place">
              <w:r w:rsidRPr="007B5B5F">
                <w:t>St.</w:t>
              </w:r>
            </w:smartTag>
            <w:r w:rsidRPr="007B5B5F">
              <w:t xml:space="preserve"> Marks Green</w:t>
            </w:r>
          </w:p>
        </w:tc>
        <w:tc>
          <w:tcPr>
            <w:tcW w:w="4140" w:type="dxa"/>
          </w:tcPr>
          <w:p w:rsidR="007B5B5F" w:rsidRPr="007B5B5F" w:rsidRDefault="007B5B5F" w:rsidP="002E0B48">
            <w:pPr>
              <w:spacing w:line="360" w:lineRule="auto"/>
              <w:jc w:val="both"/>
            </w:pPr>
            <w:r w:rsidRPr="007B5B5F">
              <w:t>11 dwellings</w:t>
            </w:r>
          </w:p>
        </w:tc>
      </w:tr>
      <w:tr w:rsidR="007B5B5F" w:rsidRPr="007B5B5F" w:rsidTr="007B5B5F">
        <w:tc>
          <w:tcPr>
            <w:tcW w:w="4166" w:type="dxa"/>
          </w:tcPr>
          <w:p w:rsidR="007B5B5F" w:rsidRPr="007B5B5F" w:rsidRDefault="007B5B5F" w:rsidP="007B5B5F">
            <w:pPr>
              <w:numPr>
                <w:ilvl w:val="0"/>
                <w:numId w:val="7"/>
              </w:numPr>
              <w:spacing w:line="360" w:lineRule="auto"/>
              <w:jc w:val="both"/>
            </w:pPr>
            <w:r w:rsidRPr="007B5B5F">
              <w:t>Mayfield</w:t>
            </w:r>
          </w:p>
        </w:tc>
        <w:tc>
          <w:tcPr>
            <w:tcW w:w="4140" w:type="dxa"/>
          </w:tcPr>
          <w:p w:rsidR="007B5B5F" w:rsidRPr="007B5B5F" w:rsidRDefault="007B5B5F" w:rsidP="002E0B48">
            <w:pPr>
              <w:spacing w:line="360" w:lineRule="auto"/>
              <w:jc w:val="both"/>
            </w:pPr>
            <w:r w:rsidRPr="007B5B5F">
              <w:t>18 dwellings</w:t>
            </w:r>
          </w:p>
        </w:tc>
      </w:tr>
      <w:tr w:rsidR="007B5B5F" w:rsidRPr="007B5B5F" w:rsidTr="007B5B5F">
        <w:tc>
          <w:tcPr>
            <w:tcW w:w="4166" w:type="dxa"/>
          </w:tcPr>
          <w:p w:rsidR="007B5B5F" w:rsidRPr="007B5B5F" w:rsidRDefault="007B5B5F" w:rsidP="007B5B5F">
            <w:pPr>
              <w:numPr>
                <w:ilvl w:val="0"/>
                <w:numId w:val="7"/>
              </w:numPr>
              <w:spacing w:line="360" w:lineRule="auto"/>
              <w:jc w:val="both"/>
            </w:pPr>
            <w:r w:rsidRPr="007B5B5F">
              <w:t>Mac Uilliam</w:t>
            </w:r>
          </w:p>
        </w:tc>
        <w:tc>
          <w:tcPr>
            <w:tcW w:w="4140" w:type="dxa"/>
          </w:tcPr>
          <w:p w:rsidR="007B5B5F" w:rsidRPr="007B5B5F" w:rsidRDefault="007B5B5F" w:rsidP="002E0B48">
            <w:pPr>
              <w:spacing w:line="360" w:lineRule="auto"/>
              <w:jc w:val="both"/>
              <w:rPr>
                <w:u w:val="single"/>
              </w:rPr>
            </w:pPr>
            <w:r w:rsidRPr="007B5B5F">
              <w:rPr>
                <w:u w:val="single"/>
              </w:rPr>
              <w:t>28 dwellings</w:t>
            </w:r>
          </w:p>
        </w:tc>
      </w:tr>
      <w:tr w:rsidR="007B5B5F" w:rsidRPr="007B5B5F" w:rsidTr="007B5B5F">
        <w:tc>
          <w:tcPr>
            <w:tcW w:w="4166" w:type="dxa"/>
          </w:tcPr>
          <w:p w:rsidR="007B5B5F" w:rsidRPr="007B5B5F" w:rsidRDefault="007B5B5F" w:rsidP="002E0B48">
            <w:pPr>
              <w:spacing w:line="360" w:lineRule="auto"/>
              <w:jc w:val="both"/>
            </w:pPr>
          </w:p>
        </w:tc>
        <w:tc>
          <w:tcPr>
            <w:tcW w:w="4140" w:type="dxa"/>
          </w:tcPr>
          <w:p w:rsidR="007B5B5F" w:rsidRPr="007B5B5F" w:rsidRDefault="007B5B5F" w:rsidP="002E0B48">
            <w:pPr>
              <w:spacing w:line="360" w:lineRule="auto"/>
              <w:jc w:val="both"/>
            </w:pPr>
            <w:r w:rsidRPr="007B5B5F">
              <w:t xml:space="preserve">57 </w:t>
            </w:r>
          </w:p>
        </w:tc>
      </w:tr>
    </w:tbl>
    <w:p w:rsidR="003F209E" w:rsidRPr="007F1823" w:rsidRDefault="003F209E" w:rsidP="007F1823">
      <w:pPr>
        <w:tabs>
          <w:tab w:val="left" w:pos="1410"/>
        </w:tabs>
        <w:rPr>
          <w:lang w:eastAsia="en-IE"/>
        </w:rPr>
      </w:pPr>
    </w:p>
    <w:sectPr w:rsidR="003F209E" w:rsidRPr="007F1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984"/>
    <w:multiLevelType w:val="hybridMultilevel"/>
    <w:tmpl w:val="21460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E7D20"/>
    <w:multiLevelType w:val="multilevel"/>
    <w:tmpl w:val="226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97E73"/>
    <w:multiLevelType w:val="multilevel"/>
    <w:tmpl w:val="AC7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20B7E"/>
    <w:multiLevelType w:val="hybridMultilevel"/>
    <w:tmpl w:val="5A46C6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65B5"/>
    <w:multiLevelType w:val="hybridMultilevel"/>
    <w:tmpl w:val="839A3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E0B30"/>
    <w:multiLevelType w:val="hybridMultilevel"/>
    <w:tmpl w:val="D01412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418F"/>
    <w:multiLevelType w:val="multilevel"/>
    <w:tmpl w:val="927A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42"/>
    <w:rsid w:val="002749E5"/>
    <w:rsid w:val="003F209E"/>
    <w:rsid w:val="00543A97"/>
    <w:rsid w:val="00591026"/>
    <w:rsid w:val="00643FCB"/>
    <w:rsid w:val="006A771F"/>
    <w:rsid w:val="00757E42"/>
    <w:rsid w:val="007B5B5F"/>
    <w:rsid w:val="007F1823"/>
    <w:rsid w:val="00875377"/>
    <w:rsid w:val="008D766A"/>
    <w:rsid w:val="009F2A42"/>
    <w:rsid w:val="00A1721C"/>
    <w:rsid w:val="00B75A98"/>
    <w:rsid w:val="00BF44A6"/>
    <w:rsid w:val="00D83507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F2D36-88D6-40CE-89F8-03C6BC41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42"/>
    <w:pPr>
      <w:ind w:left="720"/>
      <w:contextualSpacing/>
    </w:pPr>
  </w:style>
  <w:style w:type="table" w:styleId="TableGrid">
    <w:name w:val="Table Grid"/>
    <w:basedOn w:val="TableNormal"/>
    <w:rsid w:val="003F2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2</cp:revision>
  <dcterms:created xsi:type="dcterms:W3CDTF">2015-09-10T13:26:00Z</dcterms:created>
  <dcterms:modified xsi:type="dcterms:W3CDTF">2015-09-10T13:26:00Z</dcterms:modified>
</cp:coreProperties>
</file>