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7E" w:rsidRDefault="00013C7E" w:rsidP="00013C7E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013C7E" w:rsidRDefault="00013C7E" w:rsidP="00013C7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B997169" wp14:editId="51243BD5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C7E" w:rsidRDefault="00013C7E" w:rsidP="00013C7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ECONOMIC DEVELOPMENT, ENTERPRISE AND TOURISM SPC</w:t>
      </w:r>
    </w:p>
    <w:p w:rsidR="00013C7E" w:rsidRDefault="00013C7E" w:rsidP="00013C7E">
      <w:pPr>
        <w:pStyle w:val="replymain"/>
        <w:rPr>
          <w:rFonts w:ascii="Verdana" w:hAnsi="Verdana"/>
        </w:rPr>
      </w:pPr>
      <w:r>
        <w:rPr>
          <w:rFonts w:ascii="Verdana" w:hAnsi="Verdana"/>
        </w:rPr>
        <w:t>Wednesday, September 09, 2015</w:t>
      </w:r>
    </w:p>
    <w:p w:rsidR="00013C7E" w:rsidRDefault="00013C7E" w:rsidP="00013C7E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NO.2</w:t>
      </w:r>
    </w:p>
    <w:p w:rsidR="00013C7E" w:rsidRDefault="00013C7E" w:rsidP="00013C7E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ITEM: E. Development, Enterprise and Tourism</w:t>
      </w:r>
    </w:p>
    <w:p w:rsidR="00013C7E" w:rsidRDefault="00013C7E" w:rsidP="00013C7E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  <w:u w:val="single"/>
        </w:rPr>
        <w:t>Business support measures report</w:t>
      </w:r>
    </w:p>
    <w:p w:rsidR="00013C7E" w:rsidRDefault="00013C7E" w:rsidP="00013C7E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REPLY:</w:t>
      </w:r>
    </w:p>
    <w:p w:rsidR="00013C7E" w:rsidRPr="00013C7E" w:rsidRDefault="00013C7E" w:rsidP="00013C7E">
      <w:pPr>
        <w:pStyle w:val="NormalWeb"/>
        <w:rPr>
          <w:rStyle w:val="Strong"/>
          <w:rFonts w:ascii="Verdana" w:hAnsi="Verdana"/>
          <w:b w:val="0"/>
        </w:rPr>
      </w:pPr>
      <w:r w:rsidRPr="00013C7E">
        <w:rPr>
          <w:rStyle w:val="Strong"/>
          <w:rFonts w:ascii="Verdana" w:hAnsi="Verdana"/>
          <w:b w:val="0"/>
          <w:u w:val="single"/>
        </w:rPr>
        <w:t>Business Support Grant – Ratepayers under €10,000</w:t>
      </w:r>
      <w:r>
        <w:rPr>
          <w:rStyle w:val="Strong"/>
          <w:rFonts w:ascii="Verdana" w:hAnsi="Verdana"/>
          <w:b w:val="0"/>
        </w:rPr>
        <w:t>:</w:t>
      </w:r>
    </w:p>
    <w:p w:rsidR="00013C7E" w:rsidRPr="00013C7E" w:rsidRDefault="00013C7E" w:rsidP="00013C7E">
      <w:pPr>
        <w:rPr>
          <w:rFonts w:ascii="Verdana" w:hAnsi="Verdana"/>
        </w:rPr>
      </w:pPr>
      <w:r w:rsidRPr="00013C7E">
        <w:rPr>
          <w:rStyle w:val="Strong"/>
          <w:rFonts w:ascii="Verdana" w:hAnsi="Verdana"/>
          <w:b w:val="0"/>
        </w:rPr>
        <w:t xml:space="preserve">Letters have issued to all </w:t>
      </w:r>
      <w:r w:rsidRPr="00013C7E">
        <w:rPr>
          <w:rFonts w:ascii="Verdana" w:hAnsi="Verdana"/>
        </w:rPr>
        <w:t>4767 eligible ratepayers.</w:t>
      </w:r>
    </w:p>
    <w:p w:rsidR="00013C7E" w:rsidRPr="00013C7E" w:rsidRDefault="00013C7E" w:rsidP="00013C7E">
      <w:pPr>
        <w:rPr>
          <w:rFonts w:ascii="Verdana" w:hAnsi="Verdana"/>
        </w:rPr>
      </w:pPr>
      <w:r w:rsidRPr="00013C7E">
        <w:rPr>
          <w:rFonts w:ascii="Verdana" w:hAnsi="Verdana"/>
        </w:rPr>
        <w:t>Already 675 applications have been received, the majority using the online application system.</w:t>
      </w:r>
    </w:p>
    <w:p w:rsidR="00013C7E" w:rsidRPr="00013C7E" w:rsidRDefault="00013C7E" w:rsidP="00013C7E">
      <w:pPr>
        <w:rPr>
          <w:rFonts w:ascii="Verdana" w:hAnsi="Verdana"/>
        </w:rPr>
      </w:pPr>
      <w:r w:rsidRPr="00013C7E">
        <w:rPr>
          <w:rFonts w:ascii="Verdana" w:hAnsi="Verdana"/>
        </w:rPr>
        <w:t>The total grant payable to these applicants is €261,065.</w:t>
      </w:r>
    </w:p>
    <w:p w:rsidR="00013C7E" w:rsidRDefault="00013C7E" w:rsidP="00013C7E">
      <w:pPr>
        <w:rPr>
          <w:rFonts w:ascii="Verdana" w:hAnsi="Verdana"/>
        </w:rPr>
      </w:pPr>
      <w:r w:rsidRPr="00013C7E">
        <w:rPr>
          <w:rFonts w:ascii="Verdana" w:hAnsi="Verdana"/>
        </w:rPr>
        <w:t>It is anticipated that over €450,000</w:t>
      </w:r>
      <w:r>
        <w:rPr>
          <w:rFonts w:ascii="Verdana" w:hAnsi="Verdana"/>
        </w:rPr>
        <w:t xml:space="preserve"> will be paid out under this project by year end.</w:t>
      </w:r>
    </w:p>
    <w:p w:rsidR="00013C7E" w:rsidRDefault="00013C7E" w:rsidP="00013C7E">
      <w:pPr>
        <w:rPr>
          <w:rFonts w:ascii="Verdana" w:hAnsi="Verdana"/>
        </w:rPr>
      </w:pPr>
      <w:r w:rsidRPr="00013C7E">
        <w:rPr>
          <w:rStyle w:val="Strong"/>
          <w:rFonts w:ascii="Verdana" w:hAnsi="Verdana"/>
          <w:b w:val="0"/>
          <w:u w:val="single"/>
        </w:rPr>
        <w:t>Business Support Grant –</w:t>
      </w:r>
      <w:r>
        <w:rPr>
          <w:rStyle w:val="Strong"/>
          <w:rFonts w:ascii="Verdana" w:hAnsi="Verdana"/>
          <w:b w:val="0"/>
          <w:u w:val="single"/>
        </w:rPr>
        <w:t xml:space="preserve"> Industrial Estates</w:t>
      </w:r>
    </w:p>
    <w:p w:rsidR="00D114AD" w:rsidRPr="00D114AD" w:rsidRDefault="00D114AD" w:rsidP="00D114AD">
      <w:pPr>
        <w:rPr>
          <w:rFonts w:ascii="Verdana" w:hAnsi="Verdana"/>
        </w:rPr>
      </w:pPr>
      <w:r w:rsidRPr="00D114AD">
        <w:rPr>
          <w:rFonts w:ascii="Verdana" w:hAnsi="Verdana"/>
        </w:rPr>
        <w:t>As the members will be aware with respect to the </w:t>
      </w:r>
      <w:r>
        <w:rPr>
          <w:rFonts w:ascii="Verdana" w:hAnsi="Verdana"/>
        </w:rPr>
        <w:t xml:space="preserve">utilisation of the Business Support Grant, </w:t>
      </w:r>
      <w:r w:rsidRPr="00D114AD">
        <w:rPr>
          <w:rFonts w:ascii="Verdana" w:hAnsi="Verdana"/>
        </w:rPr>
        <w:t xml:space="preserve">as agreed, </w:t>
      </w:r>
      <w:r>
        <w:rPr>
          <w:rFonts w:ascii="Verdana" w:hAnsi="Verdana"/>
        </w:rPr>
        <w:t>the fund</w:t>
      </w:r>
      <w:r w:rsidRPr="00D114AD">
        <w:rPr>
          <w:rFonts w:ascii="Verdana" w:hAnsi="Verdana"/>
        </w:rPr>
        <w:t xml:space="preserve"> will be used to target industrial vacancy/underutilisation and obsolescence and to promote innovation and enterprise, on a percentage breakdown of -</w:t>
      </w:r>
    </w:p>
    <w:p w:rsidR="00D114AD" w:rsidRPr="00D114AD" w:rsidRDefault="00D114AD" w:rsidP="00D114AD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Verdana" w:hAnsi="Verdana"/>
        </w:rPr>
      </w:pPr>
      <w:r w:rsidRPr="00D114AD">
        <w:rPr>
          <w:rFonts w:ascii="Verdana" w:hAnsi="Verdana"/>
        </w:rPr>
        <w:t xml:space="preserve">60%- infrastructural upgrading works to be of a capital nature. </w:t>
      </w:r>
    </w:p>
    <w:p w:rsidR="00D114AD" w:rsidRPr="00D114AD" w:rsidRDefault="00D114AD" w:rsidP="00D114AD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Verdana" w:hAnsi="Verdana"/>
        </w:rPr>
      </w:pPr>
      <w:r w:rsidRPr="00D114AD">
        <w:rPr>
          <w:rFonts w:ascii="Verdana" w:hAnsi="Verdana"/>
        </w:rPr>
        <w:t xml:space="preserve">30%- innovation, </w:t>
      </w:r>
      <w:proofErr w:type="spellStart"/>
      <w:r w:rsidRPr="00D114AD">
        <w:rPr>
          <w:rFonts w:ascii="Verdana" w:hAnsi="Verdana"/>
        </w:rPr>
        <w:t>startup</w:t>
      </w:r>
      <w:proofErr w:type="spellEnd"/>
      <w:r w:rsidRPr="00D114AD">
        <w:rPr>
          <w:rFonts w:ascii="Verdana" w:hAnsi="Verdana"/>
        </w:rPr>
        <w:t xml:space="preserve"> advice and supports including potential incubation space </w:t>
      </w:r>
    </w:p>
    <w:p w:rsidR="00D114AD" w:rsidRDefault="00D114AD" w:rsidP="0042622C">
      <w:pPr>
        <w:pStyle w:val="ListParagraph"/>
        <w:numPr>
          <w:ilvl w:val="0"/>
          <w:numId w:val="3"/>
        </w:numPr>
        <w:tabs>
          <w:tab w:val="num" w:pos="720"/>
        </w:tabs>
        <w:rPr>
          <w:rFonts w:ascii="Verdana" w:hAnsi="Verdana"/>
        </w:rPr>
      </w:pPr>
      <w:r w:rsidRPr="00D114AD">
        <w:rPr>
          <w:rFonts w:ascii="Verdana" w:hAnsi="Verdana"/>
        </w:rPr>
        <w:t>10%- targeted training, to be identified by targeted surveys and delivered through LEO</w:t>
      </w:r>
    </w:p>
    <w:p w:rsidR="00D114AD" w:rsidRDefault="00D114AD" w:rsidP="00D114AD">
      <w:pPr>
        <w:tabs>
          <w:tab w:val="num" w:pos="720"/>
        </w:tabs>
        <w:rPr>
          <w:rFonts w:ascii="Verdana" w:hAnsi="Verdana"/>
        </w:rPr>
      </w:pPr>
    </w:p>
    <w:p w:rsidR="00D114AD" w:rsidRDefault="00D114AD" w:rsidP="00E67FD7">
      <w:pPr>
        <w:spacing w:before="100" w:beforeAutospacing="1" w:after="100" w:afterAutospacing="1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Initial meetings were held </w:t>
      </w:r>
      <w:r w:rsidRPr="00D114AD">
        <w:rPr>
          <w:rFonts w:ascii="Verdana" w:hAnsi="Verdana"/>
        </w:rPr>
        <w:t xml:space="preserve">with a group of industrial occupiers within the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Industrial estate and the JFK industrial estate. In particular progress is being made in co-ordinating a joint programme of upgrades to upgrade the Old </w:t>
      </w:r>
      <w:proofErr w:type="spellStart"/>
      <w:r w:rsidRPr="00D114AD">
        <w:rPr>
          <w:rFonts w:ascii="Verdana" w:hAnsi="Verdana"/>
        </w:rPr>
        <w:t>Belgard</w:t>
      </w:r>
      <w:proofErr w:type="spellEnd"/>
      <w:r w:rsidRPr="00D114AD">
        <w:rPr>
          <w:rFonts w:ascii="Verdana" w:hAnsi="Verdana"/>
        </w:rPr>
        <w:t xml:space="preserve"> Road entrance to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and to improve the permeability with the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LUAS station. </w:t>
      </w:r>
      <w:r w:rsidR="00E67FD7">
        <w:rPr>
          <w:rFonts w:ascii="Verdana" w:hAnsi="Verdana"/>
        </w:rPr>
        <w:br/>
      </w:r>
      <w:r w:rsidRPr="00D114AD">
        <w:rPr>
          <w:rFonts w:ascii="Verdana" w:hAnsi="Verdana"/>
        </w:rPr>
        <w:t xml:space="preserve">The number of meetings with industrial occupiers has extended out to </w:t>
      </w:r>
      <w:proofErr w:type="spellStart"/>
      <w:r w:rsidRPr="00D114AD">
        <w:rPr>
          <w:rFonts w:ascii="Verdana" w:hAnsi="Verdana"/>
        </w:rPr>
        <w:t>Cloverhill</w:t>
      </w:r>
      <w:proofErr w:type="spellEnd"/>
      <w:r w:rsidRPr="00D114AD">
        <w:rPr>
          <w:rFonts w:ascii="Verdana" w:hAnsi="Verdana"/>
        </w:rPr>
        <w:t xml:space="preserve">, </w:t>
      </w:r>
      <w:proofErr w:type="spellStart"/>
      <w:r w:rsidRPr="00D114AD">
        <w:rPr>
          <w:rFonts w:ascii="Verdana" w:hAnsi="Verdana"/>
        </w:rPr>
        <w:t>Ballymount</w:t>
      </w:r>
      <w:proofErr w:type="spellEnd"/>
      <w:proofErr w:type="gramStart"/>
      <w:r w:rsidRPr="00D114AD">
        <w:rPr>
          <w:rFonts w:ascii="Verdana" w:hAnsi="Verdana"/>
        </w:rPr>
        <w:t>:-</w:t>
      </w:r>
      <w:proofErr w:type="gramEnd"/>
      <w:r w:rsidRPr="00D114AD">
        <w:rPr>
          <w:rFonts w:ascii="Verdana" w:hAnsi="Verdana"/>
        </w:rPr>
        <w:t xml:space="preserve"> (</w:t>
      </w:r>
      <w:proofErr w:type="spellStart"/>
      <w:r w:rsidRPr="00D114AD">
        <w:rPr>
          <w:rFonts w:ascii="Verdana" w:hAnsi="Verdana"/>
        </w:rPr>
        <w:t>Merrywell</w:t>
      </w:r>
      <w:proofErr w:type="spellEnd"/>
      <w:r w:rsidRPr="00D114AD">
        <w:rPr>
          <w:rFonts w:ascii="Verdana" w:hAnsi="Verdana"/>
        </w:rPr>
        <w:t xml:space="preserve"> and </w:t>
      </w:r>
      <w:proofErr w:type="spellStart"/>
      <w:r w:rsidRPr="00D114AD">
        <w:rPr>
          <w:rFonts w:ascii="Verdana" w:hAnsi="Verdana"/>
        </w:rPr>
        <w:t>Ballymount</w:t>
      </w:r>
      <w:proofErr w:type="spellEnd"/>
      <w:r w:rsidRPr="00D114AD">
        <w:rPr>
          <w:rFonts w:ascii="Verdana" w:hAnsi="Verdana"/>
        </w:rPr>
        <w:t xml:space="preserve"> Drive) as well as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and JFK. The occupier driven project at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has been costed whilst similar projects are being sought for support in JFK, </w:t>
      </w:r>
      <w:proofErr w:type="spellStart"/>
      <w:r w:rsidRPr="00D114AD">
        <w:rPr>
          <w:rFonts w:ascii="Verdana" w:hAnsi="Verdana"/>
        </w:rPr>
        <w:t>Ballymount</w:t>
      </w:r>
      <w:proofErr w:type="spellEnd"/>
      <w:r w:rsidRPr="00D114AD">
        <w:rPr>
          <w:rFonts w:ascii="Verdana" w:hAnsi="Verdana"/>
        </w:rPr>
        <w:t xml:space="preserve"> Drive and </w:t>
      </w:r>
      <w:proofErr w:type="spellStart"/>
      <w:r w:rsidRPr="00D114AD">
        <w:rPr>
          <w:rFonts w:ascii="Verdana" w:hAnsi="Verdana"/>
        </w:rPr>
        <w:t>Cloverhill</w:t>
      </w:r>
      <w:proofErr w:type="spellEnd"/>
      <w:r w:rsidRPr="00D114AD">
        <w:rPr>
          <w:rFonts w:ascii="Verdana" w:hAnsi="Verdana"/>
        </w:rPr>
        <w:t xml:space="preserve">. </w:t>
      </w:r>
    </w:p>
    <w:p w:rsidR="00D114AD" w:rsidRPr="00D114AD" w:rsidRDefault="00D114AD" w:rsidP="00D114AD">
      <w:pPr>
        <w:spacing w:before="100" w:beforeAutospacing="1" w:after="100" w:afterAutospacing="1"/>
        <w:rPr>
          <w:rFonts w:ascii="Verdana" w:hAnsi="Verdana"/>
        </w:rPr>
      </w:pPr>
      <w:r w:rsidRPr="00D114AD">
        <w:rPr>
          <w:rFonts w:ascii="Verdana" w:hAnsi="Verdana"/>
        </w:rPr>
        <w:t xml:space="preserve">The Council support is </w:t>
      </w:r>
      <w:r w:rsidR="00E67FD7">
        <w:rPr>
          <w:rFonts w:ascii="Verdana" w:hAnsi="Verdana"/>
        </w:rPr>
        <w:t>well received</w:t>
      </w:r>
      <w:r w:rsidRPr="00D114AD">
        <w:rPr>
          <w:rFonts w:ascii="Verdana" w:hAnsi="Verdana"/>
        </w:rPr>
        <w:t xml:space="preserve"> however delays have occurred in achieving matching funding </w:t>
      </w:r>
      <w:r>
        <w:rPr>
          <w:rFonts w:ascii="Verdana" w:hAnsi="Verdana"/>
        </w:rPr>
        <w:t xml:space="preserve">from occupiers </w:t>
      </w:r>
      <w:r w:rsidRPr="00D114AD">
        <w:rPr>
          <w:rFonts w:ascii="Verdana" w:hAnsi="Verdana"/>
        </w:rPr>
        <w:t xml:space="preserve">within any particular area. The Chamber continues to play a role in promoting engagement </w:t>
      </w:r>
      <w:r>
        <w:rPr>
          <w:rFonts w:ascii="Verdana" w:hAnsi="Verdana"/>
        </w:rPr>
        <w:t xml:space="preserve">and advocating the scheme </w:t>
      </w:r>
      <w:r w:rsidRPr="00D114AD">
        <w:rPr>
          <w:rFonts w:ascii="Verdana" w:hAnsi="Verdana"/>
        </w:rPr>
        <w:t>with the various elements of Business support.</w:t>
      </w:r>
    </w:p>
    <w:p w:rsidR="00D114AD" w:rsidRPr="00D114AD" w:rsidRDefault="00D114AD" w:rsidP="00D114AD">
      <w:pPr>
        <w:spacing w:before="100" w:beforeAutospacing="1" w:after="100" w:afterAutospacing="1"/>
        <w:rPr>
          <w:rFonts w:ascii="Verdana" w:hAnsi="Verdana"/>
        </w:rPr>
      </w:pPr>
      <w:r w:rsidRPr="00D114AD">
        <w:rPr>
          <w:rFonts w:ascii="Verdana" w:hAnsi="Verdana"/>
        </w:rPr>
        <w:t>The proposed funding model is as follows:</w:t>
      </w:r>
    </w:p>
    <w:tbl>
      <w:tblPr>
        <w:tblW w:w="3749" w:type="dxa"/>
        <w:tblLook w:val="0000" w:firstRow="0" w:lastRow="0" w:firstColumn="0" w:lastColumn="0" w:noHBand="0" w:noVBand="0"/>
      </w:tblPr>
      <w:tblGrid>
        <w:gridCol w:w="1390"/>
        <w:gridCol w:w="1392"/>
        <w:gridCol w:w="967"/>
      </w:tblGrid>
      <w:tr w:rsidR="00D114AD" w:rsidRPr="00D114AD" w:rsidTr="00D114AD">
        <w:trPr>
          <w:trHeight w:val="328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center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SCALE OF PROJECT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rPr>
                <w:rFonts w:ascii="Verdana" w:hAnsi="Verdana"/>
              </w:rPr>
            </w:pPr>
          </w:p>
        </w:tc>
      </w:tr>
      <w:tr w:rsidR="00D114AD" w:rsidRPr="00D114AD" w:rsidTr="00D114AD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center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From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center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To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center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SDCC %</w:t>
            </w:r>
          </w:p>
        </w:tc>
      </w:tr>
      <w:tr w:rsidR="00D114AD" w:rsidRPr="00D114AD" w:rsidTr="00D114AD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€10,000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€30,000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60%</w:t>
            </w:r>
          </w:p>
        </w:tc>
      </w:tr>
      <w:tr w:rsidR="00D114AD" w:rsidRPr="00D114AD" w:rsidTr="00D114AD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€31,000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€50,000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55%</w:t>
            </w:r>
          </w:p>
        </w:tc>
      </w:tr>
      <w:tr w:rsidR="00D114AD" w:rsidRPr="00D114AD" w:rsidTr="00D114AD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€51,000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€75,000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  <w:r w:rsidRPr="00D114AD">
              <w:rPr>
                <w:rFonts w:ascii="Verdana" w:hAnsi="Verdana"/>
              </w:rPr>
              <w:t>50%</w:t>
            </w:r>
          </w:p>
        </w:tc>
      </w:tr>
      <w:tr w:rsidR="00D114AD" w:rsidRPr="00D114AD" w:rsidTr="00D114AD">
        <w:trPr>
          <w:trHeight w:val="328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rPr>
                <w:rFonts w:ascii="Verdana" w:hAnsi="Verdan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4AD" w:rsidRPr="00D114AD" w:rsidRDefault="00D114AD" w:rsidP="001B4C2A">
            <w:pPr>
              <w:jc w:val="right"/>
              <w:rPr>
                <w:rFonts w:ascii="Verdana" w:hAnsi="Verdana"/>
              </w:rPr>
            </w:pPr>
          </w:p>
        </w:tc>
      </w:tr>
    </w:tbl>
    <w:p w:rsidR="00D114AD" w:rsidRPr="00D114AD" w:rsidRDefault="00D114AD" w:rsidP="00D114AD">
      <w:pPr>
        <w:spacing w:before="100" w:beforeAutospacing="1" w:after="100" w:afterAutospacing="1"/>
        <w:rPr>
          <w:rFonts w:ascii="Verdana" w:hAnsi="Verdana"/>
        </w:rPr>
      </w:pPr>
      <w:r w:rsidRPr="00D114AD">
        <w:rPr>
          <w:rFonts w:ascii="Verdana" w:hAnsi="Verdana"/>
        </w:rPr>
        <w:t>Therefore, for example, if a group of businesses can get together and come up with an appropriate scheme which might otherwise cost over €10,000, then the Council may, subject to assessment of the project, fund between 50% and 60% of that. The project must support economic development, be public facing and bring about improvements to an industrial area.</w:t>
      </w:r>
    </w:p>
    <w:p w:rsidR="00D114AD" w:rsidRDefault="00D114AD" w:rsidP="00D114AD">
      <w:pPr>
        <w:spacing w:before="100" w:beforeAutospacing="1" w:after="100" w:afterAutospacing="1"/>
        <w:rPr>
          <w:rFonts w:ascii="Verdana" w:hAnsi="Verdana"/>
        </w:rPr>
      </w:pPr>
      <w:r w:rsidRPr="00D114AD">
        <w:rPr>
          <w:rFonts w:ascii="Verdana" w:hAnsi="Verdana"/>
        </w:rPr>
        <w:t xml:space="preserve">A Scheme of Funding will be published inviting other industrial occupiers to seek support for eligible projects. </w:t>
      </w:r>
      <w:r>
        <w:rPr>
          <w:rFonts w:ascii="Verdana" w:hAnsi="Verdana"/>
        </w:rPr>
        <w:t>Draft a</w:t>
      </w:r>
      <w:r w:rsidRPr="00D114AD">
        <w:rPr>
          <w:rFonts w:ascii="Verdana" w:hAnsi="Verdana"/>
        </w:rPr>
        <w:t xml:space="preserve">pplication details and guidance are </w:t>
      </w:r>
      <w:r>
        <w:rPr>
          <w:rFonts w:ascii="Verdana" w:hAnsi="Verdana"/>
        </w:rPr>
        <w:t xml:space="preserve">prepared </w:t>
      </w:r>
      <w:r w:rsidRPr="00D114AD">
        <w:rPr>
          <w:rFonts w:ascii="Verdana" w:hAnsi="Verdana"/>
        </w:rPr>
        <w:t>available and will be published in September.</w:t>
      </w:r>
      <w:r w:rsidR="00E67FD7">
        <w:rPr>
          <w:rFonts w:ascii="Verdana" w:hAnsi="Verdana"/>
        </w:rPr>
        <w:t xml:space="preserve"> From a promotional point of view its felt that an initial exemplar project is crucial in growing business support and awareness of this project into the future.</w:t>
      </w:r>
      <w:bookmarkStart w:id="0" w:name="_GoBack"/>
      <w:bookmarkEnd w:id="0"/>
    </w:p>
    <w:p w:rsidR="00D114AD" w:rsidRPr="00D114AD" w:rsidRDefault="00D114AD" w:rsidP="00D114AD">
      <w:pPr>
        <w:spacing w:before="100" w:beforeAutospacing="1" w:after="100" w:afterAutospacing="1"/>
        <w:contextualSpacing/>
        <w:rPr>
          <w:rFonts w:ascii="Verdana" w:hAnsi="Verdana"/>
        </w:rPr>
      </w:pPr>
      <w:r w:rsidRPr="00D114AD">
        <w:rPr>
          <w:rFonts w:ascii="Verdana" w:hAnsi="Verdana"/>
        </w:rPr>
        <w:t>Within the Council work is ongoing to prepare a further schedule of upgrade</w:t>
      </w:r>
    </w:p>
    <w:p w:rsidR="00D114AD" w:rsidRDefault="00D114AD" w:rsidP="00D114AD">
      <w:pPr>
        <w:spacing w:before="100" w:beforeAutospacing="1" w:after="100" w:afterAutospacing="1"/>
        <w:rPr>
          <w:rFonts w:ascii="Verdana" w:hAnsi="Verdana"/>
        </w:rPr>
      </w:pPr>
      <w:proofErr w:type="gramStart"/>
      <w:r w:rsidRPr="00D114AD">
        <w:rPr>
          <w:rFonts w:ascii="Verdana" w:hAnsi="Verdana"/>
        </w:rPr>
        <w:t>works</w:t>
      </w:r>
      <w:proofErr w:type="gramEnd"/>
      <w:r w:rsidRPr="00D114AD">
        <w:rPr>
          <w:rFonts w:ascii="Verdana" w:hAnsi="Verdana"/>
        </w:rPr>
        <w:t xml:space="preserve"> in conjunction with operations / design departments. Consultation is ongoing with Roads Department and Public Realm in particular. Additional schemes in JFK Drive </w:t>
      </w:r>
      <w:proofErr w:type="spellStart"/>
      <w:r w:rsidRPr="00D114AD">
        <w:rPr>
          <w:rFonts w:ascii="Verdana" w:hAnsi="Verdana"/>
        </w:rPr>
        <w:t>Ballymount</w:t>
      </w:r>
      <w:proofErr w:type="spellEnd"/>
      <w:r w:rsidRPr="00D114AD">
        <w:rPr>
          <w:rFonts w:ascii="Verdana" w:hAnsi="Verdana"/>
        </w:rPr>
        <w:t xml:space="preserve"> Road Lower and Old </w:t>
      </w:r>
      <w:proofErr w:type="spellStart"/>
      <w:r w:rsidRPr="00D114AD">
        <w:rPr>
          <w:rFonts w:ascii="Verdana" w:hAnsi="Verdana"/>
        </w:rPr>
        <w:t>Belgard</w:t>
      </w:r>
      <w:proofErr w:type="spellEnd"/>
      <w:r w:rsidRPr="00D114AD">
        <w:rPr>
          <w:rFonts w:ascii="Verdana" w:hAnsi="Verdana"/>
        </w:rPr>
        <w:t xml:space="preserve"> Road / </w:t>
      </w:r>
      <w:proofErr w:type="spellStart"/>
      <w:r w:rsidRPr="00D114AD">
        <w:rPr>
          <w:rFonts w:ascii="Verdana" w:hAnsi="Verdana"/>
        </w:rPr>
        <w:t>Cookstown</w:t>
      </w:r>
      <w:proofErr w:type="spellEnd"/>
      <w:r w:rsidRPr="00D114AD">
        <w:rPr>
          <w:rFonts w:ascii="Verdana" w:hAnsi="Verdana"/>
        </w:rPr>
        <w:t xml:space="preserve"> are under consideration.</w:t>
      </w:r>
    </w:p>
    <w:p w:rsidR="00D114AD" w:rsidRPr="00D114AD" w:rsidRDefault="001F2792" w:rsidP="001F2792">
      <w:pPr>
        <w:spacing w:before="100" w:beforeAutospacing="1" w:after="100" w:afterAutospacing="1"/>
        <w:rPr>
          <w:rFonts w:ascii="Verdana" w:hAnsi="Verdana"/>
        </w:rPr>
      </w:pPr>
      <w:r w:rsidRPr="001F2792">
        <w:rPr>
          <w:rFonts w:ascii="Verdana" w:hAnsi="Verdana"/>
        </w:rPr>
        <w:t xml:space="preserve">In respect of the Training aspects of the Grant a report is contained under HI (3). </w:t>
      </w:r>
    </w:p>
    <w:sectPr w:rsidR="00D114AD" w:rsidRPr="00D11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357"/>
    <w:multiLevelType w:val="multilevel"/>
    <w:tmpl w:val="918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67487"/>
    <w:multiLevelType w:val="multilevel"/>
    <w:tmpl w:val="073A81A0"/>
    <w:lvl w:ilvl="0">
      <w:numFmt w:val="decimal"/>
      <w:lvlText w:val="%1.0"/>
      <w:lvlJc w:val="left"/>
      <w:pPr>
        <w:ind w:left="420" w:hanging="420"/>
      </w:pPr>
    </w:lvl>
    <w:lvl w:ilvl="1">
      <w:start w:val="1"/>
      <w:numFmt w:val="decimalZero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8E255BF"/>
    <w:multiLevelType w:val="multilevel"/>
    <w:tmpl w:val="88A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7478"/>
    <w:multiLevelType w:val="hybridMultilevel"/>
    <w:tmpl w:val="D0E22A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4E7F"/>
    <w:multiLevelType w:val="hybridMultilevel"/>
    <w:tmpl w:val="677695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7E"/>
    <w:rsid w:val="00013C7E"/>
    <w:rsid w:val="001F2792"/>
    <w:rsid w:val="00463576"/>
    <w:rsid w:val="00D114AD"/>
    <w:rsid w:val="00E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9807-8FAC-44B4-B77F-A297402A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013C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013C7E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013C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013C7E"/>
    <w:rPr>
      <w:b/>
      <w:bCs/>
    </w:rPr>
  </w:style>
  <w:style w:type="paragraph" w:styleId="ListParagraph">
    <w:name w:val="List Paragraph"/>
    <w:basedOn w:val="Normal"/>
    <w:uiPriority w:val="34"/>
    <w:qFormat/>
    <w:rsid w:val="00013C7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Shanahan</dc:creator>
  <cp:keywords/>
  <dc:description/>
  <cp:lastModifiedBy>Tony Shanahan</cp:lastModifiedBy>
  <cp:revision>4</cp:revision>
  <dcterms:created xsi:type="dcterms:W3CDTF">2015-09-02T11:47:00Z</dcterms:created>
  <dcterms:modified xsi:type="dcterms:W3CDTF">2015-09-03T17:14:00Z</dcterms:modified>
</cp:coreProperties>
</file>